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2D5EB" w14:textId="4DBFE174" w:rsidR="00897DFF" w:rsidRPr="00860655" w:rsidRDefault="00897DFF" w:rsidP="00897DFF">
      <w:pPr>
        <w:spacing w:after="0" w:line="240" w:lineRule="auto"/>
        <w:rPr>
          <w:rFonts w:ascii="Verdana Pro Light" w:hAnsi="Verdana Pro Light" w:cs="Calibri"/>
          <w:b/>
          <w:bCs/>
          <w:color w:val="FFFFFF" w:themeColor="background1"/>
          <w:sz w:val="28"/>
          <w:szCs w:val="28"/>
        </w:rPr>
      </w:pPr>
      <w:r w:rsidRPr="00860655">
        <w:rPr>
          <w:rFonts w:ascii="Verdana Pro Light" w:hAnsi="Verdana Pro Light" w:cs="Calibri"/>
          <w:b/>
          <w:bCs/>
          <w:color w:val="FFFFFF" w:themeColor="background1"/>
          <w:sz w:val="28"/>
          <w:szCs w:val="28"/>
          <w:highlight w:val="darkGray"/>
        </w:rPr>
        <w:t>L’ASMA IN PILLLOLE</w:t>
      </w:r>
    </w:p>
    <w:p w14:paraId="29D45FE6" w14:textId="77777777" w:rsidR="00784D01" w:rsidRDefault="00784D01" w:rsidP="00897DFF">
      <w:pPr>
        <w:pStyle w:val="Normal1"/>
        <w:jc w:val="center"/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22"/>
          <w:szCs w:val="22"/>
          <w:lang w:eastAsia="it-IT" w:bidi="ar-SA"/>
        </w:rPr>
      </w:pPr>
    </w:p>
    <w:p w14:paraId="50A97298" w14:textId="77777777" w:rsidR="00082356" w:rsidRPr="00897DFF" w:rsidRDefault="00082356" w:rsidP="00897DFF">
      <w:pPr>
        <w:pStyle w:val="Normal1"/>
        <w:jc w:val="center"/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22"/>
          <w:szCs w:val="22"/>
          <w:lang w:eastAsia="it-IT" w:bidi="ar-SA"/>
        </w:rPr>
      </w:pPr>
    </w:p>
    <w:p w14:paraId="307C4370" w14:textId="3CE1B2AD" w:rsidR="002C5486" w:rsidRPr="002C5486" w:rsidRDefault="00E15B2F" w:rsidP="00082356">
      <w:pPr>
        <w:spacing w:after="120" w:line="240" w:lineRule="auto"/>
        <w:jc w:val="both"/>
        <w:rPr>
          <w:rFonts w:ascii="Verdana Pro Light" w:eastAsia="Times New Roman" w:hAnsi="Verdana Pro Light" w:cs="Calibri"/>
          <w:b/>
          <w:bCs/>
          <w:color w:val="B90066"/>
          <w:lang w:eastAsia="it-IT"/>
        </w:rPr>
      </w:pPr>
      <w:r>
        <w:rPr>
          <w:rFonts w:ascii="Verdana Pro Light" w:eastAsia="Times New Roman" w:hAnsi="Verdana Pro Light" w:cs="Calibri"/>
          <w:b/>
          <w:bCs/>
          <w:color w:val="B90066"/>
          <w:lang w:eastAsia="it-IT"/>
        </w:rPr>
        <w:t>Caratteristiche, cause e sintomi dell’asma</w:t>
      </w:r>
    </w:p>
    <w:p w14:paraId="1DEDEA7A" w14:textId="7138AD22" w:rsidR="00446D02" w:rsidRPr="00446D02" w:rsidRDefault="00897DFF" w:rsidP="00082356">
      <w:pPr>
        <w:spacing w:after="120" w:line="240" w:lineRule="auto"/>
        <w:jc w:val="both"/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</w:pPr>
      <w:r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L’</w:t>
      </w:r>
      <w:r w:rsidR="00F8545F"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asma bronchiale </w:t>
      </w:r>
      <w:r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è</w:t>
      </w:r>
      <w:r w:rsidR="00F8545F"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 </w:t>
      </w:r>
      <w:r w:rsidR="00BF7EC5"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una malattia eterogenea, caratterizzata</w:t>
      </w:r>
      <w:r w:rsidR="005D4AF6"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 </w:t>
      </w:r>
      <w:r w:rsidR="00BF7EC5"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generalmente da </w:t>
      </w:r>
      <w:r w:rsidR="00BF7EC5" w:rsidRPr="00897DFF"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lang w:eastAsia="it-IT"/>
        </w:rPr>
        <w:t>infiammazione cronica</w:t>
      </w:r>
      <w:r w:rsidR="00A770B0" w:rsidRPr="00897DFF"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lang w:eastAsia="it-IT"/>
        </w:rPr>
        <w:t xml:space="preserve"> </w:t>
      </w:r>
      <w:r w:rsidR="00A770B0"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e </w:t>
      </w:r>
      <w:r w:rsidR="00BF7EC5" w:rsidRPr="00897DFF"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lang w:eastAsia="it-IT"/>
        </w:rPr>
        <w:t>definita</w:t>
      </w:r>
      <w:r w:rsidR="00F8545F" w:rsidRPr="00897DFF"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lang w:eastAsia="it-IT"/>
        </w:rPr>
        <w:t xml:space="preserve"> </w:t>
      </w:r>
      <w:r w:rsidR="00BF7EC5" w:rsidRPr="00897DFF"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lang w:eastAsia="it-IT"/>
        </w:rPr>
        <w:t>da una storia di sintomi respiratori quali respiro</w:t>
      </w:r>
      <w:r w:rsidR="00F8545F" w:rsidRPr="00897DFF"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lang w:eastAsia="it-IT"/>
        </w:rPr>
        <w:t xml:space="preserve"> </w:t>
      </w:r>
      <w:r w:rsidR="00BF7EC5" w:rsidRPr="00897DFF"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lang w:eastAsia="it-IT"/>
        </w:rPr>
        <w:t>sibilante, dispnea</w:t>
      </w:r>
      <w:r w:rsidR="00B43FBE" w:rsidRPr="00897DFF"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lang w:eastAsia="it-IT"/>
        </w:rPr>
        <w:t xml:space="preserve"> (fame di aria)</w:t>
      </w:r>
      <w:r w:rsidR="00BF7EC5" w:rsidRPr="00897DFF"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lang w:eastAsia="it-IT"/>
        </w:rPr>
        <w:t>, sensazione di costrizione toracica</w:t>
      </w:r>
      <w:r w:rsidR="00F8545F" w:rsidRPr="00897DFF"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lang w:eastAsia="it-IT"/>
        </w:rPr>
        <w:t xml:space="preserve"> </w:t>
      </w:r>
      <w:r w:rsidR="00BF7EC5" w:rsidRPr="00897DFF"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lang w:eastAsia="it-IT"/>
        </w:rPr>
        <w:t>e tosse</w:t>
      </w:r>
      <w:r w:rsidR="00BF7EC5"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 che variano nel tempo e in intensità,</w:t>
      </w:r>
      <w:r w:rsidR="00F8545F"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 </w:t>
      </w:r>
      <w:r w:rsidR="00BF7EC5"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insieme a una variabile limitazione al flusso</w:t>
      </w:r>
      <w:r w:rsidR="00F8545F"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 </w:t>
      </w:r>
      <w:r w:rsidR="00BF7EC5"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espiratorio</w:t>
      </w:r>
      <w:r w:rsidR="00C0722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.</w:t>
      </w:r>
      <w:r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vertAlign w:val="superscript"/>
          <w:lang w:eastAsia="it-IT"/>
        </w:rPr>
        <w:t>1</w:t>
      </w:r>
    </w:p>
    <w:p w14:paraId="3D170B47" w14:textId="2C3FFCE0" w:rsidR="00446D02" w:rsidRPr="00F7380E" w:rsidRDefault="00446D02" w:rsidP="00082356">
      <w:pPr>
        <w:pStyle w:val="NormaleWeb"/>
        <w:spacing w:before="0" w:beforeAutospacing="0" w:after="120" w:afterAutospacing="0"/>
        <w:jc w:val="both"/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22"/>
          <w:szCs w:val="22"/>
        </w:rPr>
      </w:pPr>
      <w:r w:rsidRPr="00F7380E"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sz w:val="22"/>
          <w:szCs w:val="22"/>
        </w:rPr>
        <w:t>In condizioni normali, l’aria è libera di muoversi nei polmoni attraverso le sue vie di conduzione che sono i bronchi</w:t>
      </w:r>
      <w:r w:rsidRPr="00F7380E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22"/>
          <w:szCs w:val="22"/>
        </w:rPr>
        <w:t>.</w:t>
      </w:r>
      <w:r w:rsidRPr="00446D02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22"/>
          <w:szCs w:val="22"/>
        </w:rPr>
        <w:t xml:space="preserve"> Questi sono simili a un albero con tanti rami</w:t>
      </w:r>
      <w:r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22"/>
          <w:szCs w:val="22"/>
        </w:rPr>
        <w:t xml:space="preserve"> che diventano </w:t>
      </w:r>
      <w:r w:rsidRPr="00446D02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22"/>
          <w:szCs w:val="22"/>
        </w:rPr>
        <w:t>più piccoli man mano che si diramano, termin</w:t>
      </w:r>
      <w:r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22"/>
          <w:szCs w:val="22"/>
        </w:rPr>
        <w:t>ando</w:t>
      </w:r>
      <w:r w:rsidRPr="00446D02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22"/>
          <w:szCs w:val="22"/>
        </w:rPr>
        <w:t xml:space="preserve"> con dei “piccoli palloncini” detti alveoli polmonari</w:t>
      </w:r>
      <w:r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22"/>
          <w:szCs w:val="22"/>
        </w:rPr>
        <w:t xml:space="preserve">, </w:t>
      </w:r>
      <w:r w:rsidRPr="00446D02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22"/>
          <w:szCs w:val="22"/>
        </w:rPr>
        <w:t>dove avviene lo scambio tra l’ossigeno che inspiriamo e l’anidride carbonica che espiriamo.</w:t>
      </w:r>
      <w:r w:rsidR="00F7380E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22"/>
          <w:szCs w:val="22"/>
        </w:rPr>
        <w:t xml:space="preserve"> Mentre in condizioni normali</w:t>
      </w:r>
      <w:r w:rsidRPr="00446D02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22"/>
          <w:szCs w:val="22"/>
        </w:rPr>
        <w:t xml:space="preserve"> </w:t>
      </w:r>
      <w:r w:rsidR="00F7380E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22"/>
          <w:szCs w:val="22"/>
        </w:rPr>
        <w:t>le vie aeree</w:t>
      </w:r>
      <w:r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22"/>
          <w:szCs w:val="22"/>
        </w:rPr>
        <w:t xml:space="preserve"> </w:t>
      </w:r>
      <w:r w:rsidRPr="00446D02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22"/>
          <w:szCs w:val="22"/>
        </w:rPr>
        <w:t>rimangono sempre ben aperte</w:t>
      </w:r>
      <w:r w:rsidR="00F7380E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22"/>
          <w:szCs w:val="22"/>
        </w:rPr>
        <w:t xml:space="preserve">, </w:t>
      </w:r>
      <w:r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22"/>
          <w:szCs w:val="22"/>
        </w:rPr>
        <w:t xml:space="preserve">nei </w:t>
      </w:r>
      <w:r w:rsidRPr="00F7380E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22"/>
          <w:szCs w:val="22"/>
        </w:rPr>
        <w:t xml:space="preserve">soggetti asmatici </w:t>
      </w:r>
      <w:r w:rsidR="008C40B1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22"/>
          <w:szCs w:val="22"/>
        </w:rPr>
        <w:t>tendono occasionalmente a restringersi, ostacolando il passaggio dell’aria</w:t>
      </w:r>
      <w:r w:rsidRPr="00F7380E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22"/>
          <w:szCs w:val="22"/>
        </w:rPr>
        <w:t xml:space="preserve">. </w:t>
      </w:r>
    </w:p>
    <w:p w14:paraId="7BAA1D8B" w14:textId="088F2CA5" w:rsidR="00446D02" w:rsidRDefault="00545BF1" w:rsidP="00082356">
      <w:pPr>
        <w:spacing w:after="120" w:line="240" w:lineRule="auto"/>
        <w:jc w:val="both"/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</w:pPr>
      <w:r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L’infiammazione</w:t>
      </w:r>
      <w:r w:rsidR="00446D02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, infatti,</w:t>
      </w:r>
      <w:r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 genera un aumento della responsività bronchiale che, a sua volta, causa episodi ricorrenti di crisi respiratorie, i cosiddetti </w:t>
      </w:r>
      <w:r w:rsidRPr="00DC3F17"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lang w:eastAsia="it-IT"/>
        </w:rPr>
        <w:t>attacchi d’asma</w:t>
      </w:r>
      <w:r w:rsidR="005425CD"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 o </w:t>
      </w:r>
      <w:r w:rsidR="00897DFF" w:rsidRPr="00DC3F17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riacutizzazioni</w:t>
      </w:r>
      <w:r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, durante i quali </w:t>
      </w:r>
      <w:r w:rsidRPr="00111078"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lang w:eastAsia="it-IT"/>
        </w:rPr>
        <w:t>peggiorano i sintomi e la funzionalità respiratoria</w:t>
      </w:r>
      <w:r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. Se </w:t>
      </w:r>
      <w:r w:rsidR="009C0BC6"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la patologia non è trattata in modo adeguato</w:t>
      </w:r>
      <w:r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, gli attacchi possono essere anche molto gravi</w:t>
      </w:r>
      <w:r w:rsidR="00DC3F17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.</w:t>
      </w:r>
      <w:r w:rsidR="00897DFF"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vertAlign w:val="superscript"/>
          <w:lang w:eastAsia="it-IT"/>
        </w:rPr>
        <w:t>2</w:t>
      </w:r>
    </w:p>
    <w:p w14:paraId="06D987AE" w14:textId="03FE5717" w:rsidR="00B2177D" w:rsidRPr="00897DFF" w:rsidRDefault="009C0BC6" w:rsidP="00082356">
      <w:pPr>
        <w:spacing w:after="120" w:line="240" w:lineRule="auto"/>
        <w:jc w:val="both"/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</w:pPr>
      <w:r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Tra i principali </w:t>
      </w:r>
      <w:r w:rsidRPr="00111078"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lang w:eastAsia="it-IT"/>
        </w:rPr>
        <w:t>fattori scatenanti dell’</w:t>
      </w:r>
      <w:r w:rsidR="008C40B1"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lang w:eastAsia="it-IT"/>
        </w:rPr>
        <w:t xml:space="preserve">attacco </w:t>
      </w:r>
      <w:r w:rsidRPr="00111078"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lang w:eastAsia="it-IT"/>
        </w:rPr>
        <w:t>asma</w:t>
      </w:r>
      <w:r w:rsidR="008C40B1"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lang w:eastAsia="it-IT"/>
        </w:rPr>
        <w:t>tico</w:t>
      </w:r>
      <w:r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 si identificano </w:t>
      </w:r>
      <w:r w:rsidR="008C40B1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in primo luogo </w:t>
      </w:r>
      <w:r w:rsidR="00995C01"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le </w:t>
      </w:r>
      <w:r w:rsidR="00995C01" w:rsidRPr="00082356"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lang w:eastAsia="it-IT"/>
        </w:rPr>
        <w:t>infezioni virali</w:t>
      </w:r>
      <w:r w:rsidR="00995C01"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,</w:t>
      </w:r>
      <w:r w:rsidR="008C40B1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 ma anche</w:t>
      </w:r>
      <w:r w:rsidR="00995C01"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 </w:t>
      </w:r>
      <w:r w:rsidR="00545BF1"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l’esposizione a</w:t>
      </w:r>
      <w:r w:rsidR="00DC3F17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d</w:t>
      </w:r>
      <w:r w:rsidR="0084247A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 allergeni quali </w:t>
      </w:r>
      <w:r w:rsidR="00545BF1"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acari</w:t>
      </w:r>
      <w:r w:rsidR="0084247A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,</w:t>
      </w:r>
      <w:r w:rsidR="00545BF1"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 pollin</w:t>
      </w:r>
      <w:r w:rsidR="00995C01"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i</w:t>
      </w:r>
      <w:r w:rsidR="0084247A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, polveri in ambito professionale, ecc.</w:t>
      </w:r>
      <w:r w:rsidR="00111078" w:rsidRPr="00111078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vertAlign w:val="superscript"/>
          <w:lang w:eastAsia="it-IT"/>
        </w:rPr>
        <w:t>1</w:t>
      </w:r>
    </w:p>
    <w:p w14:paraId="6236C732" w14:textId="77777777" w:rsidR="00F8545F" w:rsidRPr="00897DFF" w:rsidRDefault="00F8545F" w:rsidP="00446D02">
      <w:pPr>
        <w:spacing w:after="120" w:line="240" w:lineRule="auto"/>
        <w:jc w:val="both"/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</w:pPr>
    </w:p>
    <w:p w14:paraId="49E801D5" w14:textId="05F4B870" w:rsidR="00111078" w:rsidRPr="00440861" w:rsidRDefault="00B43FBE" w:rsidP="00082356">
      <w:pPr>
        <w:spacing w:after="120" w:line="240" w:lineRule="auto"/>
        <w:jc w:val="both"/>
        <w:rPr>
          <w:rFonts w:ascii="Verdana Pro Light" w:eastAsia="Times New Roman" w:hAnsi="Verdana Pro Light" w:cs="Calibri"/>
          <w:b/>
          <w:bCs/>
          <w:color w:val="B90066"/>
          <w:lang w:eastAsia="it-IT"/>
        </w:rPr>
      </w:pPr>
      <w:r w:rsidRPr="00111078">
        <w:rPr>
          <w:rFonts w:ascii="Verdana Pro Light" w:eastAsia="Times New Roman" w:hAnsi="Verdana Pro Light" w:cs="Calibri"/>
          <w:b/>
          <w:bCs/>
          <w:color w:val="B90066"/>
          <w:lang w:eastAsia="it-IT"/>
        </w:rPr>
        <w:t>I numeri dell’</w:t>
      </w:r>
      <w:r w:rsidR="002C5486">
        <w:rPr>
          <w:rFonts w:ascii="Verdana Pro Light" w:eastAsia="Times New Roman" w:hAnsi="Verdana Pro Light" w:cs="Calibri"/>
          <w:b/>
          <w:bCs/>
          <w:color w:val="B90066"/>
          <w:lang w:eastAsia="it-IT"/>
        </w:rPr>
        <w:t>a</w:t>
      </w:r>
      <w:r w:rsidRPr="00111078">
        <w:rPr>
          <w:rFonts w:ascii="Verdana Pro Light" w:eastAsia="Times New Roman" w:hAnsi="Verdana Pro Light" w:cs="Calibri"/>
          <w:b/>
          <w:bCs/>
          <w:color w:val="B90066"/>
          <w:lang w:eastAsia="it-IT"/>
        </w:rPr>
        <w:t>sma</w:t>
      </w:r>
    </w:p>
    <w:p w14:paraId="585A5C71" w14:textId="3DE10346" w:rsidR="00082356" w:rsidRDefault="00111078" w:rsidP="00082356">
      <w:pPr>
        <w:spacing w:after="120" w:line="240" w:lineRule="auto"/>
        <w:jc w:val="both"/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</w:pPr>
      <w:r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Secondo la Global Initiative for asthma (GINA), </w:t>
      </w:r>
      <w:r w:rsidR="00423D58" w:rsidRPr="00111078"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lang w:eastAsia="it-IT"/>
        </w:rPr>
        <w:t>300 milioni</w:t>
      </w:r>
      <w:r w:rsidR="00784D01"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 di persone nel mondo</w:t>
      </w:r>
      <w:r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 soffrono di </w:t>
      </w:r>
      <w:r w:rsidRPr="00111078"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lang w:eastAsia="it-IT"/>
        </w:rPr>
        <w:t>asma</w:t>
      </w:r>
      <w:r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, oltre </w:t>
      </w:r>
      <w:r w:rsidRPr="00111078"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lang w:eastAsia="it-IT"/>
        </w:rPr>
        <w:t>30 milioni in Europa</w:t>
      </w:r>
      <w:r w:rsidRPr="00111078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vertAlign w:val="superscript"/>
          <w:lang w:eastAsia="it-IT"/>
        </w:rPr>
        <w:t>1</w:t>
      </w:r>
      <w:r w:rsidR="00FF6482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 </w:t>
      </w:r>
      <w:r w:rsidR="0084247A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e in particolare nell’Europa Occidentale si è assistito </w:t>
      </w:r>
      <w:r w:rsidR="00FF6482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negli ultimi dieci anni </w:t>
      </w:r>
      <w:r w:rsidR="0084247A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a un raddoppio de</w:t>
      </w:r>
      <w:r w:rsidR="00FF6482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l numero di persone asmatiche</w:t>
      </w:r>
      <w:r w:rsidR="00FF6482" w:rsidRPr="00FF6482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vertAlign w:val="superscript"/>
          <w:lang w:eastAsia="it-IT"/>
        </w:rPr>
        <w:t>3</w:t>
      </w:r>
      <w:r w:rsidR="00FF6482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 come conseguenza </w:t>
      </w:r>
      <w:r w:rsidR="00852CA5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presumibile </w:t>
      </w:r>
      <w:r w:rsidR="00FF6482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dell’urbanizzazione, dell’aumento dell’inquinamento atmosferico e di stili di vita più sedentari (ridotto esercizio fisico e </w:t>
      </w:r>
      <w:r w:rsidR="00FF6482" w:rsidRPr="00FF6482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aumento dell’obesità).</w:t>
      </w:r>
      <w:r w:rsidR="00FF6482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 </w:t>
      </w:r>
    </w:p>
    <w:p w14:paraId="35E9E30B" w14:textId="01B35897" w:rsidR="00C46593" w:rsidRDefault="00C46593" w:rsidP="00082356">
      <w:pPr>
        <w:spacing w:after="120" w:line="240" w:lineRule="auto"/>
        <w:jc w:val="both"/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</w:pPr>
      <w:r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Secondo l’Organizzazione Mondiale della Sanità, le morti associate all’asma sono circa </w:t>
      </w:r>
      <w:r w:rsidRPr="00C46593"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lang w:eastAsia="it-IT"/>
        </w:rPr>
        <w:t>180mila ogni anno</w:t>
      </w:r>
      <w:r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 a livello globale</w:t>
      </w:r>
      <w:r w:rsidRPr="00C46593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vertAlign w:val="superscript"/>
          <w:lang w:eastAsia="it-IT"/>
        </w:rPr>
        <w:t>3</w:t>
      </w:r>
      <w:r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.</w:t>
      </w:r>
    </w:p>
    <w:p w14:paraId="4EF39719" w14:textId="64BF4214" w:rsidR="00F7380E" w:rsidRDefault="00B2177D" w:rsidP="00082356">
      <w:pPr>
        <w:spacing w:after="120" w:line="240" w:lineRule="auto"/>
        <w:jc w:val="both"/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</w:pPr>
      <w:r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In </w:t>
      </w:r>
      <w:r w:rsidRPr="00440861"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lang w:eastAsia="it-IT"/>
        </w:rPr>
        <w:t>Italia</w:t>
      </w:r>
      <w:r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 </w:t>
      </w:r>
      <w:r w:rsidR="00977733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si stimano</w:t>
      </w:r>
      <w:r w:rsidR="00FF6482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 oltre </w:t>
      </w:r>
      <w:r w:rsidR="00FF6482" w:rsidRPr="00FF6482"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lang w:eastAsia="it-IT"/>
        </w:rPr>
        <w:t>4,6 milioni</w:t>
      </w:r>
      <w:r w:rsidR="00977733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 di pazienti asmatici</w:t>
      </w:r>
      <w:r w:rsidR="00852CA5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 adulti</w:t>
      </w:r>
      <w:r w:rsidR="00977733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,</w:t>
      </w:r>
      <w:r w:rsidR="00FF6482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 con </w:t>
      </w:r>
      <w:r w:rsidR="00440861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una </w:t>
      </w:r>
      <w:r w:rsidR="008F4090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prevalenza </w:t>
      </w:r>
      <w:r w:rsidR="00440861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del</w:t>
      </w:r>
      <w:r w:rsidR="005E0CA9"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 </w:t>
      </w:r>
      <w:r w:rsidR="005E0CA9" w:rsidRPr="008F4090"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lang w:eastAsia="it-IT"/>
        </w:rPr>
        <w:t>7</w:t>
      </w:r>
      <w:r w:rsidR="00F50248" w:rsidRPr="008F4090"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lang w:eastAsia="it-IT"/>
        </w:rPr>
        <w:t>,</w:t>
      </w:r>
      <w:r w:rsidR="008F4090" w:rsidRPr="008F4090"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lang w:eastAsia="it-IT"/>
        </w:rPr>
        <w:t>9</w:t>
      </w:r>
      <w:r w:rsidR="005E0CA9" w:rsidRPr="008F4090"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lang w:eastAsia="it-IT"/>
        </w:rPr>
        <w:t>%</w:t>
      </w:r>
      <w:r w:rsidR="00FF6482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 (nel 2010 era del 4,8%)</w:t>
      </w:r>
      <w:r w:rsidR="00FF6482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vertAlign w:val="superscript"/>
          <w:lang w:eastAsia="it-IT"/>
        </w:rPr>
        <w:t>4</w:t>
      </w:r>
      <w:r w:rsidR="002C5486" w:rsidRPr="002C548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vertAlign w:val="superscript"/>
          <w:lang w:eastAsia="it-IT"/>
        </w:rPr>
        <w:t>.</w:t>
      </w:r>
      <w:r w:rsidR="002C5486"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lang w:eastAsia="it-IT"/>
        </w:rPr>
        <w:t xml:space="preserve"> </w:t>
      </w:r>
      <w:r w:rsidR="00977733" w:rsidRPr="00977733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Di questi, </w:t>
      </w:r>
      <w:r w:rsidR="00852CA5" w:rsidRPr="00DC3F17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circa</w:t>
      </w:r>
      <w:r w:rsidR="00977733" w:rsidRPr="00DC3F17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 </w:t>
      </w:r>
      <w:r w:rsidR="00852CA5" w:rsidRPr="00DC3F17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il</w:t>
      </w:r>
      <w:r w:rsidR="00852CA5"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lang w:eastAsia="it-IT"/>
        </w:rPr>
        <w:t xml:space="preserve"> </w:t>
      </w:r>
      <w:r w:rsidR="00977733"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lang w:eastAsia="it-IT"/>
        </w:rPr>
        <w:t xml:space="preserve">10% </w:t>
      </w:r>
      <w:r w:rsidR="00977733" w:rsidRPr="00977733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è interessato da una</w:t>
      </w:r>
      <w:r w:rsidR="00977733"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lang w:eastAsia="it-IT"/>
        </w:rPr>
        <w:t xml:space="preserve"> forma grave</w:t>
      </w:r>
      <w:r w:rsidR="00882B21"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lang w:eastAsia="it-IT"/>
        </w:rPr>
        <w:t>.</w:t>
      </w:r>
      <w:r w:rsidR="00977733" w:rsidRPr="00977733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vertAlign w:val="superscript"/>
          <w:lang w:eastAsia="it-IT"/>
        </w:rPr>
        <w:t>5</w:t>
      </w:r>
    </w:p>
    <w:p w14:paraId="4B7D87BA" w14:textId="28228275" w:rsidR="00314BC8" w:rsidRDefault="00977733" w:rsidP="00446D02">
      <w:pPr>
        <w:spacing w:after="120" w:line="240" w:lineRule="auto"/>
        <w:jc w:val="both"/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</w:pPr>
      <w:r w:rsidRPr="00977733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L’asma </w:t>
      </w:r>
      <w:r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interessa persone di tutte le età, </w:t>
      </w:r>
      <w:r w:rsidRPr="00977733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manifestandosi dai bambini più piccoli alle persone più anziane</w:t>
      </w:r>
      <w:r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.</w:t>
      </w:r>
      <w:r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lang w:eastAsia="it-IT"/>
        </w:rPr>
        <w:t xml:space="preserve"> </w:t>
      </w:r>
      <w:r w:rsidR="00440861" w:rsidRPr="00440861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Le stime di prevalenza sono leggermente maggiori nelle donne </w:t>
      </w:r>
      <w:r w:rsidR="00440861" w:rsidRPr="00446D02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(8,5%) rispetto agli uomini (7,4%)</w:t>
      </w:r>
      <w:r w:rsidR="002C5486" w:rsidRPr="00446D02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,</w:t>
      </w:r>
      <w:r w:rsidR="002C548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 </w:t>
      </w:r>
      <w:r w:rsidR="00446D02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nei </w:t>
      </w:r>
      <w:r w:rsidR="002C548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quali </w:t>
      </w:r>
      <w:r w:rsidR="00446D02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si assiste a </w:t>
      </w:r>
      <w:r w:rsidR="00440861" w:rsidRPr="00440861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una relazione inversa all’aumentare dell’età, andando da</w:t>
      </w:r>
      <w:r w:rsidR="002C548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l</w:t>
      </w:r>
      <w:r w:rsidR="00440861" w:rsidRPr="00440861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 </w:t>
      </w:r>
      <w:r w:rsidR="00440861" w:rsidRPr="002C5486"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lang w:eastAsia="it-IT"/>
        </w:rPr>
        <w:t xml:space="preserve">9,8% </w:t>
      </w:r>
      <w:r w:rsidR="00440861" w:rsidRPr="00446D02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nella fascia</w:t>
      </w:r>
      <w:r w:rsidR="00440861" w:rsidRPr="002C5486"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lang w:eastAsia="it-IT"/>
        </w:rPr>
        <w:t xml:space="preserve"> 25-34 anni</w:t>
      </w:r>
      <w:r w:rsidR="00440861" w:rsidRPr="00440861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 a</w:t>
      </w:r>
      <w:r w:rsidR="002C548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l</w:t>
      </w:r>
      <w:r w:rsidR="00440861" w:rsidRPr="00440861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 5,1% negli </w:t>
      </w:r>
      <w:r w:rsidR="00C5744E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over-85</w:t>
      </w:r>
      <w:r w:rsidR="00440861" w:rsidRPr="00440861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.</w:t>
      </w:r>
      <w:r w:rsidR="002C548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 Percentuali più elevate di pazienti si registrano al Centro-Sud</w:t>
      </w:r>
      <w:r w:rsidR="00446D02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 Italia</w:t>
      </w:r>
      <w:r w:rsidR="002C548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: </w:t>
      </w:r>
      <w:r w:rsidR="00B2177D"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la regione con la prevalenza più elevata risulta la </w:t>
      </w:r>
      <w:r w:rsidR="00B2177D" w:rsidRPr="00446D02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Campania (14,</w:t>
      </w:r>
      <w:r w:rsidR="002C5486" w:rsidRPr="00446D02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7</w:t>
      </w:r>
      <w:r w:rsidR="00B2177D" w:rsidRPr="00446D02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%),</w:t>
      </w:r>
      <w:r w:rsidR="00B2177D"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 seguita da </w:t>
      </w:r>
      <w:r w:rsidR="002C548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Sardegna</w:t>
      </w:r>
      <w:r w:rsidR="00B2177D"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 (</w:t>
      </w:r>
      <w:r w:rsidR="002C548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9</w:t>
      </w:r>
      <w:r w:rsidR="00B2177D"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,</w:t>
      </w:r>
      <w:r w:rsidR="002C548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3</w:t>
      </w:r>
      <w:r w:rsidR="00B2177D"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%), </w:t>
      </w:r>
      <w:r w:rsidR="002C548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Calabri</w:t>
      </w:r>
      <w:r w:rsidR="00B2177D"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a (8,</w:t>
      </w:r>
      <w:r w:rsidR="002C548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4</w:t>
      </w:r>
      <w:r w:rsidR="00B2177D"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%)</w:t>
      </w:r>
      <w:r w:rsidR="002C548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, Molise </w:t>
      </w:r>
      <w:r w:rsidR="00B2177D"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e Liguria (</w:t>
      </w:r>
      <w:r w:rsidR="002C548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8</w:t>
      </w:r>
      <w:r w:rsidR="00B2177D"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,</w:t>
      </w:r>
      <w:r w:rsidR="002C548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0</w:t>
      </w:r>
      <w:r w:rsidR="00B2177D"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%)</w:t>
      </w:r>
      <w:r w:rsidR="002C5486" w:rsidRPr="002C548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vertAlign w:val="superscript"/>
          <w:lang w:eastAsia="it-IT"/>
        </w:rPr>
        <w:t>3</w:t>
      </w:r>
      <w:r w:rsidR="002C548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.</w:t>
      </w:r>
    </w:p>
    <w:p w14:paraId="1368AFDD" w14:textId="77777777" w:rsidR="00082356" w:rsidRPr="00977733" w:rsidRDefault="00082356" w:rsidP="00446D02">
      <w:pPr>
        <w:spacing w:after="120" w:line="240" w:lineRule="auto"/>
        <w:jc w:val="both"/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lang w:eastAsia="it-IT"/>
        </w:rPr>
      </w:pPr>
    </w:p>
    <w:p w14:paraId="29CCBE0B" w14:textId="2B2C59BF" w:rsidR="00AB425E" w:rsidRPr="00C5744E" w:rsidRDefault="00AB425E" w:rsidP="00082356">
      <w:pPr>
        <w:spacing w:after="120" w:line="240" w:lineRule="auto"/>
        <w:jc w:val="both"/>
        <w:rPr>
          <w:rFonts w:ascii="Verdana Pro Light" w:eastAsia="Times New Roman" w:hAnsi="Verdana Pro Light" w:cs="Calibri"/>
          <w:b/>
          <w:bCs/>
          <w:color w:val="B90066"/>
          <w:lang w:eastAsia="it-IT"/>
        </w:rPr>
      </w:pPr>
      <w:r w:rsidRPr="00C5744E">
        <w:rPr>
          <w:rFonts w:ascii="Verdana Pro Light" w:eastAsia="Times New Roman" w:hAnsi="Verdana Pro Light" w:cs="Calibri"/>
          <w:b/>
          <w:bCs/>
          <w:color w:val="B90066"/>
          <w:lang w:eastAsia="it-IT"/>
        </w:rPr>
        <w:t>Prevenzione</w:t>
      </w:r>
      <w:r w:rsidR="00784D01" w:rsidRPr="00C5744E">
        <w:rPr>
          <w:rFonts w:ascii="Verdana Pro Light" w:eastAsia="Times New Roman" w:hAnsi="Verdana Pro Light" w:cs="Calibri"/>
          <w:b/>
          <w:bCs/>
          <w:color w:val="B90066"/>
          <w:lang w:eastAsia="it-IT"/>
        </w:rPr>
        <w:t xml:space="preserve"> </w:t>
      </w:r>
    </w:p>
    <w:p w14:paraId="613D11FF" w14:textId="327479F4" w:rsidR="00E15B2F" w:rsidRPr="00897DFF" w:rsidRDefault="00995C01" w:rsidP="00E15B2F">
      <w:pPr>
        <w:spacing w:after="120" w:line="240" w:lineRule="auto"/>
        <w:jc w:val="both"/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</w:pPr>
      <w:r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La difficile identificazione dei</w:t>
      </w:r>
      <w:r w:rsidR="00887CC6"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 fattori di rischio relativi all’asma bronchiale, </w:t>
      </w:r>
      <w:r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rende necessario la messa in atto di strategie preventiv</w:t>
      </w:r>
      <w:r w:rsidR="00784D01"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e volte a tutelare e migliorare</w:t>
      </w:r>
      <w:r w:rsidR="00887CC6"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 la salute p</w:t>
      </w:r>
      <w:r w:rsidR="00784D01"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olmonare</w:t>
      </w:r>
      <w:r w:rsidR="00887CC6"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, agendo ad esempio su</w:t>
      </w:r>
      <w:r w:rsidR="00887CC6" w:rsidRPr="00977733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: riduzione del fumo di tabacco, sia attivo che passivo; riduzione dell'inquinamento atmosferico, sia all’aperto che </w:t>
      </w:r>
      <w:r w:rsidR="000F15F8" w:rsidRPr="00977733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nei luoghi chiusi</w:t>
      </w:r>
      <w:r w:rsidR="00887CC6" w:rsidRPr="00977733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, e delle esposizioni professionali</w:t>
      </w:r>
      <w:r w:rsidR="000F15F8" w:rsidRPr="00977733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 a polveri e fumi</w:t>
      </w:r>
      <w:r w:rsidR="00887CC6" w:rsidRPr="00977733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; </w:t>
      </w:r>
      <w:r w:rsidRPr="00977733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riduzione del</w:t>
      </w:r>
      <w:r w:rsidR="00887CC6" w:rsidRPr="00977733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l'obesità infantile</w:t>
      </w:r>
      <w:r w:rsidRPr="00977733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 e promozione di </w:t>
      </w:r>
      <w:r w:rsidR="00887CC6" w:rsidRPr="00977733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una dieta ricca di </w:t>
      </w:r>
      <w:r w:rsidR="000F15F8" w:rsidRPr="00977733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frutta e </w:t>
      </w:r>
      <w:r w:rsidR="00887CC6" w:rsidRPr="00977733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verdure; migliora</w:t>
      </w:r>
      <w:r w:rsidRPr="00977733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mento </w:t>
      </w:r>
      <w:r w:rsidR="00887CC6" w:rsidRPr="00977733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 </w:t>
      </w:r>
      <w:r w:rsidRPr="00977733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del</w:t>
      </w:r>
      <w:r w:rsidR="00887CC6" w:rsidRPr="00977733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la salute materno-fetale; </w:t>
      </w:r>
      <w:r w:rsidRPr="00977733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promozione</w:t>
      </w:r>
      <w:r w:rsidR="00887CC6" w:rsidRPr="00977733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 </w:t>
      </w:r>
      <w:r w:rsidRPr="00977733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del</w:t>
      </w:r>
      <w:r w:rsidR="00887CC6" w:rsidRPr="00977733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l'allattamento al seno; </w:t>
      </w:r>
      <w:r w:rsidRPr="00977733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promozione della </w:t>
      </w:r>
      <w:r w:rsidR="00887CC6" w:rsidRPr="00977733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vaccinazioni infantili e </w:t>
      </w:r>
      <w:r w:rsidRPr="00977733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riduzione del</w:t>
      </w:r>
      <w:r w:rsidR="00887CC6" w:rsidRPr="00977733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le disuguaglianze sociali</w:t>
      </w:r>
      <w:r w:rsidR="00DC3F17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.</w:t>
      </w:r>
      <w:r w:rsidR="00977733" w:rsidRPr="00977733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vertAlign w:val="superscript"/>
          <w:lang w:eastAsia="it-IT"/>
        </w:rPr>
        <w:t>6</w:t>
      </w:r>
    </w:p>
    <w:p w14:paraId="56D3786A" w14:textId="0D985550" w:rsidR="00314BC8" w:rsidRPr="00124B75" w:rsidRDefault="00314BC8" w:rsidP="00082356">
      <w:pPr>
        <w:spacing w:after="120" w:line="240" w:lineRule="auto"/>
        <w:jc w:val="both"/>
        <w:rPr>
          <w:rFonts w:ascii="Verdana Pro Light" w:eastAsia="Times New Roman" w:hAnsi="Verdana Pro Light" w:cs="Calibri"/>
          <w:b/>
          <w:bCs/>
          <w:color w:val="B90066"/>
          <w:lang w:eastAsia="it-IT"/>
        </w:rPr>
      </w:pPr>
      <w:r w:rsidRPr="00124B75">
        <w:rPr>
          <w:rFonts w:ascii="Verdana Pro Light" w:eastAsia="Times New Roman" w:hAnsi="Verdana Pro Light" w:cs="Calibri"/>
          <w:b/>
          <w:bCs/>
          <w:color w:val="B90066"/>
          <w:lang w:eastAsia="it-IT"/>
        </w:rPr>
        <w:lastRenderedPageBreak/>
        <w:t>Diagnosi</w:t>
      </w:r>
      <w:r w:rsidR="00784D01" w:rsidRPr="00124B75">
        <w:rPr>
          <w:rFonts w:ascii="Verdana Pro Light" w:eastAsia="Times New Roman" w:hAnsi="Verdana Pro Light" w:cs="Calibri"/>
          <w:b/>
          <w:bCs/>
          <w:color w:val="B90066"/>
          <w:lang w:eastAsia="it-IT"/>
        </w:rPr>
        <w:t xml:space="preserve"> </w:t>
      </w:r>
    </w:p>
    <w:p w14:paraId="09BF650F" w14:textId="00CAE0B9" w:rsidR="000F15F8" w:rsidRPr="00897DFF" w:rsidRDefault="00624E58" w:rsidP="00082356">
      <w:pPr>
        <w:spacing w:after="120" w:line="240" w:lineRule="auto"/>
        <w:jc w:val="both"/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</w:pPr>
      <w:r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Il sospetto diagnostico </w:t>
      </w:r>
      <w:r w:rsidR="00D27141"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origina dalla constatazione della presenza dei sintomi propri dell’asma e</w:t>
      </w:r>
      <w:r w:rsidR="00AC5123"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 </w:t>
      </w:r>
      <w:r w:rsidR="00D27141"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dalla storia clinica del paziente</w:t>
      </w:r>
      <w:r w:rsidR="00AC5123"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, </w:t>
      </w:r>
      <w:r w:rsidR="008119F2"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nonché </w:t>
      </w:r>
      <w:r w:rsidR="00AC5123"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dalla anamnesi familiare e dall’esame obiettivo</w:t>
      </w:r>
      <w:r w:rsidR="00237EA7"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 mediante auscultazione del paziente mentre esegue respiri profondi</w:t>
      </w:r>
      <w:r w:rsidR="00D27141"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. </w:t>
      </w:r>
      <w:r w:rsidR="00124B75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Poiché </w:t>
      </w:r>
      <w:r w:rsidR="00D27141"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i sintomi dell’asma non sono </w:t>
      </w:r>
      <w:r w:rsidR="00AC5123"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peculiari </w:t>
      </w:r>
      <w:r w:rsidR="00D27141"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e possono essere presenti anche in altre patologie respiratorie</w:t>
      </w:r>
      <w:r w:rsidR="00F7380E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 (e non solo)</w:t>
      </w:r>
      <w:r w:rsidR="00124B75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, è</w:t>
      </w:r>
      <w:r w:rsidR="00AC5123"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 importante effettuare i necessari approfondimenti diagnostici per ottenere una diagnosi definitiva</w:t>
      </w:r>
      <w:r w:rsidR="00DC3F17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.</w:t>
      </w:r>
      <w:r w:rsidR="00124B75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vertAlign w:val="superscript"/>
          <w:lang w:eastAsia="it-IT"/>
        </w:rPr>
        <w:t>1</w:t>
      </w:r>
      <w:r w:rsidR="00D27141"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 </w:t>
      </w:r>
    </w:p>
    <w:p w14:paraId="7910B95E" w14:textId="454069DD" w:rsidR="00BB6898" w:rsidRPr="00897DFF" w:rsidRDefault="000F15F8" w:rsidP="00082356">
      <w:pPr>
        <w:spacing w:after="120" w:line="240" w:lineRule="auto"/>
        <w:jc w:val="both"/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</w:pPr>
      <w:r w:rsidRPr="00124B75"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lang w:eastAsia="it-IT"/>
        </w:rPr>
        <w:t xml:space="preserve">La diagnosi di asma </w:t>
      </w:r>
      <w:r w:rsidR="008119F2" w:rsidRPr="00124B75"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lang w:eastAsia="it-IT"/>
        </w:rPr>
        <w:t>può essere</w:t>
      </w:r>
      <w:r w:rsidRPr="00124B75"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lang w:eastAsia="it-IT"/>
        </w:rPr>
        <w:t xml:space="preserve"> confermata mediante </w:t>
      </w:r>
      <w:r w:rsidR="00AC5123" w:rsidRPr="00124B75"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lang w:eastAsia="it-IT"/>
        </w:rPr>
        <w:t>la spirometria</w:t>
      </w:r>
      <w:r w:rsidR="00194860"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, un semplice test che misura la quantità di aria che una persona può espirare e la quantità di tempo che serve per farlo (fattori indicativi dello stato di salute e della funzionalità respiratoria)</w:t>
      </w:r>
      <w:r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. </w:t>
      </w:r>
      <w:r w:rsidR="00194860"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Nel caso di incertezza </w:t>
      </w:r>
      <w:r w:rsidR="0008235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diagnostica</w:t>
      </w:r>
      <w:r w:rsidR="00237EA7"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,</w:t>
      </w:r>
      <w:r w:rsidR="00194860"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 si</w:t>
      </w:r>
      <w:r w:rsidR="00796A7F"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 possono effettuare ulteriori approfondiment</w:t>
      </w:r>
      <w:r w:rsidR="0008235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i</w:t>
      </w:r>
      <w:r w:rsidR="00796A7F"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, come il test di broncoprovocazione, o adottare un criterio ex-adjuvantibus</w:t>
      </w:r>
      <w:r w:rsidR="00194860"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, valutando la risposta del paziente alla terapia farmacologica</w:t>
      </w:r>
      <w:r w:rsidR="00DC3F17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.</w:t>
      </w:r>
      <w:r w:rsidR="00124B75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vertAlign w:val="superscript"/>
          <w:lang w:eastAsia="it-IT"/>
        </w:rPr>
        <w:t>1</w:t>
      </w:r>
      <w:r w:rsidR="00796A7F"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 </w:t>
      </w:r>
    </w:p>
    <w:p w14:paraId="11A4468F" w14:textId="77777777" w:rsidR="00D27141" w:rsidRPr="00897DFF" w:rsidRDefault="00D27141" w:rsidP="00446D02">
      <w:pPr>
        <w:spacing w:after="120" w:line="240" w:lineRule="auto"/>
        <w:jc w:val="both"/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</w:pPr>
    </w:p>
    <w:p w14:paraId="663395B8" w14:textId="1CEED9EC" w:rsidR="00BA5E4F" w:rsidRPr="00124B75" w:rsidRDefault="00AB425E" w:rsidP="00082356">
      <w:pPr>
        <w:spacing w:after="120" w:line="240" w:lineRule="auto"/>
        <w:jc w:val="both"/>
        <w:rPr>
          <w:rFonts w:ascii="Verdana Pro Light" w:eastAsia="Times New Roman" w:hAnsi="Verdana Pro Light" w:cs="Calibri"/>
          <w:b/>
          <w:bCs/>
          <w:color w:val="B90066"/>
          <w:lang w:eastAsia="it-IT"/>
        </w:rPr>
      </w:pPr>
      <w:r w:rsidRPr="00124B75">
        <w:rPr>
          <w:rFonts w:ascii="Verdana Pro Light" w:eastAsia="Times New Roman" w:hAnsi="Verdana Pro Light" w:cs="Calibri"/>
          <w:b/>
          <w:bCs/>
          <w:color w:val="B90066"/>
          <w:lang w:eastAsia="it-IT"/>
        </w:rPr>
        <w:t>Trattamento</w:t>
      </w:r>
      <w:r w:rsidR="00194860" w:rsidRPr="00124B75">
        <w:rPr>
          <w:rFonts w:ascii="Verdana Pro Light" w:eastAsia="Times New Roman" w:hAnsi="Verdana Pro Light" w:cs="Calibri"/>
          <w:b/>
          <w:bCs/>
          <w:color w:val="B90066"/>
          <w:lang w:eastAsia="it-IT"/>
        </w:rPr>
        <w:t xml:space="preserve"> </w:t>
      </w:r>
    </w:p>
    <w:p w14:paraId="431C13D5" w14:textId="3DB32374" w:rsidR="00CC6313" w:rsidRDefault="00F7380E" w:rsidP="00082356">
      <w:pPr>
        <w:spacing w:after="120" w:line="240" w:lineRule="auto"/>
        <w:jc w:val="both"/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</w:pPr>
      <w:r w:rsidRPr="00F7380E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Gli obiettivi principali della gestione dell'asma sono soprattutto quelli di </w:t>
      </w:r>
      <w:r w:rsidRPr="00F7380E"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lang w:eastAsia="it-IT"/>
        </w:rPr>
        <w:t>controllare i sintomi e ridurre i rischi futuri correlati alla malattia</w:t>
      </w:r>
      <w:r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, </w:t>
      </w:r>
      <w:r w:rsidR="004357B5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fra cui, in particolare, la riduzione delle riacutizzazioni asmatiche</w:t>
      </w:r>
      <w:r w:rsidR="00CC6313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.</w:t>
      </w:r>
    </w:p>
    <w:p w14:paraId="52B6BB9F" w14:textId="5023D093" w:rsidR="00CC6313" w:rsidRDefault="00CC6313" w:rsidP="00CC6313">
      <w:pPr>
        <w:pStyle w:val="NormaleWeb"/>
        <w:spacing w:before="0" w:beforeAutospacing="0" w:after="120" w:afterAutospacing="0"/>
        <w:jc w:val="both"/>
        <w:textAlignment w:val="baseline"/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22"/>
          <w:szCs w:val="22"/>
        </w:rPr>
      </w:pPr>
      <w:r w:rsidRPr="00CC6313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22"/>
          <w:szCs w:val="22"/>
        </w:rPr>
        <w:t xml:space="preserve">A seguito della conferma diagnostica, lo specialista sceglierà la </w:t>
      </w:r>
      <w:r w:rsidRPr="00CC6313"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sz w:val="22"/>
          <w:szCs w:val="22"/>
        </w:rPr>
        <w:t>terapia farmacologica più adatta</w:t>
      </w:r>
      <w:r w:rsidRPr="00CC6313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22"/>
          <w:szCs w:val="22"/>
        </w:rPr>
        <w:t xml:space="preserve"> per il </w:t>
      </w:r>
      <w:r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22"/>
          <w:szCs w:val="22"/>
        </w:rPr>
        <w:t xml:space="preserve">singolo </w:t>
      </w:r>
      <w:r w:rsidRPr="00CC6313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22"/>
          <w:szCs w:val="22"/>
        </w:rPr>
        <w:t>paziente</w:t>
      </w:r>
      <w:r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22"/>
          <w:szCs w:val="22"/>
        </w:rPr>
        <w:t>, tenuto conto della</w:t>
      </w:r>
      <w:r w:rsidRPr="00CC6313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22"/>
          <w:szCs w:val="22"/>
        </w:rPr>
        <w:t xml:space="preserve"> </w:t>
      </w:r>
      <w:r w:rsidRPr="00CC6313"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sz w:val="22"/>
          <w:szCs w:val="22"/>
        </w:rPr>
        <w:t>gravità della malattia</w:t>
      </w:r>
      <w:r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22"/>
          <w:szCs w:val="22"/>
        </w:rPr>
        <w:t xml:space="preserve">, dei </w:t>
      </w:r>
      <w:r w:rsidRPr="00CC6313"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sz w:val="22"/>
          <w:szCs w:val="22"/>
        </w:rPr>
        <w:t>fattori scatenanti</w:t>
      </w:r>
      <w:r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22"/>
          <w:szCs w:val="22"/>
        </w:rPr>
        <w:t>, dell’</w:t>
      </w:r>
      <w:r w:rsidRPr="00CC6313"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sz w:val="22"/>
          <w:szCs w:val="22"/>
        </w:rPr>
        <w:t>età</w:t>
      </w:r>
      <w:r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22"/>
          <w:szCs w:val="22"/>
        </w:rPr>
        <w:t xml:space="preserve"> e della presenza di </w:t>
      </w:r>
      <w:r w:rsidRPr="00CC6313"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sz w:val="22"/>
          <w:szCs w:val="22"/>
        </w:rPr>
        <w:t>comorbidità</w:t>
      </w:r>
      <w:r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22"/>
          <w:szCs w:val="22"/>
        </w:rPr>
        <w:t xml:space="preserve">, </w:t>
      </w:r>
      <w:r w:rsidRPr="00CC6313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22"/>
          <w:szCs w:val="22"/>
        </w:rPr>
        <w:t>che possono modificare il decorso della malattia e la risposta al trattamento</w:t>
      </w:r>
      <w:r w:rsidR="00DC3F17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22"/>
          <w:szCs w:val="22"/>
        </w:rPr>
        <w:t>.</w:t>
      </w:r>
      <w:r w:rsidRPr="00CC6313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22"/>
          <w:szCs w:val="22"/>
          <w:vertAlign w:val="superscript"/>
        </w:rPr>
        <w:t>1</w:t>
      </w:r>
    </w:p>
    <w:p w14:paraId="3D233397" w14:textId="283B7E3B" w:rsidR="00316BA9" w:rsidRDefault="00316BA9" w:rsidP="00E15B2F">
      <w:pPr>
        <w:pStyle w:val="NormaleWeb"/>
        <w:spacing w:before="0" w:beforeAutospacing="0" w:after="120" w:afterAutospacing="0"/>
        <w:jc w:val="both"/>
        <w:textAlignment w:val="baseline"/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22"/>
          <w:szCs w:val="22"/>
        </w:rPr>
      </w:pPr>
      <w:r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22"/>
          <w:szCs w:val="22"/>
        </w:rPr>
        <w:t xml:space="preserve">La terapia </w:t>
      </w:r>
      <w:proofErr w:type="gramStart"/>
      <w:r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22"/>
          <w:szCs w:val="22"/>
        </w:rPr>
        <w:t>anti-asmatica</w:t>
      </w:r>
      <w:proofErr w:type="gramEnd"/>
      <w:r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22"/>
          <w:szCs w:val="22"/>
        </w:rPr>
        <w:t xml:space="preserve"> è fondamentalmente di tipo inalatorio.</w:t>
      </w:r>
    </w:p>
    <w:p w14:paraId="54E75766" w14:textId="49F409B7" w:rsidR="00CC6313" w:rsidRPr="00E15B2F" w:rsidRDefault="00CC6313" w:rsidP="00E15B2F">
      <w:pPr>
        <w:pStyle w:val="NormaleWeb"/>
        <w:spacing w:before="0" w:beforeAutospacing="0" w:after="120" w:afterAutospacing="0"/>
        <w:jc w:val="both"/>
        <w:textAlignment w:val="baseline"/>
        <w:rPr>
          <w:rFonts w:ascii="Montserrat" w:hAnsi="Montserrat"/>
          <w:color w:val="434343"/>
          <w:sz w:val="23"/>
          <w:szCs w:val="23"/>
        </w:rPr>
      </w:pPr>
      <w:r w:rsidRPr="00CC6313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22"/>
          <w:szCs w:val="22"/>
        </w:rPr>
        <w:t xml:space="preserve">Il trattamento </w:t>
      </w:r>
      <w:r w:rsidR="00E15B2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22"/>
          <w:szCs w:val="22"/>
        </w:rPr>
        <w:t xml:space="preserve">di fondo </w:t>
      </w:r>
      <w:r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22"/>
          <w:szCs w:val="22"/>
        </w:rPr>
        <w:t>dell’asma</w:t>
      </w:r>
      <w:r w:rsidRPr="00CC6313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22"/>
          <w:szCs w:val="22"/>
        </w:rPr>
        <w:t xml:space="preserve"> prevede </w:t>
      </w:r>
      <w:r w:rsidRPr="00E15B2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22"/>
          <w:szCs w:val="22"/>
        </w:rPr>
        <w:t>la </w:t>
      </w:r>
      <w:r w:rsidRPr="00082356"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sz w:val="22"/>
          <w:szCs w:val="22"/>
        </w:rPr>
        <w:t>somministrazione di corticosteroidi per via inalatoria</w:t>
      </w:r>
      <w:r w:rsidR="00383A68"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sz w:val="22"/>
          <w:szCs w:val="22"/>
        </w:rPr>
        <w:t xml:space="preserve"> (ICS)</w:t>
      </w:r>
      <w:r w:rsidRPr="00082356">
        <w:rPr>
          <w:rFonts w:ascii="Montserrat" w:hAnsi="Montserrat"/>
          <w:b/>
          <w:bCs/>
          <w:color w:val="434343"/>
          <w:sz w:val="23"/>
          <w:szCs w:val="23"/>
        </w:rPr>
        <w:t xml:space="preserve"> </w:t>
      </w:r>
      <w:r w:rsidRPr="00082356"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sz w:val="22"/>
          <w:szCs w:val="22"/>
        </w:rPr>
        <w:t xml:space="preserve">in associazione </w:t>
      </w:r>
      <w:r w:rsidR="00383A68"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sz w:val="22"/>
          <w:szCs w:val="22"/>
        </w:rPr>
        <w:t xml:space="preserve">a </w:t>
      </w:r>
      <w:r w:rsidRPr="00082356"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sz w:val="22"/>
          <w:szCs w:val="22"/>
        </w:rPr>
        <w:t xml:space="preserve">farmaci broncodilatatori </w:t>
      </w:r>
      <w:r w:rsidR="00383A68"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sz w:val="22"/>
          <w:szCs w:val="22"/>
        </w:rPr>
        <w:t xml:space="preserve">adrenergici </w:t>
      </w:r>
      <w:r w:rsidRPr="00082356"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sz w:val="22"/>
          <w:szCs w:val="22"/>
        </w:rPr>
        <w:t>a lunga durata d'azione</w:t>
      </w:r>
      <w:r w:rsidR="00E15B2F" w:rsidRPr="00082356"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sz w:val="22"/>
          <w:szCs w:val="22"/>
        </w:rPr>
        <w:t xml:space="preserve"> </w:t>
      </w:r>
      <w:r w:rsidR="00316BA9" w:rsidRPr="00082356"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sz w:val="22"/>
          <w:szCs w:val="22"/>
        </w:rPr>
        <w:t>per via inalatoria</w:t>
      </w:r>
      <w:r w:rsidR="00316BA9"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sz w:val="22"/>
          <w:szCs w:val="22"/>
        </w:rPr>
        <w:t xml:space="preserve"> </w:t>
      </w:r>
      <w:r w:rsidR="00383A68"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sz w:val="22"/>
          <w:szCs w:val="22"/>
        </w:rPr>
        <w:t xml:space="preserve">(LABA) </w:t>
      </w:r>
      <w:r w:rsidRPr="00E15B2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22"/>
          <w:szCs w:val="22"/>
        </w:rPr>
        <w:t>che aumentano l'efficacia della terapia</w:t>
      </w:r>
      <w:r w:rsidR="00DC3F17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22"/>
          <w:szCs w:val="22"/>
        </w:rPr>
        <w:t>.</w:t>
      </w:r>
      <w:r w:rsidR="00E15B2F" w:rsidRPr="00E15B2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22"/>
          <w:szCs w:val="22"/>
          <w:vertAlign w:val="superscript"/>
        </w:rPr>
        <w:t>1</w:t>
      </w:r>
    </w:p>
    <w:p w14:paraId="25524871" w14:textId="47C576BE" w:rsidR="00383A68" w:rsidRDefault="00383A68" w:rsidP="00E15B2F">
      <w:pPr>
        <w:pStyle w:val="NormaleWeb"/>
        <w:spacing w:before="0" w:beforeAutospacing="0" w:after="120" w:afterAutospacing="0"/>
        <w:jc w:val="both"/>
        <w:textAlignment w:val="baseline"/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sz w:val="22"/>
          <w:szCs w:val="22"/>
        </w:rPr>
      </w:pPr>
      <w:r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22"/>
          <w:szCs w:val="22"/>
        </w:rPr>
        <w:t xml:space="preserve">Quando l’associazione ICS+LABA non è sufficiente a controllare la patologia, le linee-guida suggeriscono di aggiungere un altro principio attivo, cioè un </w:t>
      </w:r>
      <w:r w:rsidRPr="00082356"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sz w:val="22"/>
          <w:szCs w:val="22"/>
        </w:rPr>
        <w:t>farmac</w:t>
      </w:r>
      <w:r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sz w:val="22"/>
          <w:szCs w:val="22"/>
        </w:rPr>
        <w:t>o</w:t>
      </w:r>
      <w:r w:rsidRPr="00082356"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sz w:val="22"/>
          <w:szCs w:val="22"/>
        </w:rPr>
        <w:t> broncodilatator</w:t>
      </w:r>
      <w:r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sz w:val="22"/>
          <w:szCs w:val="22"/>
        </w:rPr>
        <w:t>e</w:t>
      </w:r>
      <w:r w:rsidRPr="00082356"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sz w:val="22"/>
          <w:szCs w:val="22"/>
        </w:rPr>
        <w:t xml:space="preserve"> </w:t>
      </w:r>
      <w:r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sz w:val="22"/>
          <w:szCs w:val="22"/>
        </w:rPr>
        <w:t xml:space="preserve">anti-muscarinico </w:t>
      </w:r>
      <w:r w:rsidRPr="00082356"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sz w:val="22"/>
          <w:szCs w:val="22"/>
        </w:rPr>
        <w:t xml:space="preserve">a lunga durata d'azione </w:t>
      </w:r>
      <w:r w:rsidR="00316BA9" w:rsidRPr="00082356"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sz w:val="22"/>
          <w:szCs w:val="22"/>
        </w:rPr>
        <w:t>per via inalatoria</w:t>
      </w:r>
      <w:r w:rsidR="00316BA9"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sz w:val="22"/>
          <w:szCs w:val="22"/>
        </w:rPr>
        <w:t xml:space="preserve"> </w:t>
      </w:r>
      <w:r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sz w:val="22"/>
          <w:szCs w:val="22"/>
        </w:rPr>
        <w:t>(LAMA).</w:t>
      </w:r>
    </w:p>
    <w:p w14:paraId="075F52E9" w14:textId="1E3E56D5" w:rsidR="00383A68" w:rsidRDefault="00383A68" w:rsidP="00E15B2F">
      <w:pPr>
        <w:pStyle w:val="NormaleWeb"/>
        <w:spacing w:before="0" w:beforeAutospacing="0" w:after="120" w:afterAutospacing="0"/>
        <w:jc w:val="both"/>
        <w:textAlignment w:val="baseline"/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22"/>
          <w:szCs w:val="22"/>
        </w:rPr>
      </w:pPr>
      <w:r w:rsidRPr="00C0722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22"/>
          <w:szCs w:val="22"/>
        </w:rPr>
        <w:t>L’</w:t>
      </w:r>
      <w:r w:rsidRPr="00882B21"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sz w:val="22"/>
          <w:szCs w:val="22"/>
        </w:rPr>
        <w:t xml:space="preserve">associazione ICS+LABA+LAMA </w:t>
      </w:r>
      <w:r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22"/>
          <w:szCs w:val="22"/>
        </w:rPr>
        <w:t xml:space="preserve">è una opzione che rappresenta l’ottimizzazione della terapia inalatoria.  </w:t>
      </w:r>
    </w:p>
    <w:p w14:paraId="54E4FC30" w14:textId="13887220" w:rsidR="00CC6313" w:rsidRPr="00E15B2F" w:rsidRDefault="00CC6313" w:rsidP="00E15B2F">
      <w:pPr>
        <w:pStyle w:val="NormaleWeb"/>
        <w:spacing w:before="0" w:beforeAutospacing="0" w:after="120" w:afterAutospacing="0"/>
        <w:jc w:val="both"/>
        <w:textAlignment w:val="baseline"/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22"/>
          <w:szCs w:val="22"/>
        </w:rPr>
      </w:pPr>
      <w:r w:rsidRPr="00E15B2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22"/>
          <w:szCs w:val="22"/>
        </w:rPr>
        <w:t>Da ultimo, è importante agire anche sui propri </w:t>
      </w:r>
      <w:r w:rsidRPr="00E15B2F"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sz w:val="22"/>
          <w:szCs w:val="22"/>
        </w:rPr>
        <w:t>comportamenti e stili di vita</w:t>
      </w:r>
      <w:r w:rsidRPr="00E15B2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22"/>
          <w:szCs w:val="22"/>
        </w:rPr>
        <w:t xml:space="preserve">, </w:t>
      </w:r>
      <w:r w:rsidR="00E15B2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22"/>
          <w:szCs w:val="22"/>
        </w:rPr>
        <w:t xml:space="preserve">seguendo una dieta salutare con adeguato controllo del peso corporeo, </w:t>
      </w:r>
      <w:r w:rsidRPr="00E15B2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22"/>
          <w:szCs w:val="22"/>
        </w:rPr>
        <w:t>praticando la giusta attività fisica</w:t>
      </w:r>
      <w:r w:rsidR="00E15B2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22"/>
          <w:szCs w:val="22"/>
        </w:rPr>
        <w:t xml:space="preserve">, </w:t>
      </w:r>
      <w:r w:rsidRPr="00E15B2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22"/>
          <w:szCs w:val="22"/>
        </w:rPr>
        <w:t>evitando fumo e inquinanti ambientali</w:t>
      </w:r>
      <w:r w:rsidR="00E15B2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22"/>
          <w:szCs w:val="22"/>
        </w:rPr>
        <w:t>, riducendo le situazioni di stress emotivo</w:t>
      </w:r>
      <w:r w:rsidR="00C0722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22"/>
          <w:szCs w:val="22"/>
        </w:rPr>
        <w:t>.</w:t>
      </w:r>
      <w:r w:rsidR="00E15B2F" w:rsidRPr="00E15B2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22"/>
          <w:szCs w:val="22"/>
          <w:vertAlign w:val="superscript"/>
        </w:rPr>
        <w:t>1</w:t>
      </w:r>
    </w:p>
    <w:p w14:paraId="5807ECAE" w14:textId="77777777" w:rsidR="005425CD" w:rsidRPr="00897DFF" w:rsidRDefault="005425CD" w:rsidP="00E15B2F">
      <w:pPr>
        <w:spacing w:after="120" w:line="240" w:lineRule="auto"/>
        <w:jc w:val="both"/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</w:pPr>
    </w:p>
    <w:p w14:paraId="430FBD0E" w14:textId="77777777" w:rsidR="00AB425E" w:rsidRPr="00E15B2F" w:rsidRDefault="00AB425E" w:rsidP="00082356">
      <w:pPr>
        <w:spacing w:after="120" w:line="240" w:lineRule="auto"/>
        <w:jc w:val="both"/>
        <w:rPr>
          <w:rFonts w:ascii="Verdana Pro Light" w:eastAsia="Times New Roman" w:hAnsi="Verdana Pro Light" w:cs="Calibri"/>
          <w:b/>
          <w:bCs/>
          <w:color w:val="B90066"/>
          <w:lang w:eastAsia="it-IT"/>
        </w:rPr>
      </w:pPr>
      <w:r w:rsidRPr="00E15B2F">
        <w:rPr>
          <w:rFonts w:ascii="Verdana Pro Light" w:eastAsia="Times New Roman" w:hAnsi="Verdana Pro Light" w:cs="Calibri"/>
          <w:b/>
          <w:bCs/>
          <w:color w:val="B90066"/>
          <w:lang w:eastAsia="it-IT"/>
        </w:rPr>
        <w:t>Aderenza alla terapia</w:t>
      </w:r>
    </w:p>
    <w:p w14:paraId="02843C45" w14:textId="1F93B8C7" w:rsidR="00C07226" w:rsidRDefault="00E15B2F" w:rsidP="0008235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</w:pPr>
      <w:r w:rsidRPr="00082356"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lang w:eastAsia="it-IT"/>
        </w:rPr>
        <w:t>L’aderenza alla terapia è una componente essenziale del trattamento</w:t>
      </w:r>
      <w:r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 e</w:t>
      </w:r>
      <w:r w:rsidR="00882B21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 </w:t>
      </w:r>
      <w:r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rappresenta una condizione critica per il successo terapeutico. </w:t>
      </w:r>
      <w:r w:rsidR="0008235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Si</w:t>
      </w:r>
      <w:r w:rsidR="00082356"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 stima che il </w:t>
      </w:r>
      <w:r w:rsidR="00082356" w:rsidRPr="00082356"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lang w:eastAsia="it-IT"/>
        </w:rPr>
        <w:t>24%</w:t>
      </w:r>
      <w:r w:rsidR="00082356"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 delle riacutizzazioni e il </w:t>
      </w:r>
      <w:r w:rsidR="00082356" w:rsidRPr="00082356"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lang w:eastAsia="it-IT"/>
        </w:rPr>
        <w:t>60%</w:t>
      </w:r>
      <w:r w:rsidR="00082356"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 dei ricoveri correlati all'asma siano attribuibili alla scarsa aderenza</w:t>
      </w:r>
      <w:r w:rsidR="00C0722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.</w:t>
      </w:r>
      <w:r w:rsidR="0008235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vertAlign w:val="superscript"/>
          <w:lang w:eastAsia="it-IT"/>
        </w:rPr>
        <w:t>7</w:t>
      </w:r>
    </w:p>
    <w:p w14:paraId="0C6F1079" w14:textId="6FFE924D" w:rsidR="005A15B2" w:rsidRDefault="008E3F87" w:rsidP="0081022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</w:pPr>
      <w:r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In Italia</w:t>
      </w:r>
      <w:r w:rsidR="00237EA7" w:rsidRPr="00897DFF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,</w:t>
      </w:r>
      <w:r w:rsidR="0006559D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 l’</w:t>
      </w:r>
      <w:r w:rsidR="0006559D" w:rsidRPr="0006559D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aderenza alla terapia continua ad essere un elemento di forte criticità, con </w:t>
      </w:r>
      <w:r w:rsidR="0006559D" w:rsidRPr="0006559D"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lang w:eastAsia="it-IT"/>
        </w:rPr>
        <w:t>livelli inferiori al 20%</w:t>
      </w:r>
      <w:r w:rsidR="00C07226"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lang w:eastAsia="it-IT"/>
        </w:rPr>
        <w:t>.</w:t>
      </w:r>
      <w:r w:rsidR="0006559D" w:rsidRPr="0006559D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vertAlign w:val="superscript"/>
          <w:lang w:eastAsia="it-IT"/>
        </w:rPr>
        <w:t>8</w:t>
      </w:r>
    </w:p>
    <w:p w14:paraId="2B7E82FC" w14:textId="74E10F1B" w:rsidR="00810227" w:rsidRPr="00C07226" w:rsidRDefault="00810227" w:rsidP="0081022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</w:pPr>
      <w:r w:rsidRPr="00C0722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Fra i </w:t>
      </w:r>
      <w:r w:rsidR="006F62B7" w:rsidRPr="00C0722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motivi identificati </w:t>
      </w:r>
      <w:r w:rsidRPr="00C0722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del</w:t>
      </w:r>
      <w:r w:rsidR="006F62B7" w:rsidRPr="00C0722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la non</w:t>
      </w:r>
      <w:r w:rsidR="00C0722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 </w:t>
      </w:r>
      <w:r w:rsidR="006F62B7" w:rsidRPr="00C0722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aderenza </w:t>
      </w:r>
      <w:r w:rsidRPr="00C0722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vi è l’impiego di multipli inalatori. </w:t>
      </w:r>
      <w:r w:rsidR="005A15B2" w:rsidRPr="00C0722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U</w:t>
      </w:r>
      <w:r w:rsidRPr="00C0722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na review sistematica riporta che l’</w:t>
      </w:r>
      <w:r w:rsidR="005A15B2" w:rsidRPr="00882B21"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lang w:eastAsia="it-IT"/>
        </w:rPr>
        <w:t xml:space="preserve">utilizzo di un singolo </w:t>
      </w:r>
      <w:r w:rsidRPr="00882B21"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lang w:eastAsia="it-IT"/>
        </w:rPr>
        <w:t>inalatore aumenta significativamente i tassi di aderenza</w:t>
      </w:r>
      <w:r w:rsidRPr="00C0722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, mentre le analisi economiche mostrano che il singolo inalatore è associato a un </w:t>
      </w:r>
      <w:r w:rsidRPr="00882B21"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lang w:eastAsia="it-IT"/>
        </w:rPr>
        <w:t>ridotto utilizzo di risorse sanitarie</w:t>
      </w:r>
      <w:r w:rsidRPr="00C0722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 ed è conveniente rispetto alle terapie con più inalatori</w:t>
      </w:r>
      <w:r w:rsidR="00C07226" w:rsidRPr="00C0722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.</w:t>
      </w:r>
      <w:r w:rsidRPr="00C0722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vertAlign w:val="superscript"/>
          <w:lang w:eastAsia="it-IT"/>
        </w:rPr>
        <w:t>9</w:t>
      </w:r>
    </w:p>
    <w:p w14:paraId="60E487BC" w14:textId="77777777" w:rsidR="00860655" w:rsidRDefault="00860655">
      <w:pPr>
        <w:widowControl w:val="0"/>
        <w:suppressAutoHyphens/>
        <w:autoSpaceDN w:val="0"/>
        <w:spacing w:after="120"/>
        <w:jc w:val="both"/>
        <w:textAlignment w:val="baseline"/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</w:pPr>
    </w:p>
    <w:p w14:paraId="5400955F" w14:textId="7EB42B0D" w:rsidR="00C8287B" w:rsidRPr="00C07226" w:rsidRDefault="00F7609C" w:rsidP="0086065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</w:rPr>
      </w:pPr>
      <w:r w:rsidRPr="00C0722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lastRenderedPageBreak/>
        <w:t>In particolare, l</w:t>
      </w:r>
      <w:r w:rsidRPr="00C0722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</w:rPr>
        <w:t>'uso della tripla terapia in un unico inalatore ha il potenziale di</w:t>
      </w:r>
      <w:r w:rsidR="00C8287B" w:rsidRPr="00C0722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</w:rPr>
        <w:t>:</w:t>
      </w:r>
    </w:p>
    <w:p w14:paraId="5E266681" w14:textId="6B341CC3" w:rsidR="00C8287B" w:rsidRPr="00C07226" w:rsidRDefault="00F7609C" w:rsidP="00860655">
      <w:pPr>
        <w:pStyle w:val="Paragrafoelenco"/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</w:rPr>
      </w:pPr>
      <w:r w:rsidRPr="00C0722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</w:rPr>
        <w:t>migliorare l'aderenza al trattamento riducendo il numero di dispositivi inalatori necessari per la terapia di mantenimento, con meno istruzioni e senza regimi di dosaggio differenti</w:t>
      </w:r>
      <w:r w:rsidR="00882B21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</w:rPr>
        <w:t>;</w:t>
      </w:r>
    </w:p>
    <w:p w14:paraId="0226D514" w14:textId="55232944" w:rsidR="00C8287B" w:rsidRPr="00C07226" w:rsidRDefault="00F7609C" w:rsidP="00860655">
      <w:pPr>
        <w:pStyle w:val="Paragrafoelenco"/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</w:rPr>
      </w:pPr>
      <w:r w:rsidRPr="00C0722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</w:rPr>
        <w:t>ridurre gli errori di dosaggio e di manipolazione</w:t>
      </w:r>
      <w:r w:rsidR="00882B21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</w:rPr>
        <w:t>;</w:t>
      </w:r>
    </w:p>
    <w:p w14:paraId="4205D7CB" w14:textId="79B9931D" w:rsidR="00F7609C" w:rsidRPr="00C07226" w:rsidRDefault="00C8287B" w:rsidP="00860655">
      <w:pPr>
        <w:pStyle w:val="Paragrafoelenco"/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</w:rPr>
      </w:pPr>
      <w:r w:rsidRPr="00C0722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</w:rPr>
        <w:t>ridurre</w:t>
      </w:r>
      <w:r w:rsidR="00C0722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</w:rPr>
        <w:t xml:space="preserve"> </w:t>
      </w:r>
      <w:r w:rsidR="00F7609C" w:rsidRPr="00C0722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</w:rPr>
        <w:t>l'interruzione selettiva di specifiche e individuali terapie antiasmatiche in generale e</w:t>
      </w:r>
      <w:r w:rsidR="00882B21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</w:rPr>
        <w:t>,</w:t>
      </w:r>
      <w:r w:rsidR="00F7609C" w:rsidRPr="00C0722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</w:rPr>
        <w:t xml:space="preserve"> in particolare</w:t>
      </w:r>
      <w:r w:rsidR="00882B21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</w:rPr>
        <w:t>,</w:t>
      </w:r>
      <w:r w:rsidR="00F7609C" w:rsidRPr="00C0722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</w:rPr>
        <w:t xml:space="preserve"> </w:t>
      </w:r>
      <w:r w:rsidRPr="00C0722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</w:rPr>
        <w:t>l’abbandono dell’inalatore con</w:t>
      </w:r>
      <w:r w:rsidR="00F7609C" w:rsidRPr="00C0722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</w:rPr>
        <w:t xml:space="preserve"> corticosteroidi inalanti</w:t>
      </w:r>
      <w:r w:rsidR="00C07226" w:rsidRPr="00C0722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</w:rPr>
        <w:t>.</w:t>
      </w:r>
      <w:r w:rsidR="00F7609C" w:rsidRPr="00C0722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vertAlign w:val="superscript"/>
        </w:rPr>
        <w:t>10</w:t>
      </w:r>
    </w:p>
    <w:p w14:paraId="51D1872B" w14:textId="77777777" w:rsidR="00860655" w:rsidRDefault="00860655" w:rsidP="00446D02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</w:pPr>
    </w:p>
    <w:p w14:paraId="6E60EDCB" w14:textId="015916EF" w:rsidR="006F62B7" w:rsidRPr="0006559D" w:rsidRDefault="0006559D" w:rsidP="00446D02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</w:pPr>
      <w:r w:rsidRPr="0006559D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L’educazione e la formazione sull’asma sono importanti strumenti per </w:t>
      </w:r>
      <w:r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consentire al paziente di </w:t>
      </w:r>
      <w:r w:rsidRPr="0006559D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gestire e controllare </w:t>
      </w:r>
      <w:r w:rsidR="0061117D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efficacemente </w:t>
      </w:r>
      <w:r w:rsidRPr="0006559D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la</w:t>
      </w:r>
      <w:r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 xml:space="preserve"> propria malattia. </w:t>
      </w:r>
      <w:r w:rsidRPr="0006559D"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lang w:eastAsia="it-IT"/>
        </w:rPr>
        <w:t>L’educazione può migliorare l’aderenza alle raccomandazioni terapeutiche e coinvolgere il paziente nelle strategie di autogestione</w:t>
      </w:r>
      <w:r w:rsidRPr="0006559D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  <w:t>: il soggetto asmatico dovrebbe essere in grado di riconoscerne i sintomi, individuare ed eliminare i potenziali stimoli e trattare le esacerbazioni nelle loro primissime fasi attraverso un eventuale potenziamento della terapia.</w:t>
      </w:r>
    </w:p>
    <w:p w14:paraId="178F78E3" w14:textId="77777777" w:rsidR="005236E2" w:rsidRPr="00897DFF" w:rsidRDefault="005236E2" w:rsidP="00897DF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</w:pPr>
    </w:p>
    <w:p w14:paraId="761D64EB" w14:textId="77777777" w:rsidR="00546F5A" w:rsidRDefault="00546F5A" w:rsidP="00897DF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</w:pPr>
    </w:p>
    <w:p w14:paraId="3108A141" w14:textId="77777777" w:rsidR="00860655" w:rsidRDefault="00860655" w:rsidP="00897DF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</w:pPr>
    </w:p>
    <w:p w14:paraId="4624C891" w14:textId="77777777" w:rsidR="00860655" w:rsidRDefault="00860655" w:rsidP="00897DF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</w:pPr>
    </w:p>
    <w:p w14:paraId="0DFD256D" w14:textId="77777777" w:rsidR="00860655" w:rsidRDefault="00860655" w:rsidP="00897DF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</w:pPr>
    </w:p>
    <w:p w14:paraId="40668CAB" w14:textId="77777777" w:rsidR="00860655" w:rsidRDefault="00860655" w:rsidP="00897DF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</w:pPr>
    </w:p>
    <w:p w14:paraId="66B6FEE9" w14:textId="77777777" w:rsidR="00860655" w:rsidRDefault="00860655" w:rsidP="00897DF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</w:pPr>
    </w:p>
    <w:p w14:paraId="55BC1216" w14:textId="77777777" w:rsidR="00860655" w:rsidRDefault="00860655" w:rsidP="00897DF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</w:pPr>
    </w:p>
    <w:p w14:paraId="08A4CCD3" w14:textId="77777777" w:rsidR="0061117D" w:rsidRDefault="0061117D" w:rsidP="00897DF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</w:pPr>
    </w:p>
    <w:p w14:paraId="38CA5D78" w14:textId="77777777" w:rsidR="0061117D" w:rsidRDefault="0061117D" w:rsidP="00897DF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</w:pPr>
    </w:p>
    <w:p w14:paraId="67027672" w14:textId="77777777" w:rsidR="0061117D" w:rsidRDefault="0061117D" w:rsidP="00897DF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</w:pPr>
    </w:p>
    <w:p w14:paraId="260F1F29" w14:textId="77777777" w:rsidR="0061117D" w:rsidRDefault="0061117D" w:rsidP="00897DF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</w:pPr>
    </w:p>
    <w:p w14:paraId="6E88A659" w14:textId="77777777" w:rsidR="0061117D" w:rsidRDefault="0061117D" w:rsidP="00897DF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</w:pPr>
    </w:p>
    <w:p w14:paraId="5F18D280" w14:textId="77777777" w:rsidR="0061117D" w:rsidRDefault="0061117D" w:rsidP="00897DF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</w:pPr>
    </w:p>
    <w:p w14:paraId="67954A2C" w14:textId="77777777" w:rsidR="0061117D" w:rsidRDefault="0061117D" w:rsidP="00897DF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</w:pPr>
    </w:p>
    <w:p w14:paraId="1B02FBF7" w14:textId="77777777" w:rsidR="0061117D" w:rsidRPr="00897DFF" w:rsidRDefault="0061117D" w:rsidP="00897DF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eastAsia="it-IT"/>
        </w:rPr>
      </w:pPr>
    </w:p>
    <w:p w14:paraId="60B57E02" w14:textId="77777777" w:rsidR="005236E2" w:rsidRPr="007F5A8D" w:rsidRDefault="005236E2" w:rsidP="00897DFF">
      <w:pPr>
        <w:spacing w:after="0" w:line="240" w:lineRule="auto"/>
        <w:jc w:val="both"/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lang w:val="en-US" w:eastAsia="it-IT"/>
        </w:rPr>
      </w:pPr>
      <w:r w:rsidRPr="007F5A8D">
        <w:rPr>
          <w:rFonts w:ascii="Verdana Pro Light" w:eastAsiaTheme="majorEastAsia" w:hAnsi="Verdana Pro Light" w:cstheme="majorBidi"/>
          <w:b/>
          <w:bCs/>
          <w:color w:val="000000" w:themeColor="text1"/>
          <w:spacing w:val="-10"/>
          <w:kern w:val="28"/>
          <w:lang w:val="en-US" w:eastAsia="it-IT"/>
        </w:rPr>
        <w:t>Bibliografia</w:t>
      </w:r>
    </w:p>
    <w:p w14:paraId="56548BD2" w14:textId="48CFF056" w:rsidR="00480404" w:rsidRPr="00C07226" w:rsidRDefault="00897DFF" w:rsidP="00082356">
      <w:pPr>
        <w:pStyle w:val="Nessunaspaziatura"/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8"/>
          <w:szCs w:val="18"/>
          <w:lang w:eastAsia="it-IT"/>
        </w:rPr>
      </w:pPr>
      <w:r w:rsidRPr="0008235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8"/>
          <w:szCs w:val="18"/>
          <w:vertAlign w:val="superscript"/>
          <w:lang w:val="en-US" w:eastAsia="it-IT"/>
        </w:rPr>
        <w:t>1</w:t>
      </w:r>
      <w:r w:rsidR="00480404" w:rsidRPr="0008235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8"/>
          <w:szCs w:val="18"/>
          <w:lang w:val="en-US" w:eastAsia="it-IT"/>
        </w:rPr>
        <w:t xml:space="preserve"> Global Initiative for Asthma. GINA (Global Strategy for Asthma Management and Prevention), </w:t>
      </w:r>
      <w:r w:rsidRPr="0008235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8"/>
          <w:szCs w:val="18"/>
          <w:lang w:val="en-US" w:eastAsia="it-IT"/>
        </w:rPr>
        <w:t xml:space="preserve">Report </w:t>
      </w:r>
      <w:r w:rsidR="00480404" w:rsidRPr="0008235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8"/>
          <w:szCs w:val="18"/>
          <w:lang w:val="en-US" w:eastAsia="it-IT"/>
        </w:rPr>
        <w:t>20</w:t>
      </w:r>
      <w:r w:rsidRPr="0008235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8"/>
          <w:szCs w:val="18"/>
          <w:lang w:val="en-US" w:eastAsia="it-IT"/>
        </w:rPr>
        <w:t>22</w:t>
      </w:r>
      <w:r w:rsidR="00480404" w:rsidRPr="0008235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8"/>
          <w:szCs w:val="18"/>
          <w:lang w:val="en-US" w:eastAsia="it-IT"/>
        </w:rPr>
        <w:t xml:space="preserve">. </w:t>
      </w:r>
      <w:hyperlink r:id="rId8" w:history="1">
        <w:r w:rsidRPr="00C07226">
          <w:rPr>
            <w:rStyle w:val="Collegamentoipertestuale"/>
            <w:rFonts w:ascii="Verdana Pro Light" w:eastAsiaTheme="majorEastAsia" w:hAnsi="Verdana Pro Light" w:cstheme="majorBidi"/>
            <w:spacing w:val="-10"/>
            <w:kern w:val="28"/>
            <w:sz w:val="18"/>
            <w:szCs w:val="18"/>
            <w:lang w:eastAsia="it-IT"/>
          </w:rPr>
          <w:t>https://ginasthma.org/wp-content/uploads/2022/07/GINA-Main-Report-2022-FINAL-22-07-01-WMS.pdf</w:t>
        </w:r>
      </w:hyperlink>
      <w:r w:rsidRPr="00C0722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8"/>
          <w:szCs w:val="18"/>
          <w:lang w:eastAsia="it-IT"/>
        </w:rPr>
        <w:t xml:space="preserve"> </w:t>
      </w:r>
      <w:hyperlink r:id="rId9" w:history="1"/>
    </w:p>
    <w:p w14:paraId="7A73C153" w14:textId="76B2DA5B" w:rsidR="00480404" w:rsidRPr="00082356" w:rsidRDefault="00480404" w:rsidP="00082356">
      <w:pPr>
        <w:pStyle w:val="Testonotaapidipagina"/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8"/>
          <w:szCs w:val="18"/>
          <w:lang w:eastAsia="it-IT"/>
        </w:rPr>
      </w:pPr>
      <w:r w:rsidRPr="0008235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8"/>
          <w:szCs w:val="18"/>
          <w:vertAlign w:val="superscript"/>
          <w:lang w:eastAsia="it-IT"/>
        </w:rPr>
        <w:t>2</w:t>
      </w:r>
      <w:r w:rsidRPr="0008235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8"/>
          <w:szCs w:val="18"/>
          <w:lang w:eastAsia="it-IT"/>
        </w:rPr>
        <w:t xml:space="preserve"> EpiCentro, Istituto Superiore di Sanità. </w:t>
      </w:r>
      <w:hyperlink r:id="rId10" w:history="1">
        <w:r w:rsidR="00111078" w:rsidRPr="00082356">
          <w:rPr>
            <w:rStyle w:val="Collegamentoipertestuale"/>
            <w:rFonts w:ascii="Verdana Pro Light" w:eastAsiaTheme="majorEastAsia" w:hAnsi="Verdana Pro Light" w:cstheme="majorBidi"/>
            <w:spacing w:val="-10"/>
            <w:kern w:val="28"/>
            <w:sz w:val="18"/>
            <w:szCs w:val="18"/>
            <w:lang w:eastAsia="it-IT"/>
          </w:rPr>
          <w:t>https://www.epicentro.iss.it/asma/</w:t>
        </w:r>
      </w:hyperlink>
    </w:p>
    <w:p w14:paraId="2260E1CC" w14:textId="01A542CC" w:rsidR="00C46593" w:rsidRPr="00082356" w:rsidRDefault="00C46593" w:rsidP="00082356">
      <w:pPr>
        <w:pStyle w:val="Testonotaapidipagina"/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8"/>
          <w:szCs w:val="18"/>
          <w:lang w:eastAsia="it-IT"/>
        </w:rPr>
      </w:pPr>
      <w:r w:rsidRPr="0008235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8"/>
          <w:szCs w:val="18"/>
          <w:vertAlign w:val="superscript"/>
          <w:lang w:eastAsia="it-IT"/>
        </w:rPr>
        <w:t>3</w:t>
      </w:r>
      <w:r w:rsidRPr="0008235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8"/>
          <w:szCs w:val="18"/>
          <w:lang w:eastAsia="it-IT"/>
        </w:rPr>
        <w:t xml:space="preserve"> EpiCentro, Istituto Superiore di Sanità. </w:t>
      </w:r>
      <w:hyperlink r:id="rId11" w:anchor=":~:text=Nel%2050%25%20degli%20adulti%20e,della%20malattia%2C%20una%20ogni%2020" w:history="1">
        <w:r w:rsidRPr="00082356">
          <w:rPr>
            <w:rStyle w:val="Collegamentoipertestuale"/>
            <w:rFonts w:ascii="Verdana Pro Light" w:eastAsiaTheme="majorEastAsia" w:hAnsi="Verdana Pro Light" w:cstheme="majorBidi"/>
            <w:spacing w:val="-10"/>
            <w:kern w:val="28"/>
            <w:sz w:val="18"/>
            <w:szCs w:val="18"/>
            <w:lang w:eastAsia="it-IT"/>
          </w:rPr>
          <w:t>https://www.epicentro.iss.it/asma/epidemiologia#:~:text=Nel%2050%25%20degli%20adulti%20e,della%20malattia%2C%20una%20ogni%2020</w:t>
        </w:r>
      </w:hyperlink>
      <w:r w:rsidRPr="0008235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8"/>
          <w:szCs w:val="18"/>
          <w:lang w:eastAsia="it-IT"/>
        </w:rPr>
        <w:t xml:space="preserve">. </w:t>
      </w:r>
    </w:p>
    <w:p w14:paraId="3F967FA0" w14:textId="2638DDCB" w:rsidR="002C5486" w:rsidRPr="00082356" w:rsidRDefault="00FF6482" w:rsidP="00082356">
      <w:pPr>
        <w:pStyle w:val="Nessunaspaziatura"/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8"/>
          <w:szCs w:val="18"/>
          <w:lang w:val="en-US" w:eastAsia="it-IT"/>
        </w:rPr>
      </w:pPr>
      <w:r w:rsidRPr="0008235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8"/>
          <w:szCs w:val="18"/>
          <w:vertAlign w:val="superscript"/>
          <w:lang w:val="en-US" w:eastAsia="it-IT"/>
        </w:rPr>
        <w:t>4</w:t>
      </w:r>
      <w:r w:rsidR="00480404" w:rsidRPr="0008235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8"/>
          <w:szCs w:val="18"/>
          <w:lang w:val="en-US" w:eastAsia="it-IT"/>
        </w:rPr>
        <w:t xml:space="preserve"> SIMG </w:t>
      </w:r>
      <w:r w:rsidR="002C5486" w:rsidRPr="0008235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8"/>
          <w:szCs w:val="18"/>
          <w:lang w:val="en-US" w:eastAsia="it-IT"/>
        </w:rPr>
        <w:t>–</w:t>
      </w:r>
      <w:r w:rsidR="00480404" w:rsidRPr="0008235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8"/>
          <w:szCs w:val="18"/>
          <w:lang w:val="en-US" w:eastAsia="it-IT"/>
        </w:rPr>
        <w:t xml:space="preserve"> </w:t>
      </w:r>
      <w:r w:rsidR="002C5486" w:rsidRPr="0008235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8"/>
          <w:szCs w:val="18"/>
          <w:lang w:val="en-US" w:eastAsia="it-IT"/>
        </w:rPr>
        <w:t xml:space="preserve">XV </w:t>
      </w:r>
      <w:r w:rsidR="00480404" w:rsidRPr="0008235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8"/>
          <w:szCs w:val="18"/>
          <w:lang w:val="en-US" w:eastAsia="it-IT"/>
        </w:rPr>
        <w:t>R</w:t>
      </w:r>
      <w:r w:rsidR="002C5486" w:rsidRPr="0008235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8"/>
          <w:szCs w:val="18"/>
          <w:lang w:val="en-US" w:eastAsia="it-IT"/>
        </w:rPr>
        <w:t>eport Health search</w:t>
      </w:r>
      <w:r w:rsidR="00480404" w:rsidRPr="0008235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8"/>
          <w:szCs w:val="18"/>
          <w:lang w:val="en-US" w:eastAsia="it-IT"/>
        </w:rPr>
        <w:t xml:space="preserve"> </w:t>
      </w:r>
      <w:r w:rsidR="002C5486" w:rsidRPr="0008235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8"/>
          <w:szCs w:val="18"/>
          <w:lang w:val="en-US" w:eastAsia="it-IT"/>
        </w:rPr>
        <w:t>E</w:t>
      </w:r>
      <w:r w:rsidR="00480404" w:rsidRPr="0008235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8"/>
          <w:szCs w:val="18"/>
          <w:lang w:val="en-US" w:eastAsia="it-IT"/>
        </w:rPr>
        <w:t>dizione 2</w:t>
      </w:r>
      <w:r w:rsidR="002C5486" w:rsidRPr="0008235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8"/>
          <w:szCs w:val="18"/>
          <w:lang w:val="en-US" w:eastAsia="it-IT"/>
        </w:rPr>
        <w:t>022:</w:t>
      </w:r>
      <w:r w:rsidR="002C5486" w:rsidRPr="00082356">
        <w:rPr>
          <w:sz w:val="18"/>
          <w:szCs w:val="18"/>
          <w:lang w:val="en-US"/>
        </w:rPr>
        <w:t xml:space="preserve"> </w:t>
      </w:r>
      <w:hyperlink r:id="rId12" w:history="1">
        <w:r w:rsidR="002C5486" w:rsidRPr="00082356">
          <w:rPr>
            <w:rStyle w:val="Collegamentoipertestuale"/>
            <w:rFonts w:ascii="Verdana Pro Light" w:eastAsiaTheme="majorEastAsia" w:hAnsi="Verdana Pro Light" w:cstheme="majorBidi"/>
            <w:spacing w:val="-10"/>
            <w:kern w:val="28"/>
            <w:sz w:val="18"/>
            <w:szCs w:val="18"/>
            <w:lang w:val="en-US" w:eastAsia="it-IT"/>
          </w:rPr>
          <w:t>https://report.healthsearch.it/XV_REPORT_HS.pdf</w:t>
        </w:r>
      </w:hyperlink>
      <w:r w:rsidR="002C5486" w:rsidRPr="0008235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8"/>
          <w:szCs w:val="18"/>
          <w:lang w:val="en-US" w:eastAsia="it-IT"/>
        </w:rPr>
        <w:t xml:space="preserve"> </w:t>
      </w:r>
    </w:p>
    <w:p w14:paraId="241D7831" w14:textId="13AD2282" w:rsidR="00852CA5" w:rsidRPr="00082356" w:rsidRDefault="00977733" w:rsidP="00082356">
      <w:pPr>
        <w:tabs>
          <w:tab w:val="left" w:pos="0"/>
        </w:tabs>
        <w:spacing w:after="0" w:line="240" w:lineRule="auto"/>
        <w:contextualSpacing/>
        <w:rPr>
          <w:rFonts w:ascii="Verdana Pro Light" w:hAnsi="Verdana Pro Light" w:cs="Arial"/>
          <w:bCs/>
          <w:sz w:val="18"/>
          <w:szCs w:val="18"/>
          <w:lang w:val="en-US"/>
        </w:rPr>
      </w:pPr>
      <w:r w:rsidRPr="00082356">
        <w:rPr>
          <w:rFonts w:ascii="Verdana Pro Light" w:hAnsi="Verdana Pro Light" w:cs="Arial"/>
          <w:bCs/>
          <w:sz w:val="18"/>
          <w:szCs w:val="18"/>
          <w:vertAlign w:val="superscript"/>
          <w:lang w:val="en-US"/>
        </w:rPr>
        <w:t>5</w:t>
      </w:r>
      <w:r w:rsidRPr="00082356">
        <w:rPr>
          <w:rFonts w:ascii="Verdana Pro Light" w:hAnsi="Verdana Pro Light" w:cs="Arial"/>
          <w:bCs/>
          <w:sz w:val="18"/>
          <w:szCs w:val="18"/>
          <w:lang w:val="en-US"/>
        </w:rPr>
        <w:t xml:space="preserve"> </w:t>
      </w:r>
      <w:r w:rsidR="00852CA5" w:rsidRPr="00852CA5">
        <w:rPr>
          <w:rFonts w:ascii="Verdana Pro Light" w:hAnsi="Verdana Pro Light" w:cs="Arial"/>
          <w:bCs/>
          <w:sz w:val="18"/>
          <w:szCs w:val="18"/>
          <w:lang w:val="en-US"/>
        </w:rPr>
        <w:t xml:space="preserve">Rönnebjerg L, Axelsson M, Kankaanranta H, Backman H, Rådinger M, Lundbäck B, Ekerljung L. Severe Asthma in a General Population Study: Prevalence and Clinical Characteristics. J Asthma Allergy. 2021 Sep </w:t>
      </w:r>
      <w:proofErr w:type="gramStart"/>
      <w:r w:rsidR="00852CA5" w:rsidRPr="00852CA5">
        <w:rPr>
          <w:rFonts w:ascii="Verdana Pro Light" w:hAnsi="Verdana Pro Light" w:cs="Arial"/>
          <w:bCs/>
          <w:sz w:val="18"/>
          <w:szCs w:val="18"/>
          <w:lang w:val="en-US"/>
        </w:rPr>
        <w:t>16;14:1105</w:t>
      </w:r>
      <w:proofErr w:type="gramEnd"/>
      <w:r w:rsidR="00852CA5" w:rsidRPr="00852CA5">
        <w:rPr>
          <w:rFonts w:ascii="Verdana Pro Light" w:hAnsi="Verdana Pro Light" w:cs="Arial"/>
          <w:bCs/>
          <w:sz w:val="18"/>
          <w:szCs w:val="18"/>
          <w:lang w:val="en-US"/>
        </w:rPr>
        <w:t>-1115.</w:t>
      </w:r>
    </w:p>
    <w:p w14:paraId="077E1A91" w14:textId="16E80CC9" w:rsidR="00480404" w:rsidRPr="00082356" w:rsidRDefault="00977733" w:rsidP="00852CA5">
      <w:pPr>
        <w:tabs>
          <w:tab w:val="left" w:pos="0"/>
        </w:tabs>
        <w:spacing w:after="0" w:line="240" w:lineRule="auto"/>
        <w:contextualSpacing/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8"/>
          <w:szCs w:val="18"/>
          <w:lang w:val="en-US" w:eastAsia="it-IT"/>
        </w:rPr>
      </w:pPr>
      <w:r w:rsidRPr="0008235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8"/>
          <w:szCs w:val="18"/>
          <w:vertAlign w:val="superscript"/>
          <w:lang w:val="en-US" w:eastAsia="it-IT"/>
        </w:rPr>
        <w:t>6</w:t>
      </w:r>
      <w:r w:rsidR="00480404" w:rsidRPr="0008235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8"/>
          <w:szCs w:val="18"/>
          <w:lang w:val="en-US" w:eastAsia="it-IT"/>
        </w:rPr>
        <w:t xml:space="preserve"> Beasley R, Semprini A, Mitchell EA. Risk factors for asthma: is prevention possible? Lancet. 2015 Sep 12;386(9998):1075-85.</w:t>
      </w:r>
    </w:p>
    <w:p w14:paraId="1EADA741" w14:textId="397EC17D" w:rsidR="00082356" w:rsidRPr="00111078" w:rsidRDefault="00082356" w:rsidP="00082356">
      <w:pPr>
        <w:pStyle w:val="Testonotaapidipagina"/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8"/>
          <w:szCs w:val="18"/>
          <w:lang w:val="en-US" w:eastAsia="it-IT"/>
        </w:rPr>
      </w:pPr>
      <w:r w:rsidRPr="0008235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8"/>
          <w:szCs w:val="18"/>
          <w:vertAlign w:val="superscript"/>
          <w:lang w:val="en-US" w:eastAsia="it-IT"/>
        </w:rPr>
        <w:t>7</w:t>
      </w:r>
      <w:r w:rsidRPr="00111078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8"/>
          <w:szCs w:val="18"/>
          <w:lang w:val="en-US" w:eastAsia="it-IT"/>
        </w:rPr>
        <w:t xml:space="preserve"> </w:t>
      </w:r>
      <w:r w:rsidR="00810227" w:rsidRPr="00810227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8"/>
          <w:szCs w:val="18"/>
          <w:lang w:val="en-US" w:eastAsia="it-IT"/>
        </w:rPr>
        <w:t xml:space="preserve">Bårnes </w:t>
      </w:r>
      <w:r w:rsidRPr="00111078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8"/>
          <w:szCs w:val="18"/>
          <w:lang w:val="en-US" w:eastAsia="it-IT"/>
        </w:rPr>
        <w:t xml:space="preserve">CB, Ulrik CS. </w:t>
      </w:r>
      <w:proofErr w:type="gramStart"/>
      <w:r w:rsidRPr="00111078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8"/>
          <w:szCs w:val="18"/>
          <w:lang w:val="en-US" w:eastAsia="it-IT"/>
        </w:rPr>
        <w:t>Asthma</w:t>
      </w:r>
      <w:proofErr w:type="gramEnd"/>
      <w:r w:rsidRPr="00111078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8"/>
          <w:szCs w:val="18"/>
          <w:lang w:val="en-US" w:eastAsia="it-IT"/>
        </w:rPr>
        <w:t xml:space="preserve"> and adherence to inhaled corticosteroids: current status and future perspectives. Respir Care. 2015 Mar;60(3):455-68.</w:t>
      </w:r>
    </w:p>
    <w:p w14:paraId="53A5271C" w14:textId="71D7C6C8" w:rsidR="0006559D" w:rsidRPr="00860655" w:rsidRDefault="0006559D" w:rsidP="0006559D">
      <w:pPr>
        <w:tabs>
          <w:tab w:val="left" w:pos="0"/>
        </w:tabs>
        <w:spacing w:after="0" w:line="240" w:lineRule="auto"/>
        <w:contextualSpacing/>
        <w:rPr>
          <w:rFonts w:ascii="Verdana Pro Light" w:hAnsi="Verdana Pro Light" w:cs="Arial"/>
          <w:bCs/>
          <w:sz w:val="18"/>
          <w:szCs w:val="18"/>
          <w:lang w:val="en-US"/>
        </w:rPr>
      </w:pPr>
      <w:r w:rsidRPr="00860655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8"/>
          <w:szCs w:val="18"/>
          <w:vertAlign w:val="superscript"/>
          <w:lang w:val="en-US" w:eastAsia="it-IT"/>
        </w:rPr>
        <w:t xml:space="preserve">8 </w:t>
      </w:r>
      <w:r w:rsidRPr="00860655">
        <w:rPr>
          <w:rFonts w:ascii="Verdana Pro Light" w:hAnsi="Verdana Pro Light" w:cs="Arial"/>
          <w:bCs/>
          <w:sz w:val="18"/>
          <w:szCs w:val="18"/>
          <w:lang w:val="en-US"/>
        </w:rPr>
        <w:t xml:space="preserve">AIFA, Rapporto OSMED 2020: </w:t>
      </w:r>
      <w:hyperlink r:id="rId13" w:history="1">
        <w:r w:rsidRPr="00860655">
          <w:rPr>
            <w:rStyle w:val="Collegamentoipertestuale"/>
            <w:rFonts w:ascii="Verdana Pro Light" w:hAnsi="Verdana Pro Light" w:cs="Arial"/>
            <w:bCs/>
            <w:sz w:val="18"/>
            <w:szCs w:val="18"/>
            <w:lang w:val="en-US"/>
          </w:rPr>
          <w:t>https://www.aifa.gov.it/documents/20142/1542390/Rapporto-OsMed-2020.pdf</w:t>
        </w:r>
      </w:hyperlink>
    </w:p>
    <w:p w14:paraId="6BA7195F" w14:textId="77777777" w:rsidR="00151BB7" w:rsidRDefault="0006559D" w:rsidP="0006559D">
      <w:pPr>
        <w:pStyle w:val="Testonotaapidipagina"/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8"/>
          <w:szCs w:val="18"/>
          <w:lang w:val="en-US" w:eastAsia="it-IT"/>
        </w:rPr>
      </w:pPr>
      <w:r w:rsidRPr="0006559D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8"/>
          <w:szCs w:val="18"/>
          <w:vertAlign w:val="superscript"/>
          <w:lang w:val="en-US" w:eastAsia="it-IT"/>
        </w:rPr>
        <w:t>9</w:t>
      </w:r>
      <w:r w:rsidRPr="00111078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8"/>
          <w:szCs w:val="18"/>
          <w:lang w:val="en-US" w:eastAsia="it-IT"/>
        </w:rPr>
        <w:t xml:space="preserve"> </w:t>
      </w:r>
      <w:r w:rsidR="00151BB7" w:rsidRPr="00151BB7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8"/>
          <w:szCs w:val="18"/>
          <w:lang w:val="en-US" w:eastAsia="it-IT"/>
        </w:rPr>
        <w:t xml:space="preserve">Zhang S, King D, Rosen VM, Ismaila AS. Impact of Single Combination Inhaler versus Multiple Inhalers to Deliver the Same Medications for Patients with Asthma or COPD: A Systematic Literature Review. Int J Chron Obstruct Pulmon Dis. 2020 Feb </w:t>
      </w:r>
      <w:proofErr w:type="gramStart"/>
      <w:r w:rsidR="00151BB7" w:rsidRPr="00151BB7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8"/>
          <w:szCs w:val="18"/>
          <w:lang w:val="en-US" w:eastAsia="it-IT"/>
        </w:rPr>
        <w:t>26;15:417</w:t>
      </w:r>
      <w:proofErr w:type="gramEnd"/>
      <w:r w:rsidR="00151BB7" w:rsidRPr="00151BB7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8"/>
          <w:szCs w:val="18"/>
          <w:lang w:val="en-US" w:eastAsia="it-IT"/>
        </w:rPr>
        <w:t xml:space="preserve">-438. </w:t>
      </w:r>
    </w:p>
    <w:p w14:paraId="1856F415" w14:textId="087C17B3" w:rsidR="00F7609C" w:rsidRDefault="00F7609C" w:rsidP="0006559D">
      <w:pPr>
        <w:pStyle w:val="Testonotaapidipagina"/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8"/>
          <w:szCs w:val="18"/>
          <w:lang w:val="en-US" w:eastAsia="it-IT"/>
        </w:rPr>
      </w:pPr>
      <w:r w:rsidRPr="00C0722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8"/>
          <w:szCs w:val="18"/>
          <w:vertAlign w:val="superscript"/>
          <w:lang w:val="en-US" w:eastAsia="it-IT"/>
        </w:rPr>
        <w:t>10</w:t>
      </w:r>
      <w:r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8"/>
          <w:szCs w:val="18"/>
          <w:lang w:val="en-US" w:eastAsia="it-IT"/>
        </w:rPr>
        <w:t xml:space="preserve"> </w:t>
      </w:r>
      <w:r w:rsidRPr="00F7609C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8"/>
          <w:szCs w:val="18"/>
          <w:lang w:val="en-US" w:eastAsia="it-IT"/>
        </w:rPr>
        <w:t>Agusti A, Fabbri L, Lahousse L, Singh D, Papi A. Single inhaler triple therapy (SITT) in asthma: Systematic review and practice implications. Allergy. 2022 Apr;77(4):1105-1113.</w:t>
      </w:r>
    </w:p>
    <w:p w14:paraId="7233A761" w14:textId="01DA445A" w:rsidR="00082356" w:rsidRDefault="00082356" w:rsidP="00897DFF">
      <w:pPr>
        <w:pStyle w:val="Nessunaspaziatura"/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8"/>
          <w:szCs w:val="18"/>
          <w:lang w:val="en-US" w:eastAsia="it-IT"/>
        </w:rPr>
      </w:pPr>
    </w:p>
    <w:p w14:paraId="2481683E" w14:textId="77777777" w:rsidR="00887CC6" w:rsidRPr="00C07226" w:rsidRDefault="00887CC6" w:rsidP="00897DFF">
      <w:pPr>
        <w:spacing w:after="0" w:line="240" w:lineRule="auto"/>
        <w:jc w:val="both"/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val="en-US" w:eastAsia="it-IT"/>
        </w:rPr>
      </w:pPr>
    </w:p>
    <w:p w14:paraId="25026EA8" w14:textId="77777777" w:rsidR="0061117D" w:rsidRPr="00C07226" w:rsidRDefault="0061117D" w:rsidP="00897DFF">
      <w:pPr>
        <w:spacing w:after="0" w:line="240" w:lineRule="auto"/>
        <w:jc w:val="both"/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val="en-US" w:eastAsia="it-IT"/>
        </w:rPr>
      </w:pPr>
    </w:p>
    <w:sectPr w:rsidR="0061117D" w:rsidRPr="00C07226" w:rsidSect="00860655">
      <w:headerReference w:type="default" r:id="rId14"/>
      <w:pgSz w:w="11906" w:h="16838"/>
      <w:pgMar w:top="1418" w:right="1418" w:bottom="12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47583" w14:textId="77777777" w:rsidR="00AF5408" w:rsidRDefault="00AF5408" w:rsidP="00043EA3">
      <w:pPr>
        <w:spacing w:after="0" w:line="240" w:lineRule="auto"/>
      </w:pPr>
      <w:r>
        <w:separator/>
      </w:r>
    </w:p>
  </w:endnote>
  <w:endnote w:type="continuationSeparator" w:id="0">
    <w:p w14:paraId="37974FCE" w14:textId="77777777" w:rsidR="00AF5408" w:rsidRDefault="00AF5408" w:rsidP="0004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 Pro Light">
    <w:panose1 w:val="020B0304030504040204"/>
    <w:charset w:val="00"/>
    <w:family w:val="swiss"/>
    <w:pitch w:val="variable"/>
    <w:sig w:usb0="80000287" w:usb1="0000004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4D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26B63" w14:textId="77777777" w:rsidR="00AF5408" w:rsidRDefault="00AF5408" w:rsidP="00043EA3">
      <w:pPr>
        <w:spacing w:after="0" w:line="240" w:lineRule="auto"/>
      </w:pPr>
      <w:r>
        <w:separator/>
      </w:r>
    </w:p>
  </w:footnote>
  <w:footnote w:type="continuationSeparator" w:id="0">
    <w:p w14:paraId="5866C3CF" w14:textId="77777777" w:rsidR="00AF5408" w:rsidRDefault="00AF5408" w:rsidP="00043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0622" w14:textId="7732D371" w:rsidR="00897DFF" w:rsidRDefault="00897DFF">
    <w:pPr>
      <w:pStyle w:val="Intestazione"/>
    </w:pPr>
    <w:r w:rsidRPr="0016094C">
      <w:rPr>
        <w:noProof/>
      </w:rPr>
      <w:drawing>
        <wp:anchor distT="0" distB="0" distL="114300" distR="114300" simplePos="0" relativeHeight="251659264" behindDoc="0" locked="0" layoutInCell="1" allowOverlap="1" wp14:anchorId="7BE9F216" wp14:editId="59377E7E">
          <wp:simplePos x="0" y="0"/>
          <wp:positionH relativeFrom="column">
            <wp:posOffset>4031192</wp:posOffset>
          </wp:positionH>
          <wp:positionV relativeFrom="paragraph">
            <wp:posOffset>-204470</wp:posOffset>
          </wp:positionV>
          <wp:extent cx="1748790" cy="352425"/>
          <wp:effectExtent l="0" t="0" r="3810" b="317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79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E68863" w14:textId="1D6DEDF5" w:rsidR="00897DFF" w:rsidRPr="007A10F9" w:rsidRDefault="00897DFF" w:rsidP="00897DFF">
    <w:pPr>
      <w:pStyle w:val="Intestazione"/>
      <w:rPr>
        <w:rFonts w:ascii="Verdana Pro Light" w:eastAsiaTheme="majorEastAsia" w:hAnsi="Verdana Pro Light" w:cstheme="majorBidi"/>
        <w:color w:val="000000" w:themeColor="text1"/>
        <w:spacing w:val="-10"/>
        <w:kern w:val="28"/>
        <w:sz w:val="18"/>
        <w:szCs w:val="18"/>
      </w:rPr>
    </w:pPr>
    <w:r>
      <w:rPr>
        <w:rFonts w:ascii="Verdana Pro Light" w:eastAsiaTheme="majorEastAsia" w:hAnsi="Verdana Pro Light" w:cstheme="majorBidi"/>
        <w:color w:val="000000" w:themeColor="text1"/>
        <w:spacing w:val="-10"/>
        <w:kern w:val="28"/>
        <w:sz w:val="18"/>
        <w:szCs w:val="18"/>
      </w:rPr>
      <w:tab/>
    </w:r>
    <w:r>
      <w:rPr>
        <w:rFonts w:ascii="Verdana Pro Light" w:eastAsiaTheme="majorEastAsia" w:hAnsi="Verdana Pro Light" w:cstheme="majorBidi"/>
        <w:color w:val="000000" w:themeColor="text1"/>
        <w:spacing w:val="-10"/>
        <w:kern w:val="28"/>
        <w:sz w:val="18"/>
        <w:szCs w:val="18"/>
      </w:rPr>
      <w:tab/>
      <w:t xml:space="preserve">         </w:t>
    </w:r>
    <w:r w:rsidR="00E15B2F">
      <w:rPr>
        <w:rFonts w:ascii="Verdana Pro Light" w:eastAsiaTheme="majorEastAsia" w:hAnsi="Verdana Pro Light" w:cstheme="majorBidi"/>
        <w:color w:val="000000" w:themeColor="text1"/>
        <w:spacing w:val="-10"/>
        <w:kern w:val="28"/>
        <w:sz w:val="18"/>
        <w:szCs w:val="18"/>
      </w:rPr>
      <w:t xml:space="preserve">    </w:t>
    </w:r>
    <w:r>
      <w:rPr>
        <w:rFonts w:ascii="Verdana Pro Light" w:eastAsiaTheme="majorEastAsia" w:hAnsi="Verdana Pro Light" w:cstheme="majorBidi"/>
        <w:color w:val="000000" w:themeColor="text1"/>
        <w:spacing w:val="-10"/>
        <w:kern w:val="28"/>
        <w:sz w:val="18"/>
        <w:szCs w:val="18"/>
      </w:rPr>
      <w:t xml:space="preserve">  </w:t>
    </w:r>
    <w:r w:rsidR="00E15B2F">
      <w:rPr>
        <w:rFonts w:ascii="Verdana Pro Light" w:eastAsiaTheme="majorEastAsia" w:hAnsi="Verdana Pro Light" w:cstheme="majorBidi"/>
        <w:color w:val="000000" w:themeColor="text1"/>
        <w:spacing w:val="-10"/>
        <w:kern w:val="28"/>
        <w:sz w:val="18"/>
        <w:szCs w:val="18"/>
      </w:rPr>
      <w:t xml:space="preserve">    </w:t>
    </w:r>
    <w:r>
      <w:rPr>
        <w:rFonts w:ascii="Verdana Pro Light" w:eastAsiaTheme="majorEastAsia" w:hAnsi="Verdana Pro Light" w:cstheme="majorBidi"/>
        <w:color w:val="000000" w:themeColor="text1"/>
        <w:spacing w:val="-10"/>
        <w:kern w:val="28"/>
        <w:sz w:val="18"/>
        <w:szCs w:val="18"/>
      </w:rPr>
      <w:t>Scheda di patologia</w:t>
    </w:r>
  </w:p>
  <w:p w14:paraId="40156B47" w14:textId="3C2F21DC" w:rsidR="00897DFF" w:rsidRDefault="00897DFF">
    <w:pPr>
      <w:pStyle w:val="Intestazione"/>
    </w:pPr>
  </w:p>
  <w:p w14:paraId="257F3FF5" w14:textId="77777777" w:rsidR="00897DFF" w:rsidRPr="00860655" w:rsidRDefault="00897DFF">
    <w:pPr>
      <w:pStyle w:val="Intestazion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E0C03"/>
    <w:multiLevelType w:val="hybridMultilevel"/>
    <w:tmpl w:val="D264D910"/>
    <w:lvl w:ilvl="0" w:tplc="00840D48">
      <w:numFmt w:val="bullet"/>
      <w:lvlText w:val="-"/>
      <w:lvlJc w:val="left"/>
      <w:pPr>
        <w:ind w:left="720" w:hanging="360"/>
      </w:pPr>
      <w:rPr>
        <w:rFonts w:ascii="Verdana Pro Light" w:eastAsiaTheme="majorEastAsia" w:hAnsi="Verdana Pro Light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C1489"/>
    <w:multiLevelType w:val="multilevel"/>
    <w:tmpl w:val="F326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4316169">
    <w:abstractNumId w:val="1"/>
  </w:num>
  <w:num w:numId="2" w16cid:durableId="1887450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C96"/>
    <w:rsid w:val="00043EA3"/>
    <w:rsid w:val="00044DE0"/>
    <w:rsid w:val="0005451B"/>
    <w:rsid w:val="0006559D"/>
    <w:rsid w:val="00082356"/>
    <w:rsid w:val="000F15F8"/>
    <w:rsid w:val="000F1C13"/>
    <w:rsid w:val="00111078"/>
    <w:rsid w:val="00124B75"/>
    <w:rsid w:val="00151BB7"/>
    <w:rsid w:val="00151C77"/>
    <w:rsid w:val="00185972"/>
    <w:rsid w:val="00194860"/>
    <w:rsid w:val="001A3FF1"/>
    <w:rsid w:val="001D4527"/>
    <w:rsid w:val="00237EA7"/>
    <w:rsid w:val="002C5486"/>
    <w:rsid w:val="002D6702"/>
    <w:rsid w:val="003102B8"/>
    <w:rsid w:val="00314BC8"/>
    <w:rsid w:val="00316BA9"/>
    <w:rsid w:val="00383A68"/>
    <w:rsid w:val="003A412F"/>
    <w:rsid w:val="00423D58"/>
    <w:rsid w:val="004357B5"/>
    <w:rsid w:val="00440861"/>
    <w:rsid w:val="00442612"/>
    <w:rsid w:val="00446D02"/>
    <w:rsid w:val="004612BE"/>
    <w:rsid w:val="00480404"/>
    <w:rsid w:val="00504C3F"/>
    <w:rsid w:val="005236E2"/>
    <w:rsid w:val="00541D0F"/>
    <w:rsid w:val="005425CD"/>
    <w:rsid w:val="00544EC4"/>
    <w:rsid w:val="00545BF1"/>
    <w:rsid w:val="00546F5A"/>
    <w:rsid w:val="005A15B2"/>
    <w:rsid w:val="005A277F"/>
    <w:rsid w:val="005B36B1"/>
    <w:rsid w:val="005D4AF6"/>
    <w:rsid w:val="005E0CA9"/>
    <w:rsid w:val="0061117D"/>
    <w:rsid w:val="00624E58"/>
    <w:rsid w:val="0069501D"/>
    <w:rsid w:val="006C16A5"/>
    <w:rsid w:val="006F62B7"/>
    <w:rsid w:val="0070155A"/>
    <w:rsid w:val="00726AA5"/>
    <w:rsid w:val="0077092E"/>
    <w:rsid w:val="00784D01"/>
    <w:rsid w:val="007875D1"/>
    <w:rsid w:val="00796A7F"/>
    <w:rsid w:val="007B7603"/>
    <w:rsid w:val="007F5A8D"/>
    <w:rsid w:val="00803923"/>
    <w:rsid w:val="00810227"/>
    <w:rsid w:val="008119F2"/>
    <w:rsid w:val="00814A05"/>
    <w:rsid w:val="0083419F"/>
    <w:rsid w:val="0084247A"/>
    <w:rsid w:val="00852CA5"/>
    <w:rsid w:val="00860655"/>
    <w:rsid w:val="00864BFF"/>
    <w:rsid w:val="00882B21"/>
    <w:rsid w:val="00887CC6"/>
    <w:rsid w:val="00897DFF"/>
    <w:rsid w:val="008A320A"/>
    <w:rsid w:val="008A43C8"/>
    <w:rsid w:val="008B3C29"/>
    <w:rsid w:val="008C40B1"/>
    <w:rsid w:val="008C6C7A"/>
    <w:rsid w:val="008E3F87"/>
    <w:rsid w:val="008F4090"/>
    <w:rsid w:val="0092696A"/>
    <w:rsid w:val="009460E7"/>
    <w:rsid w:val="009751D0"/>
    <w:rsid w:val="00977733"/>
    <w:rsid w:val="00995C01"/>
    <w:rsid w:val="009C0BC6"/>
    <w:rsid w:val="00A501B9"/>
    <w:rsid w:val="00A52601"/>
    <w:rsid w:val="00A52B46"/>
    <w:rsid w:val="00A6768D"/>
    <w:rsid w:val="00A770B0"/>
    <w:rsid w:val="00AB425E"/>
    <w:rsid w:val="00AC5123"/>
    <w:rsid w:val="00AE4CD3"/>
    <w:rsid w:val="00AF5408"/>
    <w:rsid w:val="00B2177D"/>
    <w:rsid w:val="00B43FBE"/>
    <w:rsid w:val="00B96972"/>
    <w:rsid w:val="00BA5E4F"/>
    <w:rsid w:val="00BB6898"/>
    <w:rsid w:val="00BE11D2"/>
    <w:rsid w:val="00BF7EC5"/>
    <w:rsid w:val="00C07226"/>
    <w:rsid w:val="00C43C96"/>
    <w:rsid w:val="00C46593"/>
    <w:rsid w:val="00C5744E"/>
    <w:rsid w:val="00C76283"/>
    <w:rsid w:val="00C8287B"/>
    <w:rsid w:val="00CC6313"/>
    <w:rsid w:val="00CF40E1"/>
    <w:rsid w:val="00D24501"/>
    <w:rsid w:val="00D27141"/>
    <w:rsid w:val="00D575C4"/>
    <w:rsid w:val="00D67380"/>
    <w:rsid w:val="00D81193"/>
    <w:rsid w:val="00DB3533"/>
    <w:rsid w:val="00DC3F17"/>
    <w:rsid w:val="00DD3FBB"/>
    <w:rsid w:val="00E15B2F"/>
    <w:rsid w:val="00E2563E"/>
    <w:rsid w:val="00E50EDD"/>
    <w:rsid w:val="00EB049E"/>
    <w:rsid w:val="00EB5009"/>
    <w:rsid w:val="00F07FD9"/>
    <w:rsid w:val="00F41F6A"/>
    <w:rsid w:val="00F50248"/>
    <w:rsid w:val="00F7380E"/>
    <w:rsid w:val="00F7609C"/>
    <w:rsid w:val="00F8545F"/>
    <w:rsid w:val="00FD3B73"/>
    <w:rsid w:val="00FF1F3C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33045"/>
  <w15:chartTrackingRefBased/>
  <w15:docId w15:val="{9D36D054-0B75-4233-A0BA-2874BCAD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3EA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3EA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43EA3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875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875D1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essunaspaziatura">
    <w:name w:val="No Spacing"/>
    <w:uiPriority w:val="1"/>
    <w:qFormat/>
    <w:rsid w:val="00C76283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D673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7380"/>
  </w:style>
  <w:style w:type="paragraph" w:styleId="Pidipagina">
    <w:name w:val="footer"/>
    <w:basedOn w:val="Normale"/>
    <w:link w:val="PidipaginaCarattere"/>
    <w:uiPriority w:val="99"/>
    <w:unhideWhenUsed/>
    <w:rsid w:val="00D673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7380"/>
  </w:style>
  <w:style w:type="paragraph" w:customStyle="1" w:styleId="Normal1">
    <w:name w:val="Normal1"/>
    <w:rsid w:val="00B43FB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0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545BF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3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3D58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8119F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119F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119F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19F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19F2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897DFF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44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C631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E15B2F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C8287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C82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2767">
          <w:marLeft w:val="0"/>
          <w:marRight w:val="0"/>
          <w:marTop w:val="0"/>
          <w:marBottom w:val="0"/>
          <w:divBdr>
            <w:top w:val="single" w:sz="48" w:space="31" w:color="F5F5F5"/>
            <w:left w:val="none" w:sz="0" w:space="0" w:color="auto"/>
            <w:bottom w:val="none" w:sz="0" w:space="31" w:color="auto"/>
            <w:right w:val="none" w:sz="0" w:space="0" w:color="auto"/>
          </w:divBdr>
          <w:divsChild>
            <w:div w:id="595089751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5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30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3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22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86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1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nasthma.org/wp-content/uploads/2022/07/GINA-Main-Report-2022-FINAL-22-07-01-WMS.pdf" TargetMode="External"/><Relationship Id="rId13" Type="http://schemas.openxmlformats.org/officeDocument/2006/relationships/hyperlink" Target="https://www.aifa.gov.it/documents/20142/1542390/Rapporto-OsMed-20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port.healthsearch.it/XV_REPORT_HS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picentro.iss.it/asma/epidemiologi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picentro.iss.it/asm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nasthma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A521144-88E9-4217-AFF6-AC772A4B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CAVALIERI Luca</dc:creator>
  <cp:keywords/>
  <dc:description/>
  <cp:lastModifiedBy>Angela Del Giudice</cp:lastModifiedBy>
  <cp:revision>3</cp:revision>
  <cp:lastPrinted>2019-05-08T07:20:00Z</cp:lastPrinted>
  <dcterms:created xsi:type="dcterms:W3CDTF">2023-04-02T11:36:00Z</dcterms:created>
  <dcterms:modified xsi:type="dcterms:W3CDTF">2023-04-02T11:41:00Z</dcterms:modified>
</cp:coreProperties>
</file>