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385E6" w14:textId="77777777" w:rsidR="00C906FA" w:rsidRPr="009212CD" w:rsidRDefault="00782C62" w:rsidP="00782C62">
      <w:pPr>
        <w:contextualSpacing/>
        <w:jc w:val="center"/>
        <w:rPr>
          <w:rFonts w:ascii="Livvic Light" w:hAnsi="Livvic Light" w:cs="Kalinga"/>
        </w:rPr>
      </w:pPr>
      <w:r>
        <w:rPr>
          <w:rFonts w:ascii="Times New Roman" w:hAnsi="Times New Roman"/>
          <w:b/>
          <w:noProof/>
          <w:sz w:val="28"/>
          <w:szCs w:val="28"/>
          <w:lang w:eastAsia="it-IT"/>
        </w:rPr>
        <w:drawing>
          <wp:inline distT="0" distB="0" distL="0" distR="0" wp14:anchorId="563DAD15" wp14:editId="1725E116">
            <wp:extent cx="1447800" cy="12382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478A8" w14:textId="77777777" w:rsidR="00C906FA" w:rsidRPr="009212CD" w:rsidRDefault="00C906FA" w:rsidP="00B27D17">
      <w:pPr>
        <w:contextualSpacing/>
        <w:rPr>
          <w:rFonts w:ascii="Livvic Light" w:hAnsi="Livvic Light" w:cs="Kalinga"/>
        </w:rPr>
      </w:pPr>
    </w:p>
    <w:p w14:paraId="2A75B666" w14:textId="77777777" w:rsidR="001F523A" w:rsidRPr="00BF2F89" w:rsidRDefault="001F523A" w:rsidP="001F523A">
      <w:pPr>
        <w:contextualSpacing/>
        <w:jc w:val="center"/>
        <w:rPr>
          <w:rFonts w:ascii="Tahoma" w:hAnsi="Tahoma" w:cs="Tahoma"/>
          <w:sz w:val="26"/>
          <w:szCs w:val="26"/>
        </w:rPr>
      </w:pPr>
      <w:r w:rsidRPr="00BF2F89">
        <w:rPr>
          <w:rFonts w:ascii="Tahoma" w:hAnsi="Tahoma" w:cs="Tahoma"/>
          <w:sz w:val="26"/>
          <w:szCs w:val="26"/>
        </w:rPr>
        <w:t>COMUNICATO STAMPA</w:t>
      </w:r>
    </w:p>
    <w:p w14:paraId="728B2896" w14:textId="77777777" w:rsidR="00A31241" w:rsidRDefault="00A31241" w:rsidP="00EE522D">
      <w:pPr>
        <w:tabs>
          <w:tab w:val="left" w:pos="4110"/>
        </w:tabs>
        <w:contextualSpacing/>
        <w:rPr>
          <w:rFonts w:ascii="Tahoma" w:hAnsi="Tahoma" w:cs="Tahoma"/>
          <w:b/>
          <w:sz w:val="28"/>
          <w:szCs w:val="28"/>
        </w:rPr>
      </w:pPr>
    </w:p>
    <w:p w14:paraId="5FA0E65F" w14:textId="6949FA48" w:rsidR="00A31241" w:rsidRPr="00E408CB" w:rsidRDefault="00A31241" w:rsidP="00A31241">
      <w:pPr>
        <w:tabs>
          <w:tab w:val="left" w:pos="4110"/>
        </w:tabs>
        <w:contextualSpacing/>
        <w:jc w:val="center"/>
        <w:rPr>
          <w:rFonts w:ascii="Tahoma" w:hAnsi="Tahoma" w:cs="Tahoma"/>
          <w:b/>
          <w:sz w:val="26"/>
          <w:szCs w:val="26"/>
        </w:rPr>
      </w:pPr>
      <w:r w:rsidRPr="00E408CB">
        <w:rPr>
          <w:rFonts w:ascii="Tahoma" w:hAnsi="Tahoma" w:cs="Tahoma"/>
          <w:b/>
          <w:sz w:val="26"/>
          <w:szCs w:val="26"/>
        </w:rPr>
        <w:t>Green Pass</w:t>
      </w:r>
      <w:r w:rsidRPr="00E408CB">
        <w:rPr>
          <w:rFonts w:ascii="Tahoma" w:hAnsi="Tahoma" w:cs="Tahoma"/>
          <w:b/>
          <w:sz w:val="26"/>
          <w:szCs w:val="26"/>
        </w:rPr>
        <w:t xml:space="preserve"> sul lavoro</w:t>
      </w:r>
      <w:r w:rsidRPr="00E408CB">
        <w:rPr>
          <w:rFonts w:ascii="Tahoma" w:hAnsi="Tahoma" w:cs="Tahoma"/>
          <w:b/>
          <w:sz w:val="26"/>
          <w:szCs w:val="26"/>
        </w:rPr>
        <w:t xml:space="preserve">: laboratori di analisi risorsa </w:t>
      </w:r>
      <w:r w:rsidR="00BE68DA" w:rsidRPr="00E408CB">
        <w:rPr>
          <w:rFonts w:ascii="Tahoma" w:hAnsi="Tahoma" w:cs="Tahoma"/>
          <w:b/>
          <w:sz w:val="26"/>
          <w:szCs w:val="26"/>
        </w:rPr>
        <w:t xml:space="preserve">irrinunciabile </w:t>
      </w:r>
      <w:r w:rsidRPr="00E408CB">
        <w:rPr>
          <w:rFonts w:ascii="Tahoma" w:hAnsi="Tahoma" w:cs="Tahoma"/>
          <w:b/>
          <w:sz w:val="26"/>
          <w:szCs w:val="26"/>
        </w:rPr>
        <w:t xml:space="preserve">per far fronte all’aumento della domanda di tamponi </w:t>
      </w:r>
    </w:p>
    <w:p w14:paraId="731599D4" w14:textId="77777777" w:rsidR="00A31241" w:rsidRPr="00BF2F89" w:rsidRDefault="00A31241" w:rsidP="00EE522D">
      <w:pPr>
        <w:tabs>
          <w:tab w:val="left" w:pos="4110"/>
        </w:tabs>
        <w:contextualSpacing/>
        <w:rPr>
          <w:rFonts w:ascii="Tahoma" w:hAnsi="Tahoma" w:cs="Tahoma"/>
          <w:b/>
          <w:sz w:val="28"/>
          <w:szCs w:val="28"/>
        </w:rPr>
      </w:pPr>
    </w:p>
    <w:p w14:paraId="64F712AE" w14:textId="1A1AFAD4" w:rsidR="00BE68DA" w:rsidRDefault="00C55AA1" w:rsidP="00EE522D">
      <w:pPr>
        <w:pStyle w:val="atext"/>
        <w:spacing w:before="0" w:beforeAutospacing="0" w:after="120" w:afterAutospacing="0" w:line="271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E408CB">
        <w:rPr>
          <w:rFonts w:ascii="Tahoma" w:eastAsiaTheme="minorHAnsi" w:hAnsi="Tahoma" w:cs="Tahoma"/>
          <w:b/>
          <w:sz w:val="22"/>
          <w:szCs w:val="22"/>
          <w:lang w:eastAsia="en-US"/>
        </w:rPr>
        <w:t>Roma, 1</w:t>
      </w:r>
      <w:r w:rsidR="004F1958" w:rsidRPr="00E408CB">
        <w:rPr>
          <w:rFonts w:ascii="Tahoma" w:eastAsiaTheme="minorHAnsi" w:hAnsi="Tahoma" w:cs="Tahoma"/>
          <w:b/>
          <w:sz w:val="22"/>
          <w:szCs w:val="22"/>
          <w:lang w:eastAsia="en-US"/>
        </w:rPr>
        <w:t>5</w:t>
      </w:r>
      <w:r w:rsidRPr="00E408CB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 ottobre 2021</w:t>
      </w:r>
      <w:r w:rsidRPr="004458F6">
        <w:rPr>
          <w:rFonts w:ascii="Tahoma" w:eastAsiaTheme="minorHAnsi" w:hAnsi="Tahoma" w:cs="Tahoma"/>
          <w:sz w:val="22"/>
          <w:szCs w:val="22"/>
          <w:lang w:eastAsia="en-US"/>
        </w:rPr>
        <w:t xml:space="preserve"> –</w:t>
      </w:r>
      <w:r w:rsidRPr="00211BFA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="00A31241"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>“La diagnostica di laboratorio è al</w:t>
      </w:r>
      <w:r w:rsidR="00BE68DA"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 xml:space="preserve"> fianco di lavoratori e imprese </w:t>
      </w:r>
      <w:r w:rsidR="00E408CB"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>per g</w:t>
      </w:r>
      <w:r w:rsidR="00BE68DA"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>estire al meglio l’</w:t>
      </w:r>
      <w:r w:rsidR="00BE68DA"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 xml:space="preserve">afflusso di richieste </w:t>
      </w:r>
      <w:r w:rsidR="00BE68DA"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>per l’</w:t>
      </w:r>
      <w:r w:rsidR="00BE68DA"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 xml:space="preserve">effettuazione di tamponi rapidi </w:t>
      </w:r>
      <w:r w:rsidR="00BE68DA"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 xml:space="preserve">ed evitare ripercussioni sul </w:t>
      </w:r>
      <w:r w:rsidR="00E408CB"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 xml:space="preserve">regolare </w:t>
      </w:r>
      <w:r w:rsidR="00BE68DA"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 xml:space="preserve">svolgimento delle attività </w:t>
      </w:r>
      <w:r w:rsidR="00E408CB"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>di aziende</w:t>
      </w:r>
      <w:r w:rsidR="00BE68DA"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 xml:space="preserve"> private</w:t>
      </w:r>
      <w:r w:rsidR="00E408CB"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 xml:space="preserve"> e </w:t>
      </w:r>
      <w:r w:rsidR="00E408CB">
        <w:rPr>
          <w:rFonts w:ascii="Tahoma" w:eastAsiaTheme="minorHAnsi" w:hAnsi="Tahoma" w:cs="Tahoma"/>
          <w:i/>
          <w:sz w:val="22"/>
          <w:szCs w:val="22"/>
          <w:lang w:eastAsia="en-US"/>
        </w:rPr>
        <w:t xml:space="preserve">pubbliche </w:t>
      </w:r>
      <w:r w:rsidR="00E408CB"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>amministrazioni</w:t>
      </w:r>
      <w:r w:rsidR="00BE68DA"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>”.</w:t>
      </w:r>
      <w:r w:rsidR="00E408CB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="00BE68DA">
        <w:rPr>
          <w:rFonts w:ascii="Tahoma" w:eastAsiaTheme="minorHAnsi" w:hAnsi="Tahoma" w:cs="Tahoma"/>
          <w:sz w:val="22"/>
          <w:szCs w:val="22"/>
          <w:lang w:eastAsia="en-US"/>
        </w:rPr>
        <w:t xml:space="preserve">Lo dichiara </w:t>
      </w:r>
      <w:r w:rsidR="00BE68DA" w:rsidRPr="00BF2F89">
        <w:rPr>
          <w:rFonts w:ascii="Tahoma" w:eastAsiaTheme="minorHAnsi" w:hAnsi="Tahoma" w:cs="Tahoma"/>
          <w:b/>
          <w:sz w:val="22"/>
          <w:szCs w:val="22"/>
          <w:lang w:eastAsia="en-US"/>
        </w:rPr>
        <w:t>Elisa Interlandi</w:t>
      </w:r>
      <w:r w:rsidR="00BE68DA" w:rsidRPr="00BF2F89">
        <w:rPr>
          <w:rFonts w:ascii="Tahoma" w:eastAsiaTheme="minorHAnsi" w:hAnsi="Tahoma" w:cs="Tahoma"/>
          <w:sz w:val="22"/>
          <w:szCs w:val="22"/>
          <w:lang w:eastAsia="en-US"/>
        </w:rPr>
        <w:t xml:space="preserve">, </w:t>
      </w:r>
      <w:r w:rsidR="00BE68DA" w:rsidRPr="00211BFA">
        <w:rPr>
          <w:rFonts w:ascii="Tahoma" w:eastAsiaTheme="minorHAnsi" w:hAnsi="Tahoma" w:cs="Tahoma"/>
          <w:b/>
          <w:sz w:val="22"/>
          <w:szCs w:val="22"/>
          <w:lang w:eastAsia="en-US"/>
        </w:rPr>
        <w:t>Presidente Cidec Federazione Sanità</w:t>
      </w:r>
      <w:r w:rsidR="00BE68DA">
        <w:t xml:space="preserve">, </w:t>
      </w:r>
      <w:r w:rsidR="00BE68DA" w:rsidRPr="00211BFA">
        <w:rPr>
          <w:rFonts w:ascii="Tahoma" w:eastAsiaTheme="minorHAnsi" w:hAnsi="Tahoma" w:cs="Tahoma"/>
          <w:sz w:val="22"/>
          <w:szCs w:val="22"/>
          <w:lang w:eastAsia="en-US"/>
        </w:rPr>
        <w:t>sigla sindacale che riunisce strutture di laborato</w:t>
      </w:r>
      <w:r w:rsidR="00BE68DA">
        <w:rPr>
          <w:rFonts w:ascii="Tahoma" w:eastAsiaTheme="minorHAnsi" w:hAnsi="Tahoma" w:cs="Tahoma"/>
          <w:sz w:val="22"/>
          <w:szCs w:val="22"/>
          <w:lang w:eastAsia="en-US"/>
        </w:rPr>
        <w:t>rio accreditate in tutta Italia</w:t>
      </w:r>
      <w:r w:rsidR="00BE68DA">
        <w:rPr>
          <w:rFonts w:ascii="Tahoma" w:eastAsiaTheme="minorHAnsi" w:hAnsi="Tahoma" w:cs="Tahoma"/>
          <w:sz w:val="22"/>
          <w:szCs w:val="22"/>
          <w:lang w:eastAsia="en-US"/>
        </w:rPr>
        <w:t>, a s</w:t>
      </w:r>
      <w:r w:rsidR="004458F6" w:rsidRPr="00211BFA">
        <w:rPr>
          <w:rFonts w:ascii="Tahoma" w:eastAsiaTheme="minorHAnsi" w:hAnsi="Tahoma" w:cs="Tahoma"/>
          <w:sz w:val="22"/>
          <w:szCs w:val="22"/>
          <w:lang w:eastAsia="en-US"/>
        </w:rPr>
        <w:t xml:space="preserve">eguito dell’entrata </w:t>
      </w:r>
      <w:r w:rsidR="004458F6" w:rsidRPr="00BF2F89">
        <w:rPr>
          <w:rFonts w:ascii="Tahoma" w:eastAsiaTheme="minorHAnsi" w:hAnsi="Tahoma" w:cs="Tahoma"/>
          <w:sz w:val="22"/>
          <w:szCs w:val="22"/>
          <w:lang w:eastAsia="en-US"/>
        </w:rPr>
        <w:t>in vigore</w:t>
      </w:r>
      <w:r w:rsidR="00E408CB">
        <w:rPr>
          <w:rFonts w:ascii="Tahoma" w:eastAsiaTheme="minorHAnsi" w:hAnsi="Tahoma" w:cs="Tahoma"/>
          <w:sz w:val="22"/>
          <w:szCs w:val="22"/>
          <w:lang w:eastAsia="en-US"/>
        </w:rPr>
        <w:t xml:space="preserve">, </w:t>
      </w:r>
      <w:r w:rsidR="00BE68DA">
        <w:rPr>
          <w:rFonts w:ascii="Tahoma" w:eastAsiaTheme="minorHAnsi" w:hAnsi="Tahoma" w:cs="Tahoma"/>
          <w:sz w:val="22"/>
          <w:szCs w:val="22"/>
          <w:lang w:eastAsia="en-US"/>
        </w:rPr>
        <w:t>a partire da oggi</w:t>
      </w:r>
      <w:r w:rsidR="00E408CB">
        <w:rPr>
          <w:rFonts w:ascii="Tahoma" w:eastAsiaTheme="minorHAnsi" w:hAnsi="Tahoma" w:cs="Tahoma"/>
          <w:sz w:val="22"/>
          <w:szCs w:val="22"/>
          <w:lang w:eastAsia="en-US"/>
        </w:rPr>
        <w:t>,</w:t>
      </w:r>
      <w:r w:rsidR="004458F6" w:rsidRPr="00BF2F89">
        <w:rPr>
          <w:rFonts w:ascii="Tahoma" w:eastAsiaTheme="minorHAnsi" w:hAnsi="Tahoma" w:cs="Tahoma"/>
          <w:sz w:val="22"/>
          <w:szCs w:val="22"/>
          <w:lang w:eastAsia="en-US"/>
        </w:rPr>
        <w:t xml:space="preserve"> dell’obbligo di Green Pass per accedere ai luoghi </w:t>
      </w:r>
      <w:r w:rsidR="004458F6">
        <w:rPr>
          <w:rFonts w:ascii="Tahoma" w:eastAsiaTheme="minorHAnsi" w:hAnsi="Tahoma" w:cs="Tahoma"/>
          <w:sz w:val="22"/>
          <w:szCs w:val="22"/>
          <w:lang w:eastAsia="en-US"/>
        </w:rPr>
        <w:t>di lavoro</w:t>
      </w:r>
      <w:r w:rsidR="00BE68DA">
        <w:rPr>
          <w:rFonts w:ascii="Tahoma" w:eastAsiaTheme="minorHAnsi" w:hAnsi="Tahoma" w:cs="Tahoma"/>
          <w:sz w:val="22"/>
          <w:szCs w:val="22"/>
          <w:lang w:eastAsia="en-US"/>
        </w:rPr>
        <w:t xml:space="preserve">. </w:t>
      </w:r>
    </w:p>
    <w:p w14:paraId="122BEB16" w14:textId="0B8ECFE1" w:rsidR="004458F6" w:rsidRDefault="00BE68DA" w:rsidP="00EE522D">
      <w:pPr>
        <w:pStyle w:val="atext"/>
        <w:spacing w:before="0" w:beforeAutospacing="0" w:after="120" w:afterAutospacing="0" w:line="271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E408CB">
        <w:rPr>
          <w:rFonts w:ascii="Tahoma" w:eastAsiaTheme="minorHAnsi" w:hAnsi="Tahoma" w:cs="Tahoma"/>
          <w:sz w:val="22"/>
          <w:szCs w:val="22"/>
          <w:lang w:eastAsia="en-US"/>
        </w:rPr>
        <w:t>I</w:t>
      </w:r>
      <w:r w:rsidR="004458F6" w:rsidRPr="00E408CB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="008C3816" w:rsidRPr="00E408CB">
        <w:rPr>
          <w:rFonts w:ascii="Tahoma" w:eastAsiaTheme="minorHAnsi" w:hAnsi="Tahoma" w:cs="Tahoma"/>
          <w:sz w:val="22"/>
          <w:szCs w:val="22"/>
          <w:lang w:eastAsia="en-US"/>
        </w:rPr>
        <w:t>laboratori di analisi sono pronti a dare il massimo contributo per incrementare l’attività di esecuzione dei tamponi</w:t>
      </w:r>
      <w:r w:rsidR="004458F6" w:rsidRPr="00E408CB">
        <w:rPr>
          <w:rFonts w:ascii="Tahoma" w:eastAsiaTheme="minorHAnsi" w:hAnsi="Tahoma" w:cs="Tahoma"/>
          <w:sz w:val="22"/>
          <w:szCs w:val="22"/>
          <w:lang w:eastAsia="en-US"/>
        </w:rPr>
        <w:t>, sia antigenici che molecolari,</w:t>
      </w:r>
      <w:r w:rsidR="004458F6" w:rsidRPr="004458F6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 </w:t>
      </w:r>
      <w:r w:rsidR="008C3816" w:rsidRPr="004458F6">
        <w:rPr>
          <w:rFonts w:ascii="Tahoma" w:eastAsiaTheme="minorHAnsi" w:hAnsi="Tahoma" w:cs="Tahoma"/>
          <w:sz w:val="22"/>
          <w:szCs w:val="22"/>
          <w:lang w:eastAsia="en-US"/>
        </w:rPr>
        <w:t>confermando il loro ruolo di</w:t>
      </w:r>
      <w:r w:rsidR="008C3816" w:rsidRPr="004458F6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 presidio sanitario</w:t>
      </w:r>
      <w:r w:rsidR="004458F6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 di prossimità</w:t>
      </w:r>
      <w:r w:rsidR="008C3816" w:rsidRPr="004458F6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 </w:t>
      </w:r>
      <w:r w:rsidR="00B0504F">
        <w:rPr>
          <w:rFonts w:ascii="Tahoma" w:eastAsiaTheme="minorHAnsi" w:hAnsi="Tahoma" w:cs="Tahoma"/>
          <w:b/>
          <w:sz w:val="22"/>
          <w:szCs w:val="22"/>
          <w:lang w:eastAsia="en-US"/>
        </w:rPr>
        <w:t>al servizio dei</w:t>
      </w:r>
      <w:r w:rsidR="004458F6" w:rsidRPr="004458F6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 cittadini</w:t>
      </w:r>
      <w:r w:rsidR="004458F6" w:rsidRPr="004458F6">
        <w:rPr>
          <w:rFonts w:ascii="Tahoma" w:eastAsiaTheme="minorHAnsi" w:hAnsi="Tahoma" w:cs="Tahoma"/>
          <w:sz w:val="22"/>
          <w:szCs w:val="22"/>
          <w:lang w:eastAsia="en-US"/>
        </w:rPr>
        <w:t xml:space="preserve">, indispensabile anche </w:t>
      </w:r>
      <w:r w:rsidR="008C3816" w:rsidRPr="004458F6">
        <w:rPr>
          <w:rFonts w:ascii="Tahoma" w:eastAsiaTheme="minorHAnsi" w:hAnsi="Tahoma" w:cs="Tahoma"/>
          <w:sz w:val="22"/>
          <w:szCs w:val="22"/>
          <w:lang w:eastAsia="en-US"/>
        </w:rPr>
        <w:t xml:space="preserve">in </w:t>
      </w:r>
      <w:bookmarkStart w:id="0" w:name="_GoBack"/>
      <w:bookmarkEnd w:id="0"/>
      <w:r w:rsidR="008C3816" w:rsidRPr="004458F6">
        <w:rPr>
          <w:rFonts w:ascii="Tahoma" w:eastAsiaTheme="minorHAnsi" w:hAnsi="Tahoma" w:cs="Tahoma"/>
          <w:sz w:val="22"/>
          <w:szCs w:val="22"/>
          <w:lang w:eastAsia="en-US"/>
        </w:rPr>
        <w:t xml:space="preserve">questa nuova fase di </w:t>
      </w:r>
      <w:r w:rsidR="004458F6" w:rsidRPr="004458F6">
        <w:rPr>
          <w:rFonts w:ascii="Tahoma" w:eastAsiaTheme="minorHAnsi" w:hAnsi="Tahoma" w:cs="Tahoma"/>
          <w:sz w:val="22"/>
          <w:szCs w:val="22"/>
          <w:lang w:eastAsia="en-US"/>
        </w:rPr>
        <w:t>convivenza con il virus.</w:t>
      </w:r>
    </w:p>
    <w:p w14:paraId="7D45F1A1" w14:textId="5DF33AF1" w:rsidR="00BF2F89" w:rsidRPr="00E408CB" w:rsidRDefault="009212CD" w:rsidP="00EE522D">
      <w:pPr>
        <w:pStyle w:val="atext"/>
        <w:spacing w:before="0" w:beforeAutospacing="0" w:after="120" w:afterAutospacing="0" w:line="271" w:lineRule="auto"/>
        <w:jc w:val="both"/>
        <w:rPr>
          <w:rFonts w:ascii="Tahoma" w:eastAsiaTheme="minorHAnsi" w:hAnsi="Tahoma" w:cs="Tahoma"/>
          <w:i/>
          <w:sz w:val="22"/>
          <w:szCs w:val="22"/>
          <w:lang w:eastAsia="en-US"/>
        </w:rPr>
      </w:pPr>
      <w:r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>“G</w:t>
      </w:r>
      <w:r w:rsidR="00054CCE"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>razie a</w:t>
      </w:r>
      <w:r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>lla</w:t>
      </w:r>
      <w:r w:rsidR="00054CCE"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 xml:space="preserve"> presenza capillare sul territorio e </w:t>
      </w:r>
      <w:r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>al patrimonio</w:t>
      </w:r>
      <w:r w:rsidR="00054CCE"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 xml:space="preserve"> di strumentazioni </w:t>
      </w:r>
      <w:r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 xml:space="preserve">e competenze </w:t>
      </w:r>
      <w:r w:rsidR="004458F6"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>specialistiche nel</w:t>
      </w:r>
      <w:r w:rsidR="00054CCE"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 xml:space="preserve"> campo della diagnostica,</w:t>
      </w:r>
      <w:r w:rsidR="00782C62"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 xml:space="preserve"> i laboratori di analisi, sin dalle prime fasi dell’emergenza, hanno contribuito in maniera determinante</w:t>
      </w:r>
      <w:r w:rsidR="00650490"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 xml:space="preserve"> all’attività di </w:t>
      </w:r>
      <w:r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>screening</w:t>
      </w:r>
      <w:r w:rsidR="00650490"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 xml:space="preserve"> e tracciamento </w:t>
      </w:r>
      <w:r w:rsidR="00054CCE"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>dei casi Covid</w:t>
      </w:r>
      <w:r w:rsidRPr="00BF2F89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="00BE68DA">
        <w:rPr>
          <w:rFonts w:ascii="Tahoma" w:eastAsiaTheme="minorHAnsi" w:hAnsi="Tahoma" w:cs="Tahoma"/>
          <w:sz w:val="22"/>
          <w:szCs w:val="22"/>
          <w:lang w:eastAsia="en-US"/>
        </w:rPr>
        <w:t>–</w:t>
      </w:r>
      <w:r w:rsidRPr="00BF2F89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="00BE68DA">
        <w:rPr>
          <w:rFonts w:ascii="Tahoma" w:eastAsiaTheme="minorHAnsi" w:hAnsi="Tahoma" w:cs="Tahoma"/>
          <w:sz w:val="22"/>
          <w:szCs w:val="22"/>
          <w:lang w:eastAsia="en-US"/>
        </w:rPr>
        <w:t xml:space="preserve">continua </w:t>
      </w:r>
      <w:r w:rsidRPr="00BF2F89">
        <w:rPr>
          <w:rFonts w:ascii="Tahoma" w:eastAsiaTheme="minorHAnsi" w:hAnsi="Tahoma" w:cs="Tahoma"/>
          <w:b/>
          <w:sz w:val="22"/>
          <w:szCs w:val="22"/>
          <w:lang w:eastAsia="en-US"/>
        </w:rPr>
        <w:t>Interlandi</w:t>
      </w:r>
      <w:r w:rsidRPr="00BF2F89">
        <w:rPr>
          <w:rFonts w:ascii="Tahoma" w:eastAsiaTheme="minorHAnsi" w:hAnsi="Tahoma" w:cs="Tahoma"/>
          <w:sz w:val="22"/>
          <w:szCs w:val="22"/>
          <w:lang w:eastAsia="en-US"/>
        </w:rPr>
        <w:t xml:space="preserve">. </w:t>
      </w:r>
      <w:r w:rsidR="00782C62"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>Pur ribadendo l’importanza della vaccinazione per scongiurare una ripresa dei contagi e battere definitivamente il Covid, i</w:t>
      </w:r>
      <w:r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 xml:space="preserve">n previsione di un aumento della domanda di tamponi da parte dei cittadini non vaccinati, </w:t>
      </w:r>
      <w:r w:rsidR="00211BFA"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>i laboratori di analisi</w:t>
      </w:r>
      <w:r w:rsidR="00782C62"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 xml:space="preserve"> confermano il loro massimo </w:t>
      </w:r>
      <w:r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 xml:space="preserve">impegno </w:t>
      </w:r>
      <w:r w:rsidR="00782C62"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 xml:space="preserve">per </w:t>
      </w:r>
      <w:r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>garantire</w:t>
      </w:r>
      <w:r w:rsidR="004458F6"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 xml:space="preserve"> </w:t>
      </w:r>
      <w:r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 xml:space="preserve">le prestazioni e i servizi necessari </w:t>
      </w:r>
      <w:r w:rsidR="00782C62"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>a</w:t>
      </w:r>
      <w:r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 xml:space="preserve"> consentire </w:t>
      </w:r>
      <w:r w:rsidR="00782C62"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 xml:space="preserve">un ritorno </w:t>
      </w:r>
      <w:r w:rsidR="00BF2F89"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 xml:space="preserve">in sicurezza </w:t>
      </w:r>
      <w:r w:rsidR="00782C62"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>alla vita sociale e lavorativa. Siamo pronti a potenziare l’attività di esecuzione dei tampo</w:t>
      </w:r>
      <w:r w:rsidR="00433DF1"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 xml:space="preserve">ni, in sinergia </w:t>
      </w:r>
      <w:r w:rsidR="00BF2F89"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>con gli altri presidi territoriali del SSN, per dare una risposta a</w:t>
      </w:r>
      <w:r w:rsidR="00433DF1"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 xml:space="preserve">i milioni </w:t>
      </w:r>
      <w:r w:rsidR="00BF2F89"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 xml:space="preserve">di italiani che devono sottoporsi al </w:t>
      </w:r>
      <w:r w:rsidR="00433DF1"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 xml:space="preserve">test </w:t>
      </w:r>
      <w:r w:rsidR="00BF2F89"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>per ottenere il certificato verde</w:t>
      </w:r>
      <w:r w:rsidR="00433DF1"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 xml:space="preserve"> per lavorare</w:t>
      </w:r>
      <w:r w:rsidR="00BF2F89" w:rsidRPr="00E408CB">
        <w:rPr>
          <w:rFonts w:ascii="Tahoma" w:eastAsiaTheme="minorHAnsi" w:hAnsi="Tahoma" w:cs="Tahoma"/>
          <w:i/>
          <w:sz w:val="22"/>
          <w:szCs w:val="22"/>
          <w:lang w:eastAsia="en-US"/>
        </w:rPr>
        <w:t>”.</w:t>
      </w:r>
    </w:p>
    <w:p w14:paraId="7F539DA7" w14:textId="77777777" w:rsidR="009212CD" w:rsidRDefault="009212CD" w:rsidP="00EE522D">
      <w:pPr>
        <w:pStyle w:val="atext"/>
        <w:spacing w:before="0" w:beforeAutospacing="0" w:after="120" w:afterAutospacing="0" w:line="271" w:lineRule="auto"/>
        <w:jc w:val="both"/>
        <w:rPr>
          <w:rFonts w:asciiTheme="majorHAnsi" w:eastAsiaTheme="minorHAnsi" w:hAnsiTheme="majorHAnsi" w:cs="Kalinga"/>
          <w:i/>
          <w:lang w:eastAsia="en-US"/>
        </w:rPr>
      </w:pPr>
    </w:p>
    <w:p w14:paraId="024A26E3" w14:textId="77777777" w:rsidR="004458F6" w:rsidRDefault="004458F6" w:rsidP="00EE522D">
      <w:pPr>
        <w:pStyle w:val="atext"/>
        <w:spacing w:before="0" w:beforeAutospacing="0" w:after="120" w:afterAutospacing="0" w:line="271" w:lineRule="auto"/>
        <w:jc w:val="both"/>
        <w:rPr>
          <w:rFonts w:asciiTheme="majorHAnsi" w:eastAsiaTheme="minorHAnsi" w:hAnsiTheme="majorHAnsi" w:cs="Kalinga"/>
          <w:i/>
          <w:lang w:eastAsia="en-US"/>
        </w:rPr>
      </w:pPr>
    </w:p>
    <w:p w14:paraId="45D40CB9" w14:textId="77777777" w:rsidR="00BF2F89" w:rsidRPr="004458F6" w:rsidRDefault="00BF2F89" w:rsidP="00BF2F89">
      <w:pPr>
        <w:pStyle w:val="atext"/>
        <w:spacing w:after="120" w:line="271" w:lineRule="auto"/>
        <w:jc w:val="both"/>
        <w:rPr>
          <w:rFonts w:ascii="Tahoma" w:eastAsiaTheme="minorHAnsi" w:hAnsi="Tahoma" w:cs="Tahoma"/>
          <w:b/>
          <w:sz w:val="21"/>
          <w:szCs w:val="21"/>
          <w:lang w:eastAsia="en-US"/>
        </w:rPr>
      </w:pPr>
      <w:r w:rsidRPr="004458F6">
        <w:rPr>
          <w:rFonts w:ascii="Tahoma" w:eastAsiaTheme="minorHAnsi" w:hAnsi="Tahoma" w:cs="Tahoma"/>
          <w:b/>
          <w:sz w:val="21"/>
          <w:szCs w:val="21"/>
          <w:lang w:eastAsia="en-US"/>
        </w:rPr>
        <w:t>Per informazioni</w:t>
      </w:r>
    </w:p>
    <w:p w14:paraId="72F8F530" w14:textId="77777777" w:rsidR="00BF2F89" w:rsidRPr="004458F6" w:rsidRDefault="00BF2F89" w:rsidP="00E408CB">
      <w:pPr>
        <w:pStyle w:val="atext"/>
        <w:spacing w:before="0" w:beforeAutospacing="0" w:after="0" w:afterAutospacing="0"/>
        <w:jc w:val="both"/>
        <w:rPr>
          <w:rFonts w:ascii="Tahoma" w:eastAsiaTheme="minorHAnsi" w:hAnsi="Tahoma" w:cs="Tahoma"/>
          <w:sz w:val="21"/>
          <w:szCs w:val="21"/>
          <w:lang w:eastAsia="en-US"/>
        </w:rPr>
      </w:pPr>
      <w:r w:rsidRPr="004458F6">
        <w:rPr>
          <w:rFonts w:ascii="Tahoma" w:eastAsiaTheme="minorHAnsi" w:hAnsi="Tahoma" w:cs="Tahoma"/>
          <w:b/>
          <w:sz w:val="21"/>
          <w:szCs w:val="21"/>
          <w:lang w:eastAsia="en-US"/>
        </w:rPr>
        <w:t>Ufficio Stampa Value Relations</w:t>
      </w:r>
      <w:r w:rsidRPr="004458F6">
        <w:rPr>
          <w:rFonts w:ascii="Tahoma" w:eastAsiaTheme="minorHAnsi" w:hAnsi="Tahoma" w:cs="Tahoma"/>
          <w:sz w:val="21"/>
          <w:szCs w:val="21"/>
          <w:lang w:eastAsia="en-US"/>
        </w:rPr>
        <w:t xml:space="preserve"> </w:t>
      </w:r>
    </w:p>
    <w:p w14:paraId="53E3266D" w14:textId="77777777" w:rsidR="00BF2F89" w:rsidRPr="004458F6" w:rsidRDefault="00BF2F89" w:rsidP="00E408CB">
      <w:pPr>
        <w:pStyle w:val="atext"/>
        <w:spacing w:before="0" w:beforeAutospacing="0" w:after="0" w:afterAutospacing="0"/>
        <w:jc w:val="both"/>
        <w:rPr>
          <w:rFonts w:ascii="Tahoma" w:eastAsiaTheme="minorHAnsi" w:hAnsi="Tahoma" w:cs="Tahoma"/>
          <w:i/>
          <w:sz w:val="21"/>
          <w:szCs w:val="21"/>
          <w:lang w:eastAsia="en-US"/>
        </w:rPr>
      </w:pPr>
      <w:r w:rsidRPr="004458F6">
        <w:rPr>
          <w:rFonts w:ascii="Tahoma" w:eastAsiaTheme="minorHAnsi" w:hAnsi="Tahoma" w:cs="Tahoma"/>
          <w:i/>
          <w:sz w:val="21"/>
          <w:szCs w:val="21"/>
          <w:lang w:eastAsia="en-US"/>
        </w:rPr>
        <w:t>Angela Del Giudice</w:t>
      </w:r>
    </w:p>
    <w:p w14:paraId="4C460454" w14:textId="77777777" w:rsidR="00BF2F89" w:rsidRPr="004458F6" w:rsidRDefault="00BF2F89" w:rsidP="00E408CB">
      <w:pPr>
        <w:pStyle w:val="atext"/>
        <w:spacing w:before="0" w:beforeAutospacing="0" w:after="0" w:afterAutospacing="0"/>
        <w:jc w:val="both"/>
        <w:rPr>
          <w:rFonts w:ascii="Tahoma" w:eastAsiaTheme="minorHAnsi" w:hAnsi="Tahoma" w:cs="Tahoma"/>
          <w:sz w:val="21"/>
          <w:szCs w:val="21"/>
          <w:lang w:eastAsia="en-US"/>
        </w:rPr>
      </w:pPr>
      <w:r w:rsidRPr="004458F6">
        <w:rPr>
          <w:rFonts w:ascii="Tahoma" w:eastAsiaTheme="minorHAnsi" w:hAnsi="Tahoma" w:cs="Tahoma"/>
          <w:sz w:val="21"/>
          <w:szCs w:val="21"/>
          <w:lang w:eastAsia="en-US"/>
        </w:rPr>
        <w:t xml:space="preserve">392-6858392 – a.delgiudice@vrelations.it </w:t>
      </w:r>
    </w:p>
    <w:p w14:paraId="3520F776" w14:textId="77777777" w:rsidR="00BF2F89" w:rsidRPr="004458F6" w:rsidRDefault="00BF2F89" w:rsidP="00E408CB">
      <w:pPr>
        <w:pStyle w:val="atext"/>
        <w:spacing w:before="0" w:beforeAutospacing="0" w:after="0" w:afterAutospacing="0"/>
        <w:jc w:val="both"/>
        <w:rPr>
          <w:rFonts w:ascii="Tahoma" w:eastAsiaTheme="minorHAnsi" w:hAnsi="Tahoma" w:cs="Tahoma"/>
          <w:i/>
          <w:sz w:val="21"/>
          <w:szCs w:val="21"/>
          <w:lang w:eastAsia="en-US"/>
        </w:rPr>
      </w:pPr>
      <w:r w:rsidRPr="004458F6">
        <w:rPr>
          <w:rFonts w:ascii="Tahoma" w:eastAsiaTheme="minorHAnsi" w:hAnsi="Tahoma" w:cs="Tahoma"/>
          <w:i/>
          <w:sz w:val="21"/>
          <w:szCs w:val="21"/>
          <w:lang w:eastAsia="en-US"/>
        </w:rPr>
        <w:t>Chiara Farroni</w:t>
      </w:r>
    </w:p>
    <w:p w14:paraId="54478171" w14:textId="18155043" w:rsidR="00E318F9" w:rsidRPr="00E408CB" w:rsidRDefault="00BF2F89" w:rsidP="00E408CB">
      <w:pPr>
        <w:pStyle w:val="atext"/>
        <w:spacing w:before="0" w:beforeAutospacing="0" w:after="0" w:afterAutospacing="0"/>
        <w:jc w:val="both"/>
        <w:rPr>
          <w:rFonts w:ascii="Tahoma" w:eastAsiaTheme="minorHAnsi" w:hAnsi="Tahoma" w:cs="Tahoma"/>
          <w:sz w:val="21"/>
          <w:szCs w:val="21"/>
          <w:lang w:eastAsia="en-US"/>
        </w:rPr>
      </w:pPr>
      <w:r w:rsidRPr="004458F6">
        <w:rPr>
          <w:rFonts w:ascii="Tahoma" w:eastAsiaTheme="minorHAnsi" w:hAnsi="Tahoma" w:cs="Tahoma"/>
          <w:sz w:val="21"/>
          <w:szCs w:val="21"/>
          <w:lang w:eastAsia="en-US"/>
        </w:rPr>
        <w:t>331-4997375 – c.farroni@vrelations.it</w:t>
      </w:r>
    </w:p>
    <w:sectPr w:rsidR="00E318F9" w:rsidRPr="00E408CB" w:rsidSect="004458F6">
      <w:pgSz w:w="11906" w:h="16838"/>
      <w:pgMar w:top="1134" w:right="170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vvic Light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2E"/>
    <w:rsid w:val="00054CCE"/>
    <w:rsid w:val="0008715A"/>
    <w:rsid w:val="00087F81"/>
    <w:rsid w:val="000B1736"/>
    <w:rsid w:val="001457A5"/>
    <w:rsid w:val="00145A40"/>
    <w:rsid w:val="00154596"/>
    <w:rsid w:val="00164607"/>
    <w:rsid w:val="00176BE2"/>
    <w:rsid w:val="00182E33"/>
    <w:rsid w:val="001A5BD1"/>
    <w:rsid w:val="001E0856"/>
    <w:rsid w:val="001F33BC"/>
    <w:rsid w:val="001F523A"/>
    <w:rsid w:val="0020508E"/>
    <w:rsid w:val="00211BFA"/>
    <w:rsid w:val="00234BC1"/>
    <w:rsid w:val="0028114C"/>
    <w:rsid w:val="002821B6"/>
    <w:rsid w:val="002D237E"/>
    <w:rsid w:val="002E4F6D"/>
    <w:rsid w:val="00302989"/>
    <w:rsid w:val="0031334B"/>
    <w:rsid w:val="0033007F"/>
    <w:rsid w:val="00330727"/>
    <w:rsid w:val="0039337A"/>
    <w:rsid w:val="003A4EFF"/>
    <w:rsid w:val="003A601D"/>
    <w:rsid w:val="003D0C2B"/>
    <w:rsid w:val="003E328F"/>
    <w:rsid w:val="0042753C"/>
    <w:rsid w:val="004314C3"/>
    <w:rsid w:val="00433DF1"/>
    <w:rsid w:val="00441597"/>
    <w:rsid w:val="004458F6"/>
    <w:rsid w:val="004E4BA8"/>
    <w:rsid w:val="004F1958"/>
    <w:rsid w:val="005009C4"/>
    <w:rsid w:val="0054384D"/>
    <w:rsid w:val="005916C0"/>
    <w:rsid w:val="00597289"/>
    <w:rsid w:val="006057CA"/>
    <w:rsid w:val="00634429"/>
    <w:rsid w:val="00650490"/>
    <w:rsid w:val="00650D59"/>
    <w:rsid w:val="00652225"/>
    <w:rsid w:val="006967CE"/>
    <w:rsid w:val="006A44CD"/>
    <w:rsid w:val="006C1F77"/>
    <w:rsid w:val="0071059D"/>
    <w:rsid w:val="00713DB2"/>
    <w:rsid w:val="00721780"/>
    <w:rsid w:val="007242A7"/>
    <w:rsid w:val="007344B3"/>
    <w:rsid w:val="007410DF"/>
    <w:rsid w:val="00754854"/>
    <w:rsid w:val="00782C62"/>
    <w:rsid w:val="007877A0"/>
    <w:rsid w:val="007B71CE"/>
    <w:rsid w:val="00815817"/>
    <w:rsid w:val="0082643A"/>
    <w:rsid w:val="00835FED"/>
    <w:rsid w:val="00837EB0"/>
    <w:rsid w:val="0084354B"/>
    <w:rsid w:val="008506E3"/>
    <w:rsid w:val="008816B8"/>
    <w:rsid w:val="008945AC"/>
    <w:rsid w:val="008B2973"/>
    <w:rsid w:val="008C1B5D"/>
    <w:rsid w:val="008C3816"/>
    <w:rsid w:val="008E6434"/>
    <w:rsid w:val="008E760D"/>
    <w:rsid w:val="009212CD"/>
    <w:rsid w:val="00964C46"/>
    <w:rsid w:val="00975F05"/>
    <w:rsid w:val="009C60CD"/>
    <w:rsid w:val="009D4C87"/>
    <w:rsid w:val="00A31241"/>
    <w:rsid w:val="00A440C3"/>
    <w:rsid w:val="00A55998"/>
    <w:rsid w:val="00A96851"/>
    <w:rsid w:val="00AA0E91"/>
    <w:rsid w:val="00B0504F"/>
    <w:rsid w:val="00B27D17"/>
    <w:rsid w:val="00B30A2D"/>
    <w:rsid w:val="00B536B2"/>
    <w:rsid w:val="00B6055E"/>
    <w:rsid w:val="00B6543F"/>
    <w:rsid w:val="00B66265"/>
    <w:rsid w:val="00BB1D11"/>
    <w:rsid w:val="00BE68DA"/>
    <w:rsid w:val="00BF2F89"/>
    <w:rsid w:val="00C05887"/>
    <w:rsid w:val="00C342FB"/>
    <w:rsid w:val="00C55AA1"/>
    <w:rsid w:val="00C70562"/>
    <w:rsid w:val="00C906FA"/>
    <w:rsid w:val="00C94670"/>
    <w:rsid w:val="00CC7F87"/>
    <w:rsid w:val="00D000F3"/>
    <w:rsid w:val="00D35441"/>
    <w:rsid w:val="00D5386E"/>
    <w:rsid w:val="00D569B2"/>
    <w:rsid w:val="00D60377"/>
    <w:rsid w:val="00DA6F31"/>
    <w:rsid w:val="00DD4C5E"/>
    <w:rsid w:val="00E318F9"/>
    <w:rsid w:val="00E408CB"/>
    <w:rsid w:val="00E76BA9"/>
    <w:rsid w:val="00E81BFB"/>
    <w:rsid w:val="00EA3E13"/>
    <w:rsid w:val="00EA4615"/>
    <w:rsid w:val="00EB0FFC"/>
    <w:rsid w:val="00EC332E"/>
    <w:rsid w:val="00EC699D"/>
    <w:rsid w:val="00EE522D"/>
    <w:rsid w:val="00EF32B7"/>
    <w:rsid w:val="00F5259D"/>
    <w:rsid w:val="00FA7353"/>
    <w:rsid w:val="00FE24BF"/>
    <w:rsid w:val="00FE6ECB"/>
    <w:rsid w:val="00FE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AC85"/>
  <w15:chartTrackingRefBased/>
  <w15:docId w15:val="{0B5B846A-AFB3-4CD8-9067-1656747E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599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C1F7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75F05"/>
    <w:rPr>
      <w:b/>
      <w:bCs/>
    </w:rPr>
  </w:style>
  <w:style w:type="paragraph" w:customStyle="1" w:styleId="atext">
    <w:name w:val="atext"/>
    <w:basedOn w:val="Normale"/>
    <w:rsid w:val="0065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E427D-AACF-4A30-9127-E8AF4948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Del Giudice</dc:creator>
  <cp:keywords/>
  <dc:description/>
  <cp:lastModifiedBy>Angela Del Giudice</cp:lastModifiedBy>
  <cp:revision>3</cp:revision>
  <dcterms:created xsi:type="dcterms:W3CDTF">2021-10-14T16:28:00Z</dcterms:created>
  <dcterms:modified xsi:type="dcterms:W3CDTF">2021-10-15T08:05:00Z</dcterms:modified>
</cp:coreProperties>
</file>