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F63F" w14:textId="4EB88D7D" w:rsidR="00C07A8E" w:rsidRDefault="00C07A8E" w:rsidP="00870190">
      <w:pPr>
        <w:pStyle w:val="Normal1"/>
        <w:spacing w:after="120" w:line="276" w:lineRule="auto"/>
        <w:rPr>
          <w:rFonts w:ascii="Verdana Pro W01 Light" w:hAnsi="Verdana Pro W01 Light"/>
          <w:b/>
          <w:color w:val="990033"/>
          <w:sz w:val="28"/>
          <w:szCs w:val="28"/>
        </w:rPr>
      </w:pPr>
      <w:r w:rsidRPr="00B36B7A">
        <w:rPr>
          <w:rFonts w:ascii="Arial" w:hAnsi="Arial"/>
          <w:noProof/>
          <w:sz w:val="28"/>
          <w:szCs w:val="28"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1B746165" wp14:editId="075083D3">
            <wp:simplePos x="0" y="0"/>
            <wp:positionH relativeFrom="margin">
              <wp:align>right</wp:align>
            </wp:positionH>
            <wp:positionV relativeFrom="paragraph">
              <wp:posOffset>-347965</wp:posOffset>
            </wp:positionV>
            <wp:extent cx="2296501" cy="345034"/>
            <wp:effectExtent l="0" t="0" r="0" b="0"/>
            <wp:wrapNone/>
            <wp:docPr id="4" name="Immagine 3" descr="cid:image005.png@01D2965C.53E3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5.png@01D2965C.53E352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01" cy="34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113EA" w14:textId="4F7534A9" w:rsidR="00C07A8E" w:rsidRPr="00293632" w:rsidRDefault="00C07A8E" w:rsidP="00B04465">
      <w:pPr>
        <w:pStyle w:val="Normal1"/>
        <w:spacing w:line="276" w:lineRule="auto"/>
        <w:rPr>
          <w:rFonts w:ascii="Verdana Pro Light" w:eastAsiaTheme="majorEastAsia" w:hAnsi="Verdana Pro Light" w:cstheme="majorBidi"/>
          <w:b/>
          <w:color w:val="990033"/>
          <w:spacing w:val="-10"/>
          <w:kern w:val="28"/>
          <w:sz w:val="28"/>
          <w:szCs w:val="56"/>
          <w:lang w:eastAsia="en-US" w:bidi="ar-SA"/>
        </w:rPr>
      </w:pPr>
      <w:r w:rsidRPr="00293632">
        <w:rPr>
          <w:rFonts w:ascii="Verdana Pro Light" w:eastAsiaTheme="majorEastAsia" w:hAnsi="Verdana Pro Light" w:cstheme="majorBidi"/>
          <w:b/>
          <w:color w:val="990033"/>
          <w:spacing w:val="-10"/>
          <w:kern w:val="28"/>
          <w:sz w:val="28"/>
          <w:szCs w:val="56"/>
          <w:lang w:eastAsia="en-US" w:bidi="ar-SA"/>
        </w:rPr>
        <w:t>“Narrarsi ai tempi del Covid-19”</w:t>
      </w:r>
      <w:r w:rsidR="00B93C0A" w:rsidRPr="00293632">
        <w:rPr>
          <w:rFonts w:ascii="Verdana Pro Light" w:eastAsiaTheme="majorEastAsia" w:hAnsi="Verdana Pro Light" w:cstheme="majorBidi"/>
          <w:b/>
          <w:color w:val="990033"/>
          <w:spacing w:val="-10"/>
          <w:kern w:val="28"/>
          <w:sz w:val="28"/>
          <w:szCs w:val="56"/>
          <w:lang w:eastAsia="en-US" w:bidi="ar-SA"/>
        </w:rPr>
        <w:t xml:space="preserve">: </w:t>
      </w:r>
      <w:r w:rsidR="00B93C0A" w:rsidRPr="00B93C0A">
        <w:rPr>
          <w:rFonts w:ascii="Verdana Pro Light" w:eastAsiaTheme="majorEastAsia" w:hAnsi="Verdana Pro Light" w:cstheme="majorBidi"/>
          <w:b/>
          <w:color w:val="990033"/>
          <w:spacing w:val="-10"/>
          <w:kern w:val="28"/>
          <w:sz w:val="28"/>
          <w:szCs w:val="56"/>
          <w:lang w:eastAsia="en-US" w:bidi="ar-SA"/>
        </w:rPr>
        <w:t>l</w:t>
      </w:r>
      <w:r w:rsidRPr="00B93C0A">
        <w:rPr>
          <w:rFonts w:ascii="Verdana Pro Light" w:eastAsiaTheme="majorEastAsia" w:hAnsi="Verdana Pro Light" w:cstheme="majorBidi"/>
          <w:b/>
          <w:color w:val="990033"/>
          <w:spacing w:val="-10"/>
          <w:kern w:val="28"/>
          <w:sz w:val="28"/>
          <w:szCs w:val="56"/>
          <w:lang w:eastAsia="en-US" w:bidi="ar-SA"/>
        </w:rPr>
        <w:t>e voci dei pazienti</w:t>
      </w:r>
      <w:r w:rsidRPr="00293632">
        <w:rPr>
          <w:rFonts w:ascii="Verdana Pro Light" w:eastAsiaTheme="majorEastAsia" w:hAnsi="Verdana Pro Light" w:cstheme="majorBidi"/>
          <w:b/>
          <w:color w:val="990033"/>
          <w:spacing w:val="-10"/>
          <w:kern w:val="28"/>
          <w:sz w:val="28"/>
          <w:szCs w:val="56"/>
          <w:lang w:eastAsia="en-US" w:bidi="ar-SA"/>
        </w:rPr>
        <w:t xml:space="preserve"> con Broncopneumopatia Cronica Ostruttiva - la BPCO -, i loro familiari e i professionisti sanitari”</w:t>
      </w:r>
    </w:p>
    <w:p w14:paraId="17004528" w14:textId="77777777" w:rsidR="00572406" w:rsidRPr="00870190" w:rsidRDefault="00572406" w:rsidP="006B71E2">
      <w:pPr>
        <w:jc w:val="both"/>
        <w:rPr>
          <w:rFonts w:ascii="Verdana Pro W01 Light" w:hAnsi="Verdana Pro W01 Light"/>
        </w:rPr>
      </w:pPr>
    </w:p>
    <w:p w14:paraId="55672558" w14:textId="0F9ACBE9" w:rsidR="00C07A8E" w:rsidRPr="00293632" w:rsidRDefault="00C07A8E" w:rsidP="00C07A8E">
      <w:pPr>
        <w:jc w:val="both"/>
        <w:rPr>
          <w:rFonts w:ascii="Verdana Pro Light" w:eastAsiaTheme="majorEastAsia" w:hAnsi="Verdana Pro Light" w:cstheme="majorBidi"/>
          <w:bCs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La Ricerca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“Narrarsi ai tempi del Covid-19: le voci dei pazienti con Broncopneumopatia Cronica Ostruttiva</w:t>
      </w:r>
      <w:r w:rsidR="00B04465"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 - la BPCO -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i loro familiari e i professionisti sanitari”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è stata avviata da Fondazione Istud, con il supporto incondizionato di Chiesi Italia, a luglio del 2020 e si è conclusa a dicembre 2020: ha visto la partecipazione di professionisti afferenti alle società scientifiche impegnate nel campo della pneumologia (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Associazione Italiana Pneumologi Ospedalieri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AIPO;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Società Italiana di Pneumologia/</w:t>
      </w:r>
      <w:proofErr w:type="spellStart"/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Italian</w:t>
      </w:r>
      <w:proofErr w:type="spellEnd"/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 </w:t>
      </w:r>
      <w:proofErr w:type="spellStart"/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Respiratory</w:t>
      </w:r>
      <w:proofErr w:type="spellEnd"/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 Society SIP/IRS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) e della medicina generale (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Società Italiana di Medicina Generale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SIMG;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Federazione Italiana Medici di Medicina Generale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, FIMMG). L’iniziativa è inoltre sostenuta dalle Associazioni dei pazienti affetti da malattie respiratorie croniche (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Associazione Italiana Pazienti BPCO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</w:t>
      </w:r>
      <w:proofErr w:type="spellStart"/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FederAsma</w:t>
      </w:r>
      <w:proofErr w:type="spellEnd"/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 e Allergie ODV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). </w:t>
      </w:r>
    </w:p>
    <w:p w14:paraId="527696FF" w14:textId="12BF7138" w:rsidR="00C07A8E" w:rsidRPr="00293632" w:rsidRDefault="00C07A8E" w:rsidP="00C07A8E">
      <w:pPr>
        <w:jc w:val="both"/>
        <w:rPr>
          <w:rFonts w:ascii="Verdana Pro Light" w:eastAsiaTheme="majorEastAsia" w:hAnsi="Verdana Pro Light" w:cstheme="majorBidi"/>
          <w:b/>
          <w:bCs/>
          <w:color w:val="990033"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/>
          <w:bCs/>
          <w:color w:val="990033"/>
          <w:spacing w:val="-10"/>
          <w:kern w:val="28"/>
        </w:rPr>
        <w:t>Il perché della ricerca</w:t>
      </w:r>
    </w:p>
    <w:p w14:paraId="1B61587B" w14:textId="77777777" w:rsidR="00C07A8E" w:rsidRPr="00293632" w:rsidRDefault="00C07A8E" w:rsidP="00C07A8E">
      <w:pPr>
        <w:jc w:val="both"/>
        <w:rPr>
          <w:rFonts w:ascii="Verdana Pro Light" w:eastAsiaTheme="majorEastAsia" w:hAnsi="Verdana Pro Light" w:cstheme="majorBidi"/>
          <w:bCs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La pandemia di COVID-19 ha sconvolto la vita di tutti e, in particolare, quella delle persone in condizioni di fragilità come i malati con patologie polmonari come la Broncopneumopatia Cronica Ostruttiva (BPCO) e i loro familiari </w:t>
      </w:r>
      <w:proofErr w:type="spellStart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caregiver</w:t>
      </w:r>
      <w:proofErr w:type="spellEnd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. </w:t>
      </w:r>
    </w:p>
    <w:p w14:paraId="2A8BA16F" w14:textId="366BAC67" w:rsidR="00C07A8E" w:rsidRPr="00293632" w:rsidRDefault="00C07A8E" w:rsidP="00C07A8E">
      <w:pPr>
        <w:jc w:val="both"/>
        <w:rPr>
          <w:rFonts w:ascii="Verdana Pro Light" w:eastAsiaTheme="majorEastAsia" w:hAnsi="Verdana Pro Light" w:cstheme="majorBidi"/>
          <w:b/>
          <w:bCs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La Medicina Narrativa è un approccio validato per comprendere i bisogni dei pazienti al fine di migliorare la qualità delle cure. Lo scopo principale di questo studio è stato quello di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esplorare come la pandemia di COVID-19 abbia avuto un impatto sulla qualità delle cure, sulla qualità della vita, sui fattori psicologici e sociali nelle persone affette da BPCO, nei loro </w:t>
      </w:r>
      <w:proofErr w:type="spellStart"/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caregiver</w:t>
      </w:r>
      <w:proofErr w:type="spellEnd"/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 e negli operatori sanitari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. Altro obiettivo era indagare il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ruolo della telemedicina per superare l'isolamento e l'accesso alle cure. </w:t>
      </w:r>
    </w:p>
    <w:p w14:paraId="15744954" w14:textId="408D5DA5" w:rsidR="00B93C0A" w:rsidRPr="00293632" w:rsidRDefault="00C07A8E" w:rsidP="00C07A8E">
      <w:pPr>
        <w:jc w:val="both"/>
        <w:rPr>
          <w:rFonts w:ascii="Verdana Pro Light" w:eastAsiaTheme="majorEastAsia" w:hAnsi="Verdana Pro Light" w:cstheme="majorBidi"/>
          <w:bCs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La ricerca è stata portata avanti grazie ad un questionario semi-strutturato online con una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trama narrativa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completata da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146 partecipanti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: 79 persone con BPCO, di età media di 68.8 anni, di cui 50.6% donne e il 49.4% uomini, 24 </w:t>
      </w:r>
      <w:proofErr w:type="spellStart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caregiver</w:t>
      </w:r>
      <w:proofErr w:type="spellEnd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familiari, di età media di 51 anni di cui il 61.5% donne e il 34.6% uomini, e 43 professionisti sanitari, di età media di 37.2 anni, con un 48.9% di donne e un 51.1% di uomini. </w:t>
      </w:r>
    </w:p>
    <w:p w14:paraId="1D32C1C5" w14:textId="2692CEBC" w:rsidR="00C07A8E" w:rsidRPr="00293632" w:rsidRDefault="00C07A8E" w:rsidP="00C07A8E">
      <w:pPr>
        <w:jc w:val="both"/>
        <w:rPr>
          <w:rFonts w:ascii="Verdana Pro Light" w:eastAsiaTheme="majorEastAsia" w:hAnsi="Verdana Pro Light" w:cstheme="majorBidi"/>
          <w:b/>
          <w:bCs/>
          <w:color w:val="990033"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/>
          <w:bCs/>
          <w:color w:val="990033"/>
          <w:spacing w:val="-10"/>
          <w:kern w:val="28"/>
        </w:rPr>
        <w:t>Principali risultati della ricerca</w:t>
      </w:r>
    </w:p>
    <w:p w14:paraId="1E5ADAE0" w14:textId="3919DDA9" w:rsidR="00E71DD2" w:rsidRPr="00293632" w:rsidRDefault="00E71DD2" w:rsidP="00681E4F">
      <w:pPr>
        <w:jc w:val="both"/>
        <w:rPr>
          <w:rFonts w:ascii="Verdana Pro Light" w:eastAsiaTheme="majorEastAsia" w:hAnsi="Verdana Pro Light" w:cstheme="majorBidi"/>
          <w:bCs/>
          <w:color w:val="990033"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color w:val="990033"/>
          <w:spacing w:val="-10"/>
          <w:kern w:val="28"/>
        </w:rPr>
        <w:t>Emozioni e atteggiamenti nelle diverse fasi della pandemia</w:t>
      </w:r>
    </w:p>
    <w:p w14:paraId="18D8D2DA" w14:textId="3B7CE40C" w:rsidR="00C07A8E" w:rsidRPr="00293632" w:rsidRDefault="00C07A8E" w:rsidP="00C07A8E">
      <w:pPr>
        <w:jc w:val="both"/>
        <w:rPr>
          <w:rFonts w:ascii="Verdana Pro Light" w:eastAsiaTheme="majorEastAsia" w:hAnsi="Verdana Pro Light" w:cstheme="majorBidi"/>
          <w:bCs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I risultati hanno indicato che le emozioni e gli atteggiamenti più frequentemente riportati sono stati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l'apprensione, il terrore e la paura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(</w:t>
      </w:r>
      <w:r w:rsidR="00862FAF"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58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% dei partecipanti e </w:t>
      </w:r>
      <w:r w:rsidR="00862FAF"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100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% dei </w:t>
      </w:r>
      <w:proofErr w:type="spellStart"/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caregiver</w:t>
      </w:r>
      <w:proofErr w:type="spellEnd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), seguiti dalla riflessione e dalla vigilanza per i </w:t>
      </w:r>
      <w:proofErr w:type="spellStart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caregiver</w:t>
      </w:r>
      <w:proofErr w:type="spellEnd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(16.6%). Le stesse emozioni – paura, terrore, apprensione – sono state le più frequenti per il 42% dei professionisti durante il primo </w:t>
      </w:r>
      <w:proofErr w:type="spellStart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lockdown</w:t>
      </w:r>
      <w:proofErr w:type="spellEnd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di fronte al timore del contagio in ospedale e dei propri cari. </w:t>
      </w:r>
    </w:p>
    <w:p w14:paraId="09955C6B" w14:textId="42072BA5" w:rsidR="0022678C" w:rsidRPr="00293632" w:rsidRDefault="0022678C" w:rsidP="00B04465">
      <w:pPr>
        <w:rPr>
          <w:rFonts w:ascii="Verdana Pro Light" w:eastAsiaTheme="majorEastAsia" w:hAnsi="Verdana Pro Light" w:cstheme="majorBidi"/>
          <w:bCs/>
          <w:i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“Prima dell’emergenza sanitaria ero un uomo sereno, poi è successo che quell’uomo ha conosciuto la paura. Durante i mesi del </w:t>
      </w:r>
      <w:proofErr w:type="spellStart"/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lockdown</w:t>
      </w:r>
      <w:proofErr w:type="spellEnd"/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 mi sono sentito in pericolo, ho pensato di morire, il mio corpo era rigido ed uscire di casa era vietato” (persona con BPCO).</w:t>
      </w:r>
    </w:p>
    <w:p w14:paraId="3825F38E" w14:textId="4BAB1A2C" w:rsidR="001B382F" w:rsidRPr="00293632" w:rsidRDefault="0022678C" w:rsidP="00B04465">
      <w:pPr>
        <w:rPr>
          <w:rFonts w:ascii="Verdana Pro Light" w:eastAsiaTheme="majorEastAsia" w:hAnsi="Verdana Pro Light" w:cstheme="majorBidi"/>
          <w:bCs/>
          <w:i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“Durante i mesi del </w:t>
      </w:r>
      <w:proofErr w:type="spellStart"/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lockdown</w:t>
      </w:r>
      <w:proofErr w:type="spellEnd"/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 mi sono sentita impotente per mio marito. Ho pensato di vederlo morire. La mia casa era un misto di freddo e di ansia. Le persone vicine non esistevano e neanche le altre…” (</w:t>
      </w:r>
      <w:proofErr w:type="spellStart"/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caregiver</w:t>
      </w:r>
      <w:proofErr w:type="spellEnd"/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).</w:t>
      </w:r>
    </w:p>
    <w:p w14:paraId="77D7312F" w14:textId="48C3838E" w:rsidR="00681E4F" w:rsidRPr="00293632" w:rsidRDefault="00681E4F" w:rsidP="00B04465">
      <w:pPr>
        <w:rPr>
          <w:rFonts w:ascii="Verdana Pro Light" w:eastAsiaTheme="majorEastAsia" w:hAnsi="Verdana Pro Light" w:cstheme="majorBidi"/>
          <w:bCs/>
          <w:i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“Durante i mesi di </w:t>
      </w:r>
      <w:proofErr w:type="spellStart"/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lockdown</w:t>
      </w:r>
      <w:proofErr w:type="spellEnd"/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, mi sono sentita impotente. Ho pensato di morire. Le mie giornate erano le stesse, ma la mia casa era un serbatoio di ansia. Le persone vicine non potevo abbracciarle e le altre non esistevano. I luoghi di cura erano come i camp</w:t>
      </w:r>
      <w:r w:rsidR="00B93C0A"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i da guerra…” (p</w:t>
      </w:r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rofessionista </w:t>
      </w:r>
      <w:r w:rsidR="00B93C0A"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s</w:t>
      </w:r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anitario) </w:t>
      </w:r>
    </w:p>
    <w:p w14:paraId="1EF13B65" w14:textId="5726668C" w:rsidR="008E5EBF" w:rsidRPr="00293632" w:rsidRDefault="00DF194F" w:rsidP="0022678C">
      <w:pPr>
        <w:jc w:val="both"/>
        <w:rPr>
          <w:rFonts w:ascii="Verdana Pro Light" w:eastAsiaTheme="majorEastAsia" w:hAnsi="Verdana Pro Light" w:cstheme="majorBidi"/>
          <w:bCs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lastRenderedPageBreak/>
        <w:t xml:space="preserve">Durante il periodo della riapertura, ha prevalso un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atteggiamento di vigilanza </w:t>
      </w:r>
      <w:r w:rsidR="008E5EBF"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e</w:t>
      </w:r>
      <w:r w:rsidR="00B04465"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 cautela</w:t>
      </w:r>
      <w:r w:rsidR="008E5EBF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che conferma il comportamento responsabile mantenuto durante il </w:t>
      </w:r>
      <w:proofErr w:type="spellStart"/>
      <w:r w:rsidR="008E5EBF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lockdown</w:t>
      </w:r>
      <w:proofErr w:type="spellEnd"/>
      <w:r w:rsidR="008E5EBF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</w:t>
      </w:r>
      <w:r w:rsidR="00B04465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- </w:t>
      </w:r>
      <w:r w:rsidR="008E5EBF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rispetto delle </w:t>
      </w:r>
      <w:r w:rsidR="00B04465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misure di prevenzione e</w:t>
      </w:r>
      <w:r w:rsidR="008E5EBF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distanziamento sociale, sia da parte dei pazienti che dei </w:t>
      </w:r>
      <w:proofErr w:type="spellStart"/>
      <w:r w:rsidR="008E5EBF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caregiver</w:t>
      </w:r>
      <w:proofErr w:type="spellEnd"/>
      <w:r w:rsidR="008E5EBF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.</w:t>
      </w:r>
    </w:p>
    <w:p w14:paraId="0D8FE2DB" w14:textId="7A56D7F4" w:rsidR="00DF194F" w:rsidRPr="00293632" w:rsidRDefault="00DF194F" w:rsidP="001510EB">
      <w:pPr>
        <w:rPr>
          <w:rFonts w:ascii="Verdana Pro Light" w:eastAsiaTheme="majorEastAsia" w:hAnsi="Verdana Pro Light" w:cstheme="majorBidi"/>
          <w:bCs/>
          <w:i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“Mi sento libero ma non ancora la sicuro. Penso che vada mantenuta alta l’attenzione”</w:t>
      </w:r>
      <w:r w:rsidR="00681E4F"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 (persona con BPCO) - </w:t>
      </w:r>
      <w:r w:rsidR="008E5EBF"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“Mi sento più tranquillo e fiducioso. Penso che finalmente si possa uscire con un po’ più di libertà, anche se sempre con ragionevolezza (</w:t>
      </w:r>
      <w:proofErr w:type="spellStart"/>
      <w:r w:rsidR="008E5EBF"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caregiver</w:t>
      </w:r>
      <w:proofErr w:type="spellEnd"/>
      <w:r w:rsidR="008E5EBF"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). </w:t>
      </w:r>
    </w:p>
    <w:p w14:paraId="63FEB61C" w14:textId="5D8B86B5" w:rsidR="00DF194F" w:rsidRPr="00293632" w:rsidRDefault="00DF194F" w:rsidP="00C07A8E">
      <w:pPr>
        <w:jc w:val="both"/>
        <w:rPr>
          <w:rFonts w:ascii="Verdana Pro Light" w:eastAsiaTheme="majorEastAsia" w:hAnsi="Verdana Pro Light" w:cstheme="majorBidi"/>
          <w:bCs/>
          <w:color w:val="990033"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color w:val="990033"/>
          <w:spacing w:val="-10"/>
          <w:kern w:val="28"/>
        </w:rPr>
        <w:t>Le metafore per rappresentare la BPCO e il COVID</w:t>
      </w:r>
      <w:r w:rsidR="006C5EDE">
        <w:rPr>
          <w:rFonts w:ascii="Verdana Pro Light" w:eastAsiaTheme="majorEastAsia" w:hAnsi="Verdana Pro Light" w:cstheme="majorBidi"/>
          <w:bCs/>
          <w:color w:val="990033"/>
          <w:spacing w:val="-10"/>
          <w:kern w:val="28"/>
        </w:rPr>
        <w:t>-19</w:t>
      </w:r>
    </w:p>
    <w:p w14:paraId="098186D8" w14:textId="3D9D461C" w:rsidR="0022678C" w:rsidRPr="00293632" w:rsidRDefault="00C07A8E" w:rsidP="00C07A8E">
      <w:pPr>
        <w:jc w:val="both"/>
        <w:rPr>
          <w:rFonts w:ascii="Verdana Pro Light" w:eastAsiaTheme="majorEastAsia" w:hAnsi="Verdana Pro Light" w:cstheme="majorBidi"/>
          <w:bCs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 xml:space="preserve">Le metafore più usate dai pazienti con BPCO e </w:t>
      </w:r>
      <w:bookmarkStart w:id="0" w:name="_GoBack"/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COVID</w:t>
      </w:r>
      <w:bookmarkEnd w:id="0"/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-19 erano rispettivamente legate a mostri e assassini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richiamando quindi una dimensione di orrore, andando oltre le classiche metafore di guerra che sono utilizzate dai media quotidianamente nella “lotta al nemico”. </w:t>
      </w:r>
    </w:p>
    <w:p w14:paraId="21421823" w14:textId="0BFBC486" w:rsidR="00B04465" w:rsidRPr="00293632" w:rsidRDefault="00C07A8E" w:rsidP="00C07A8E">
      <w:pPr>
        <w:jc w:val="both"/>
        <w:rPr>
          <w:rFonts w:ascii="Verdana Pro Light" w:eastAsiaTheme="majorEastAsia" w:hAnsi="Verdana Pro Light" w:cstheme="majorBidi"/>
          <w:bCs/>
          <w:i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Le case erano percepite più come una questione di pulizia e un luogo solitario, che non un rifugio: </w:t>
      </w:r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“La casa era pulita, sempre disinfettata. Uscire di casa era impossibile, solo io andavo al lavoro e a fare le spese. Mio padre stava barricato in casa”. </w:t>
      </w:r>
    </w:p>
    <w:p w14:paraId="7FA4B174" w14:textId="77777777" w:rsidR="00B04465" w:rsidRPr="00293632" w:rsidRDefault="00B04465" w:rsidP="00C07A8E">
      <w:pPr>
        <w:jc w:val="both"/>
        <w:rPr>
          <w:rFonts w:ascii="Verdana Pro Light" w:eastAsiaTheme="majorEastAsia" w:hAnsi="Verdana Pro Light" w:cstheme="majorBidi"/>
          <w:bCs/>
          <w:color w:val="990033"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color w:val="990033"/>
          <w:spacing w:val="-10"/>
          <w:kern w:val="28"/>
        </w:rPr>
        <w:t xml:space="preserve">Il </w:t>
      </w:r>
      <w:proofErr w:type="spellStart"/>
      <w:r w:rsidRPr="00293632">
        <w:rPr>
          <w:rFonts w:ascii="Verdana Pro Light" w:eastAsiaTheme="majorEastAsia" w:hAnsi="Verdana Pro Light" w:cstheme="majorBidi"/>
          <w:bCs/>
          <w:color w:val="990033"/>
          <w:spacing w:val="-10"/>
          <w:kern w:val="28"/>
        </w:rPr>
        <w:t>coping</w:t>
      </w:r>
      <w:proofErr w:type="spellEnd"/>
    </w:p>
    <w:p w14:paraId="03E45521" w14:textId="798EDE6A" w:rsidR="00681E4F" w:rsidRPr="00293632" w:rsidRDefault="00C07A8E" w:rsidP="00C07A8E">
      <w:pPr>
        <w:jc w:val="both"/>
        <w:rPr>
          <w:rFonts w:ascii="Verdana Pro Light" w:eastAsiaTheme="majorEastAsia" w:hAnsi="Verdana Pro Light" w:cstheme="majorBidi"/>
          <w:bCs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Il </w:t>
      </w:r>
      <w:proofErr w:type="spellStart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coping</w:t>
      </w:r>
      <w:proofErr w:type="spellEnd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ovvero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la capacità di superare il periodo difficile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era presente nel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45.2%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delle narrazioni</w:t>
      </w:r>
      <w:r w:rsidR="00B04465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, in molti casi associato alla speranza di ritrovare i propri cari</w:t>
      </w:r>
      <w:r w:rsidR="00681E4F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.</w:t>
      </w:r>
    </w:p>
    <w:p w14:paraId="70342300" w14:textId="2556C35B" w:rsidR="00C07A8E" w:rsidRPr="00293632" w:rsidRDefault="00C07A8E" w:rsidP="00C07A8E">
      <w:pPr>
        <w:jc w:val="both"/>
        <w:rPr>
          <w:rFonts w:ascii="Verdana Pro Light" w:eastAsiaTheme="majorEastAsia" w:hAnsi="Verdana Pro Light" w:cstheme="majorBidi"/>
          <w:bCs/>
          <w:i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“</w:t>
      </w:r>
      <w:r w:rsidR="00681E4F"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…S</w:t>
      </w:r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to bene da sola perché́ trovo sempre qualcosa da fare, leggere, informarmi, giocare col pc o imparare cose nuove di ogni genere”</w:t>
      </w:r>
      <w:r w:rsidR="00681E4F"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 - </w:t>
      </w:r>
      <w:r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 xml:space="preserve">“Dovevo stare calma e ragionare perché́ ho tre nipoti e un’unica figlia che abitano negli USA e io voglio rivederle...” </w:t>
      </w:r>
      <w:r w:rsidR="00681E4F" w:rsidRPr="00293632">
        <w:rPr>
          <w:rFonts w:ascii="Verdana Pro Light" w:eastAsiaTheme="majorEastAsia" w:hAnsi="Verdana Pro Light" w:cstheme="majorBidi"/>
          <w:bCs/>
          <w:i/>
          <w:spacing w:val="-10"/>
          <w:kern w:val="28"/>
        </w:rPr>
        <w:t>(persona con BPCO)</w:t>
      </w:r>
    </w:p>
    <w:p w14:paraId="356E99C1" w14:textId="1AE7EE95" w:rsidR="00E71DD2" w:rsidRPr="00293632" w:rsidRDefault="00B04465" w:rsidP="00C07A8E">
      <w:pPr>
        <w:jc w:val="both"/>
        <w:rPr>
          <w:rFonts w:ascii="Verdana Pro Light" w:eastAsiaTheme="majorEastAsia" w:hAnsi="Verdana Pro Light" w:cstheme="majorBidi"/>
          <w:bCs/>
          <w:color w:val="990033"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color w:val="990033"/>
          <w:spacing w:val="-10"/>
          <w:kern w:val="28"/>
        </w:rPr>
        <w:t>Organizzazione delle cure</w:t>
      </w:r>
    </w:p>
    <w:p w14:paraId="71FB605E" w14:textId="0A4E5F08" w:rsidR="001B382F" w:rsidRPr="00293632" w:rsidRDefault="00C07A8E" w:rsidP="00C07A8E">
      <w:pPr>
        <w:jc w:val="both"/>
        <w:rPr>
          <w:rFonts w:ascii="Verdana Pro Light" w:eastAsiaTheme="majorEastAsia" w:hAnsi="Verdana Pro Light" w:cstheme="majorBidi"/>
          <w:bCs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Durante il periodo del primo </w:t>
      </w:r>
      <w:proofErr w:type="spellStart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lockdown</w:t>
      </w:r>
      <w:proofErr w:type="spellEnd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il 12.6% delle persone con BPCO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ha riferito un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accesso regolare alle visite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mentre il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59% dei medici di base e degli pneumologi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ha sperimentato la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telemedicina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. Questo approccio è stato percepito come soddisfacente sia dai pazienti che dai </w:t>
      </w:r>
      <w:proofErr w:type="spellStart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caregiver</w:t>
      </w:r>
      <w:proofErr w:type="spellEnd"/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. </w:t>
      </w:r>
      <w:r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Il 15% dei pazienti non è stato in grado di accedere alle visite né in presenza né in telemedicina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: infatti, il ricorso alla telemedicina è “in costruzione”, sia per cultura che per infrastruttura tecnologica carente in alcuni luoghi, e molti pazienti hanno preferito rimandare le visite. </w:t>
      </w:r>
    </w:p>
    <w:p w14:paraId="29987B48" w14:textId="77777777" w:rsidR="001B382F" w:rsidRPr="00293632" w:rsidRDefault="001B382F" w:rsidP="00C07A8E">
      <w:pPr>
        <w:jc w:val="both"/>
        <w:rPr>
          <w:rFonts w:ascii="Verdana Pro Light" w:eastAsiaTheme="majorEastAsia" w:hAnsi="Verdana Pro Light" w:cstheme="majorBidi"/>
          <w:b/>
          <w:bCs/>
          <w:color w:val="990033"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/>
          <w:bCs/>
          <w:color w:val="990033"/>
          <w:spacing w:val="-10"/>
          <w:kern w:val="28"/>
        </w:rPr>
        <w:t>Conclusioni</w:t>
      </w:r>
    </w:p>
    <w:p w14:paraId="5E87BF8E" w14:textId="6846B0DF" w:rsidR="007B5A31" w:rsidRPr="00293632" w:rsidRDefault="001B382F" w:rsidP="001510EB">
      <w:pPr>
        <w:jc w:val="both"/>
        <w:rPr>
          <w:rFonts w:ascii="Verdana Pro Light" w:eastAsiaTheme="majorEastAsia" w:hAnsi="Verdana Pro Light" w:cstheme="majorBidi"/>
          <w:bCs/>
          <w:spacing w:val="-10"/>
          <w:kern w:val="28"/>
        </w:rPr>
      </w:pP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I </w:t>
      </w:r>
      <w:r w:rsidR="00C07A8E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risultati </w:t>
      </w:r>
      <w:r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della ricerca </w:t>
      </w:r>
      <w:r w:rsidR="00C07A8E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indicano la necessità di una </w:t>
      </w:r>
      <w:r w:rsidR="00C07A8E"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presa in carico globale</w:t>
      </w:r>
      <w:r w:rsidR="00C07A8E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che favorisca </w:t>
      </w:r>
      <w:r w:rsidR="00C07A8E"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non solo la cura fisica ma parimenti il benessere psicologico</w:t>
      </w:r>
      <w:r w:rsidR="00C07A8E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attivando le risorse interiori per far fronte al COVID-19, questo evento inaspettato e definito dagli stessi pazienti come “mostruoso”. Il modello di assistenza migliorativo è quello delle </w:t>
      </w:r>
      <w:r w:rsidR="00C07A8E"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cure continue</w:t>
      </w:r>
      <w:r w:rsidR="00C07A8E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, senza separazione tra ospedale e territorio, che può essere gestito anche attraverso una </w:t>
      </w:r>
      <w:r w:rsidR="00C07A8E" w:rsidRPr="00293632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sanità digitale efficace, efficiente e umanizzata</w:t>
      </w:r>
      <w:r w:rsidR="00C07A8E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. La presa in </w:t>
      </w:r>
      <w:r w:rsidR="00E71DD2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carico</w:t>
      </w:r>
      <w:r w:rsidR="00C07A8E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</w:t>
      </w:r>
      <w:r w:rsidR="00E71DD2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dovrà essere</w:t>
      </w:r>
      <w:r w:rsidR="00C07A8E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quindi </w:t>
      </w:r>
      <w:r w:rsidR="0022678C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multi</w:t>
      </w:r>
      <w:r w:rsidR="00E71DD2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-</w:t>
      </w:r>
      <w:r w:rsidR="0022678C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>professionale</w:t>
      </w:r>
      <w:r w:rsidR="00C07A8E" w:rsidRPr="00293632">
        <w:rPr>
          <w:rFonts w:ascii="Verdana Pro Light" w:eastAsiaTheme="majorEastAsia" w:hAnsi="Verdana Pro Light" w:cstheme="majorBidi"/>
          <w:bCs/>
          <w:spacing w:val="-10"/>
          <w:kern w:val="28"/>
        </w:rPr>
        <w:t xml:space="preserve"> e multidisciplinare e dovrà gestire non solo i pazienti con la BPCO, ma anche i loro familiari, salvaguardando le risorse psicofisiche dei professionisti sanitari mai così messe duramente alla prova da più di un anno di pandemia a oggi. </w:t>
      </w:r>
    </w:p>
    <w:sectPr w:rsidR="007B5A31" w:rsidRPr="00293632" w:rsidSect="00B93C0A">
      <w:pgSz w:w="11906" w:h="16838"/>
      <w:pgMar w:top="1134" w:right="1134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510E" w14:textId="77777777" w:rsidR="00A62048" w:rsidRDefault="00A62048" w:rsidP="00990C15">
      <w:pPr>
        <w:spacing w:after="0" w:line="240" w:lineRule="auto"/>
      </w:pPr>
      <w:r>
        <w:separator/>
      </w:r>
    </w:p>
  </w:endnote>
  <w:endnote w:type="continuationSeparator" w:id="0">
    <w:p w14:paraId="0756F5B0" w14:textId="77777777" w:rsidR="00A62048" w:rsidRDefault="00A62048" w:rsidP="0099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 W01 Light">
    <w:altName w:val="Calibri"/>
    <w:charset w:val="00"/>
    <w:family w:val="swiss"/>
    <w:pitch w:val="variable"/>
    <w:sig w:usb0="800000AF" w:usb1="0000004A" w:usb2="00000000" w:usb3="00000000" w:csb0="00000001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432E" w14:textId="77777777" w:rsidR="00A62048" w:rsidRDefault="00A62048" w:rsidP="00990C15">
      <w:pPr>
        <w:spacing w:after="0" w:line="240" w:lineRule="auto"/>
      </w:pPr>
      <w:r>
        <w:separator/>
      </w:r>
    </w:p>
  </w:footnote>
  <w:footnote w:type="continuationSeparator" w:id="0">
    <w:p w14:paraId="7E1392DB" w14:textId="77777777" w:rsidR="00A62048" w:rsidRDefault="00A62048" w:rsidP="0099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394"/>
    <w:multiLevelType w:val="hybridMultilevel"/>
    <w:tmpl w:val="5B960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198"/>
    <w:multiLevelType w:val="multilevel"/>
    <w:tmpl w:val="A5A67DB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1B506C6"/>
    <w:multiLevelType w:val="multilevel"/>
    <w:tmpl w:val="30023FA0"/>
    <w:styleLink w:val="WW8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23110FA"/>
    <w:multiLevelType w:val="hybridMultilevel"/>
    <w:tmpl w:val="F9C20FA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0B5A35"/>
    <w:multiLevelType w:val="multilevel"/>
    <w:tmpl w:val="D7D4868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E5B4001"/>
    <w:multiLevelType w:val="multilevel"/>
    <w:tmpl w:val="D7D48688"/>
    <w:numStyleLink w:val="WW8Num1"/>
  </w:abstractNum>
  <w:abstractNum w:abstractNumId="6" w15:restartNumberingAfterBreak="0">
    <w:nsid w:val="26067EB6"/>
    <w:multiLevelType w:val="hybridMultilevel"/>
    <w:tmpl w:val="E38A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24C"/>
    <w:multiLevelType w:val="hybridMultilevel"/>
    <w:tmpl w:val="40821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6F1A"/>
    <w:multiLevelType w:val="multilevel"/>
    <w:tmpl w:val="30EAF0F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F687173"/>
    <w:multiLevelType w:val="hybridMultilevel"/>
    <w:tmpl w:val="0F38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D03B3"/>
    <w:multiLevelType w:val="multilevel"/>
    <w:tmpl w:val="3C1EB4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1A21B23"/>
    <w:multiLevelType w:val="hybridMultilevel"/>
    <w:tmpl w:val="70C4B1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F1F"/>
    <w:multiLevelType w:val="hybridMultilevel"/>
    <w:tmpl w:val="E3362C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3BD"/>
    <w:multiLevelType w:val="multilevel"/>
    <w:tmpl w:val="D6AC0C56"/>
    <w:styleLink w:val="WW8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AD63323"/>
    <w:multiLevelType w:val="hybridMultilevel"/>
    <w:tmpl w:val="277C0B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541F0"/>
    <w:multiLevelType w:val="hybridMultilevel"/>
    <w:tmpl w:val="1B9443D2"/>
    <w:lvl w:ilvl="0" w:tplc="CB7838E6">
      <w:start w:val="3"/>
      <w:numFmt w:val="bullet"/>
      <w:lvlText w:val="-"/>
      <w:lvlJc w:val="left"/>
      <w:pPr>
        <w:ind w:left="720" w:hanging="360"/>
      </w:pPr>
      <w:rPr>
        <w:rFonts w:ascii="Arial" w:eastAsia="SimSun, 宋体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287F"/>
    <w:multiLevelType w:val="hybridMultilevel"/>
    <w:tmpl w:val="A21802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4084515"/>
    <w:multiLevelType w:val="hybridMultilevel"/>
    <w:tmpl w:val="EC901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10A"/>
    <w:multiLevelType w:val="hybridMultilevel"/>
    <w:tmpl w:val="D5547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936F8"/>
    <w:multiLevelType w:val="hybridMultilevel"/>
    <w:tmpl w:val="00E83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20127"/>
    <w:multiLevelType w:val="hybridMultilevel"/>
    <w:tmpl w:val="BDC85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1"/>
  </w:num>
  <w:num w:numId="13">
    <w:abstractNumId w:val="17"/>
  </w:num>
  <w:num w:numId="14">
    <w:abstractNumId w:val="18"/>
  </w:num>
  <w:num w:numId="15">
    <w:abstractNumId w:val="12"/>
  </w:num>
  <w:num w:numId="16">
    <w:abstractNumId w:val="19"/>
  </w:num>
  <w:num w:numId="17">
    <w:abstractNumId w:val="6"/>
  </w:num>
  <w:num w:numId="18">
    <w:abstractNumId w:val="0"/>
  </w:num>
  <w:num w:numId="19">
    <w:abstractNumId w:val="20"/>
  </w:num>
  <w:num w:numId="20">
    <w:abstractNumId w:val="1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15"/>
    <w:rsid w:val="0002206D"/>
    <w:rsid w:val="00050621"/>
    <w:rsid w:val="00054AC3"/>
    <w:rsid w:val="00062B02"/>
    <w:rsid w:val="0008303B"/>
    <w:rsid w:val="000867F4"/>
    <w:rsid w:val="000A4A34"/>
    <w:rsid w:val="001045D8"/>
    <w:rsid w:val="00116C59"/>
    <w:rsid w:val="001510EB"/>
    <w:rsid w:val="0017045C"/>
    <w:rsid w:val="001B382F"/>
    <w:rsid w:val="001D1A66"/>
    <w:rsid w:val="001F61BC"/>
    <w:rsid w:val="0022678C"/>
    <w:rsid w:val="002570B5"/>
    <w:rsid w:val="00277325"/>
    <w:rsid w:val="0028679F"/>
    <w:rsid w:val="00293632"/>
    <w:rsid w:val="00294587"/>
    <w:rsid w:val="002C08B7"/>
    <w:rsid w:val="002E6E70"/>
    <w:rsid w:val="00303116"/>
    <w:rsid w:val="003131F0"/>
    <w:rsid w:val="00322A5B"/>
    <w:rsid w:val="003451C9"/>
    <w:rsid w:val="00360657"/>
    <w:rsid w:val="003660D3"/>
    <w:rsid w:val="003753D7"/>
    <w:rsid w:val="00387EE2"/>
    <w:rsid w:val="00466CA8"/>
    <w:rsid w:val="00493796"/>
    <w:rsid w:val="004A4EC2"/>
    <w:rsid w:val="004B1027"/>
    <w:rsid w:val="004E316C"/>
    <w:rsid w:val="00504B6C"/>
    <w:rsid w:val="0054379F"/>
    <w:rsid w:val="00546989"/>
    <w:rsid w:val="00561466"/>
    <w:rsid w:val="0056466A"/>
    <w:rsid w:val="00572406"/>
    <w:rsid w:val="00584459"/>
    <w:rsid w:val="00591121"/>
    <w:rsid w:val="005C14DC"/>
    <w:rsid w:val="00612553"/>
    <w:rsid w:val="00641F59"/>
    <w:rsid w:val="0065553F"/>
    <w:rsid w:val="00681E4F"/>
    <w:rsid w:val="006B71E2"/>
    <w:rsid w:val="006C31DA"/>
    <w:rsid w:val="006C5EDE"/>
    <w:rsid w:val="0070031D"/>
    <w:rsid w:val="00736F22"/>
    <w:rsid w:val="007A7A9F"/>
    <w:rsid w:val="007B5A31"/>
    <w:rsid w:val="007C23F6"/>
    <w:rsid w:val="007D6C76"/>
    <w:rsid w:val="007F13B0"/>
    <w:rsid w:val="0080023B"/>
    <w:rsid w:val="00806B31"/>
    <w:rsid w:val="0080722F"/>
    <w:rsid w:val="0081585D"/>
    <w:rsid w:val="008265FD"/>
    <w:rsid w:val="00862FAF"/>
    <w:rsid w:val="00866F68"/>
    <w:rsid w:val="00870190"/>
    <w:rsid w:val="00891316"/>
    <w:rsid w:val="008945B0"/>
    <w:rsid w:val="008A1850"/>
    <w:rsid w:val="008B3D41"/>
    <w:rsid w:val="008E5EBF"/>
    <w:rsid w:val="00933B69"/>
    <w:rsid w:val="0098285A"/>
    <w:rsid w:val="00990C15"/>
    <w:rsid w:val="009A09A1"/>
    <w:rsid w:val="00A03F81"/>
    <w:rsid w:val="00A360BF"/>
    <w:rsid w:val="00A62048"/>
    <w:rsid w:val="00A726D8"/>
    <w:rsid w:val="00AB1FFB"/>
    <w:rsid w:val="00AC07FD"/>
    <w:rsid w:val="00AC2F4B"/>
    <w:rsid w:val="00AF0D64"/>
    <w:rsid w:val="00B04465"/>
    <w:rsid w:val="00B35A02"/>
    <w:rsid w:val="00B72263"/>
    <w:rsid w:val="00B93C0A"/>
    <w:rsid w:val="00BB572E"/>
    <w:rsid w:val="00BD7C8B"/>
    <w:rsid w:val="00C07A8E"/>
    <w:rsid w:val="00C10C3A"/>
    <w:rsid w:val="00C11448"/>
    <w:rsid w:val="00C74B36"/>
    <w:rsid w:val="00CC3B6F"/>
    <w:rsid w:val="00D7408A"/>
    <w:rsid w:val="00DA2B00"/>
    <w:rsid w:val="00DC714F"/>
    <w:rsid w:val="00DF194F"/>
    <w:rsid w:val="00E1755F"/>
    <w:rsid w:val="00E41601"/>
    <w:rsid w:val="00E71DD2"/>
    <w:rsid w:val="00E80575"/>
    <w:rsid w:val="00EA2ED6"/>
    <w:rsid w:val="00EA5BB4"/>
    <w:rsid w:val="00EB1E97"/>
    <w:rsid w:val="00F71055"/>
    <w:rsid w:val="00F82F92"/>
    <w:rsid w:val="00F963E7"/>
    <w:rsid w:val="00FB3788"/>
    <w:rsid w:val="00FB578C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DF6E"/>
  <w15:chartTrackingRefBased/>
  <w15:docId w15:val="{24934F5B-69B4-43E5-8B74-FFB24FA2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990C1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, 宋体" w:hAnsi="Liberation Serif" w:cs="Arial"/>
      <w:color w:val="00000A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90C1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, 宋体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Notaapidipagina">
    <w:name w:val="Nota a piè di pagina"/>
    <w:basedOn w:val="Normale"/>
    <w:rsid w:val="00990C15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, 宋体" w:hAnsi="Liberation Serif" w:cs="Arial"/>
      <w:color w:val="00000A"/>
      <w:kern w:val="3"/>
      <w:sz w:val="20"/>
      <w:szCs w:val="20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990C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color w:val="00000A"/>
      <w:kern w:val="3"/>
      <w:sz w:val="24"/>
      <w:szCs w:val="24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0C15"/>
    <w:rPr>
      <w:rFonts w:ascii="Liberation Serif" w:eastAsia="SimSun, 宋体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Normale"/>
    <w:rsid w:val="00990C15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Liberation Serif" w:eastAsia="SimSun, 宋体" w:hAnsi="Liberation Serif" w:cs="Arial"/>
      <w:color w:val="00000A"/>
      <w:kern w:val="3"/>
      <w:sz w:val="20"/>
      <w:szCs w:val="20"/>
      <w:lang w:eastAsia="zh-CN" w:bidi="hi-IN"/>
    </w:rPr>
  </w:style>
  <w:style w:type="character" w:styleId="Rimandonotaapidipagina">
    <w:name w:val="footnote reference"/>
    <w:rsid w:val="00990C15"/>
    <w:rPr>
      <w:position w:val="0"/>
      <w:vertAlign w:val="superscript"/>
    </w:rPr>
  </w:style>
  <w:style w:type="character" w:customStyle="1" w:styleId="WW-CollegamentoInternet">
    <w:name w:val="WW-Collegamento Internet"/>
    <w:basedOn w:val="Carpredefinitoparagrafo"/>
    <w:rsid w:val="00990C15"/>
    <w:rPr>
      <w:color w:val="0000FF"/>
      <w:u w:val="single"/>
      <w:lang w:val="en-US" w:bidi="en-US"/>
    </w:rPr>
  </w:style>
  <w:style w:type="character" w:customStyle="1" w:styleId="FootnoteCharacters">
    <w:name w:val="Footnote Characters"/>
    <w:rsid w:val="00990C15"/>
  </w:style>
  <w:style w:type="paragraph" w:customStyle="1" w:styleId="Normal1">
    <w:name w:val="Normal1"/>
    <w:rsid w:val="00990C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0"/>
      <w:szCs w:val="24"/>
      <w:lang w:eastAsia="zh-CN" w:bidi="hi-IN"/>
    </w:rPr>
  </w:style>
  <w:style w:type="numbering" w:customStyle="1" w:styleId="WW8Num1">
    <w:name w:val="WW8Num1"/>
    <w:basedOn w:val="Nessunelenco"/>
    <w:rsid w:val="00990C15"/>
    <w:pPr>
      <w:numPr>
        <w:numId w:val="1"/>
      </w:numPr>
    </w:pPr>
  </w:style>
  <w:style w:type="numbering" w:customStyle="1" w:styleId="WW8Num2">
    <w:name w:val="WW8Num2"/>
    <w:basedOn w:val="Nessunelenco"/>
    <w:rsid w:val="00990C15"/>
    <w:pPr>
      <w:numPr>
        <w:numId w:val="2"/>
      </w:numPr>
    </w:pPr>
  </w:style>
  <w:style w:type="numbering" w:customStyle="1" w:styleId="WW8Num3">
    <w:name w:val="WW8Num3"/>
    <w:basedOn w:val="Nessunelenco"/>
    <w:rsid w:val="00990C15"/>
    <w:pPr>
      <w:numPr>
        <w:numId w:val="3"/>
      </w:numPr>
    </w:pPr>
  </w:style>
  <w:style w:type="numbering" w:customStyle="1" w:styleId="WW8Num7">
    <w:name w:val="WW8Num7"/>
    <w:basedOn w:val="Nessunelenco"/>
    <w:rsid w:val="00990C15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A03F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3F8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175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75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75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75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75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55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C3A"/>
  </w:style>
  <w:style w:type="paragraph" w:styleId="Pidipagina">
    <w:name w:val="footer"/>
    <w:basedOn w:val="Normale"/>
    <w:link w:val="PidipaginaCarattere"/>
    <w:uiPriority w:val="99"/>
    <w:unhideWhenUsed/>
    <w:rsid w:val="00C1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C3A"/>
  </w:style>
  <w:style w:type="paragraph" w:styleId="NormaleWeb">
    <w:name w:val="Normal (Web)"/>
    <w:basedOn w:val="Normale"/>
    <w:uiPriority w:val="99"/>
    <w:semiHidden/>
    <w:unhideWhenUsed/>
    <w:rsid w:val="00054AC3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71E2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71E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71E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png@01D2965C.53E3525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C08C-324F-482A-893A-5F78F950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Donato</dc:creator>
  <cp:keywords/>
  <dc:description/>
  <cp:lastModifiedBy>PIGATO Monica</cp:lastModifiedBy>
  <cp:revision>6</cp:revision>
  <dcterms:created xsi:type="dcterms:W3CDTF">2021-04-23T13:29:00Z</dcterms:created>
  <dcterms:modified xsi:type="dcterms:W3CDTF">2021-04-28T08:55:00Z</dcterms:modified>
</cp:coreProperties>
</file>