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60D54" w14:textId="77777777" w:rsidR="00C71216" w:rsidRPr="00C71216" w:rsidRDefault="00C71216" w:rsidP="00C71216">
      <w:pPr>
        <w:spacing w:after="120"/>
        <w:jc w:val="center"/>
        <w:rPr>
          <w:rFonts w:asciiTheme="majorHAnsi" w:hAnsiTheme="majorHAnsi"/>
          <w:bCs/>
          <w:sz w:val="28"/>
          <w:szCs w:val="28"/>
          <w:u w:val="single"/>
        </w:rPr>
      </w:pPr>
      <w:r w:rsidRPr="00C71216">
        <w:rPr>
          <w:rFonts w:asciiTheme="majorHAnsi" w:hAnsiTheme="majorHAnsi"/>
          <w:bCs/>
          <w:sz w:val="28"/>
          <w:szCs w:val="28"/>
          <w:u w:val="single"/>
        </w:rPr>
        <w:t>Comunicato stampa</w:t>
      </w:r>
    </w:p>
    <w:p w14:paraId="517A21A3" w14:textId="77777777" w:rsidR="00C71216" w:rsidRPr="00C71216" w:rsidRDefault="00C71216" w:rsidP="00C71216">
      <w:pPr>
        <w:spacing w:after="120"/>
        <w:jc w:val="center"/>
        <w:rPr>
          <w:rFonts w:asciiTheme="majorHAnsi" w:hAnsiTheme="majorHAnsi"/>
          <w:bCs/>
          <w:sz w:val="16"/>
          <w:szCs w:val="16"/>
          <w:u w:val="single"/>
        </w:rPr>
      </w:pPr>
    </w:p>
    <w:p w14:paraId="5569470D" w14:textId="5CE9894F" w:rsidR="00C71216" w:rsidRPr="00C71216" w:rsidRDefault="00C71216" w:rsidP="00C71216">
      <w:pPr>
        <w:spacing w:after="120"/>
        <w:jc w:val="center"/>
        <w:rPr>
          <w:rFonts w:asciiTheme="majorHAnsi" w:hAnsiTheme="majorHAnsi"/>
          <w:bCs/>
          <w:sz w:val="31"/>
          <w:szCs w:val="31"/>
        </w:rPr>
      </w:pPr>
      <w:r w:rsidRPr="00C71216">
        <w:rPr>
          <w:rFonts w:asciiTheme="majorHAnsi" w:hAnsiTheme="majorHAnsi"/>
          <w:bCs/>
          <w:sz w:val="31"/>
          <w:szCs w:val="31"/>
        </w:rPr>
        <w:t xml:space="preserve">Cresce il portafoglio di Polifarma nelle aree </w:t>
      </w:r>
      <w:r w:rsidR="00D60F6A" w:rsidRPr="00C71216">
        <w:rPr>
          <w:rFonts w:asciiTheme="majorHAnsi" w:hAnsiTheme="majorHAnsi"/>
          <w:bCs/>
          <w:sz w:val="31"/>
          <w:szCs w:val="31"/>
        </w:rPr>
        <w:t xml:space="preserve">Gastroenterologia </w:t>
      </w:r>
      <w:r w:rsidR="00D60F6A">
        <w:rPr>
          <w:rFonts w:asciiTheme="majorHAnsi" w:hAnsiTheme="majorHAnsi"/>
          <w:bCs/>
          <w:sz w:val="31"/>
          <w:szCs w:val="31"/>
        </w:rPr>
        <w:t xml:space="preserve"> e </w:t>
      </w:r>
      <w:r w:rsidRPr="00C71216">
        <w:rPr>
          <w:rFonts w:asciiTheme="majorHAnsi" w:hAnsiTheme="majorHAnsi"/>
          <w:bCs/>
          <w:sz w:val="31"/>
          <w:szCs w:val="31"/>
        </w:rPr>
        <w:t>Oftalmologia</w:t>
      </w:r>
    </w:p>
    <w:p w14:paraId="42D79996" w14:textId="2D96F5E9" w:rsidR="00C71216" w:rsidRPr="001A7333" w:rsidRDefault="00C71216" w:rsidP="00C71216">
      <w:pPr>
        <w:pStyle w:val="Paragrafoelenco"/>
        <w:numPr>
          <w:ilvl w:val="0"/>
          <w:numId w:val="3"/>
        </w:numPr>
        <w:spacing w:after="120"/>
        <w:ind w:left="567" w:right="140" w:hanging="283"/>
        <w:jc w:val="both"/>
        <w:rPr>
          <w:rFonts w:asciiTheme="majorHAnsi" w:hAnsiTheme="majorHAnsi"/>
          <w:i/>
        </w:rPr>
      </w:pPr>
      <w:r w:rsidRPr="001A7333">
        <w:rPr>
          <w:rFonts w:asciiTheme="majorHAnsi" w:hAnsiTheme="majorHAnsi"/>
          <w:i/>
        </w:rPr>
        <w:t>Polifarma rafforza la sua presenza nelle aree</w:t>
      </w:r>
      <w:r>
        <w:rPr>
          <w:rFonts w:asciiTheme="majorHAnsi" w:hAnsiTheme="majorHAnsi"/>
          <w:i/>
        </w:rPr>
        <w:t xml:space="preserve"> oftalmica e gastroenterologica</w:t>
      </w:r>
      <w:r w:rsidRPr="001A7333">
        <w:rPr>
          <w:rFonts w:asciiTheme="majorHAnsi" w:hAnsiTheme="majorHAnsi"/>
          <w:i/>
        </w:rPr>
        <w:t xml:space="preserve"> grazie all’acquisizione dei prodotti della linea Blefarette</w:t>
      </w:r>
      <w:r>
        <w:rPr>
          <w:rFonts w:asciiTheme="majorHAnsi" w:hAnsiTheme="majorHAnsi"/>
          <w:i/>
        </w:rPr>
        <w:t xml:space="preserve"> di Farmigea, </w:t>
      </w:r>
      <w:r w:rsidRPr="001A7333">
        <w:rPr>
          <w:rFonts w:asciiTheme="majorHAnsi" w:hAnsiTheme="majorHAnsi"/>
          <w:i/>
        </w:rPr>
        <w:t xml:space="preserve">e a un accordo con Mylan per la vendita e distribuzione di </w:t>
      </w:r>
      <w:r w:rsidR="00842E38">
        <w:rPr>
          <w:rFonts w:asciiTheme="majorHAnsi" w:hAnsiTheme="majorHAnsi"/>
          <w:i/>
        </w:rPr>
        <w:t>Legalon e Legalon E.</w:t>
      </w:r>
      <w:r w:rsidRPr="001A7333">
        <w:rPr>
          <w:rFonts w:asciiTheme="majorHAnsi" w:hAnsiTheme="majorHAnsi"/>
          <w:i/>
        </w:rPr>
        <w:t xml:space="preserve"> </w:t>
      </w:r>
    </w:p>
    <w:p w14:paraId="144DAD80" w14:textId="2161CA73" w:rsidR="008E2902" w:rsidRDefault="008E2902" w:rsidP="00C71216">
      <w:pPr>
        <w:pStyle w:val="Paragrafoelenco"/>
        <w:numPr>
          <w:ilvl w:val="0"/>
          <w:numId w:val="3"/>
        </w:numPr>
        <w:spacing w:after="120"/>
        <w:ind w:left="567" w:right="140" w:hanging="283"/>
        <w:jc w:val="both"/>
        <w:rPr>
          <w:rFonts w:asciiTheme="majorHAnsi" w:hAnsiTheme="majorHAnsi"/>
          <w:i/>
        </w:rPr>
      </w:pPr>
      <w:r w:rsidRPr="00842E38">
        <w:rPr>
          <w:rFonts w:asciiTheme="majorHAnsi" w:hAnsiTheme="majorHAnsi"/>
          <w:i/>
        </w:rPr>
        <w:t>Due accordi strategici che aumentano la presenza di Polifarma in farmacia, e consolidano la leadership dell’azienda nell’area oftalmica e gastroenterologica con un portafoglio prodotti ampio e diversificato per la cura delle principali patologie oculari e in ambito gastroenterologico</w:t>
      </w:r>
    </w:p>
    <w:p w14:paraId="01DD07FD" w14:textId="77777777" w:rsidR="00C71216" w:rsidRDefault="00C71216" w:rsidP="00C71216">
      <w:pPr>
        <w:spacing w:after="120"/>
        <w:rPr>
          <w:rFonts w:asciiTheme="majorHAnsi" w:hAnsiTheme="majorHAnsi"/>
        </w:rPr>
      </w:pPr>
    </w:p>
    <w:p w14:paraId="359E82FB" w14:textId="59D15BB5" w:rsidR="008636C7" w:rsidRDefault="00C71216" w:rsidP="00C71216">
      <w:pPr>
        <w:spacing w:after="120"/>
        <w:contextualSpacing/>
        <w:jc w:val="both"/>
        <w:rPr>
          <w:rFonts w:asciiTheme="majorHAnsi" w:hAnsiTheme="majorHAnsi"/>
        </w:rPr>
      </w:pPr>
      <w:r w:rsidRPr="00C71216">
        <w:rPr>
          <w:rFonts w:asciiTheme="majorHAnsi" w:hAnsiTheme="majorHAnsi"/>
          <w:b/>
        </w:rPr>
        <w:t xml:space="preserve">Roma, </w:t>
      </w:r>
      <w:r w:rsidR="00B01334">
        <w:rPr>
          <w:rFonts w:asciiTheme="majorHAnsi" w:hAnsiTheme="majorHAnsi"/>
          <w:b/>
        </w:rPr>
        <w:t>03 febbraio</w:t>
      </w:r>
      <w:r w:rsidRPr="00C71216">
        <w:rPr>
          <w:rFonts w:asciiTheme="majorHAnsi" w:hAnsiTheme="majorHAnsi"/>
          <w:b/>
        </w:rPr>
        <w:t xml:space="preserve"> 2020</w:t>
      </w:r>
      <w:r w:rsidRPr="001A7333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Polifarma, azienda farmaceutica italiana con oltre cento anni di storia e leader nelle aree oftalmologica, cardiovascolare e del sistema nervoso centrale, ha annunciato la recente </w:t>
      </w:r>
      <w:r w:rsidRPr="00471FA6">
        <w:rPr>
          <w:rFonts w:asciiTheme="majorHAnsi" w:hAnsiTheme="majorHAnsi"/>
          <w:b/>
        </w:rPr>
        <w:t xml:space="preserve">acquisizione della linea di prodotti per la detersione </w:t>
      </w:r>
      <w:r>
        <w:rPr>
          <w:rFonts w:asciiTheme="majorHAnsi" w:hAnsiTheme="majorHAnsi"/>
          <w:b/>
        </w:rPr>
        <w:t>oculare</w:t>
      </w:r>
      <w:r>
        <w:rPr>
          <w:rFonts w:asciiTheme="majorHAnsi" w:hAnsiTheme="majorHAnsi"/>
        </w:rPr>
        <w:t xml:space="preserve"> </w:t>
      </w:r>
      <w:r w:rsidRPr="00471FA6">
        <w:rPr>
          <w:rFonts w:asciiTheme="majorHAnsi" w:hAnsiTheme="majorHAnsi"/>
          <w:b/>
        </w:rPr>
        <w:t>Blefarette</w:t>
      </w:r>
      <w:r>
        <w:rPr>
          <w:rFonts w:asciiTheme="majorHAnsi" w:hAnsiTheme="majorHAnsi"/>
        </w:rPr>
        <w:t>, da Farmigea Spa</w:t>
      </w:r>
      <w:r w:rsidR="008636C7">
        <w:rPr>
          <w:rFonts w:asciiTheme="majorHAnsi" w:hAnsiTheme="majorHAnsi"/>
        </w:rPr>
        <w:t xml:space="preserve">. </w:t>
      </w:r>
    </w:p>
    <w:p w14:paraId="14E022DC" w14:textId="77777777" w:rsidR="008636C7" w:rsidRDefault="008636C7" w:rsidP="00C71216">
      <w:pPr>
        <w:spacing w:after="120"/>
        <w:contextualSpacing/>
        <w:jc w:val="both"/>
        <w:rPr>
          <w:rFonts w:asciiTheme="majorHAnsi" w:hAnsiTheme="majorHAnsi"/>
        </w:rPr>
      </w:pPr>
    </w:p>
    <w:p w14:paraId="3EBBB38C" w14:textId="5B973A21" w:rsidR="000A7ABD" w:rsidRPr="00822327" w:rsidRDefault="00D06659" w:rsidP="000A7ABD">
      <w:pPr>
        <w:jc w:val="both"/>
        <w:rPr>
          <w:rFonts w:ascii="Tahoma" w:hAnsi="Tahoma" w:cs="Tahoma"/>
        </w:rPr>
      </w:pPr>
      <w:r>
        <w:rPr>
          <w:rFonts w:asciiTheme="majorHAnsi" w:hAnsiTheme="majorHAnsi"/>
        </w:rPr>
        <w:t>P</w:t>
      </w:r>
      <w:r w:rsidR="00F86759">
        <w:rPr>
          <w:rFonts w:asciiTheme="majorHAnsi" w:hAnsiTheme="majorHAnsi"/>
        </w:rPr>
        <w:t>oli</w:t>
      </w:r>
      <w:r>
        <w:rPr>
          <w:rFonts w:asciiTheme="majorHAnsi" w:hAnsiTheme="majorHAnsi"/>
        </w:rPr>
        <w:t>farma ha i</w:t>
      </w:r>
      <w:r w:rsidR="008636C7">
        <w:rPr>
          <w:rFonts w:asciiTheme="majorHAnsi" w:hAnsiTheme="majorHAnsi"/>
        </w:rPr>
        <w:t xml:space="preserve">noltre annunciato </w:t>
      </w:r>
      <w:r w:rsidR="00C71216">
        <w:rPr>
          <w:rFonts w:asciiTheme="majorHAnsi" w:hAnsiTheme="majorHAnsi"/>
        </w:rPr>
        <w:t xml:space="preserve">di aver concluso un </w:t>
      </w:r>
      <w:r w:rsidR="00C71216" w:rsidRPr="00302C2C">
        <w:rPr>
          <w:rFonts w:asciiTheme="majorHAnsi" w:hAnsiTheme="majorHAnsi"/>
        </w:rPr>
        <w:t>accordo con Mylan,</w:t>
      </w:r>
      <w:r w:rsidR="00C71216">
        <w:rPr>
          <w:rFonts w:asciiTheme="majorHAnsi" w:hAnsiTheme="majorHAnsi"/>
        </w:rPr>
        <w:t xml:space="preserve"> </w:t>
      </w:r>
      <w:r w:rsidR="007675C9" w:rsidRPr="008E2902">
        <w:rPr>
          <w:rFonts w:asciiTheme="majorHAnsi" w:hAnsiTheme="majorHAnsi"/>
        </w:rPr>
        <w:t>azienda farmaceutica globale</w:t>
      </w:r>
      <w:r w:rsidR="0028520B">
        <w:rPr>
          <w:rFonts w:asciiTheme="majorHAnsi" w:hAnsiTheme="majorHAnsi"/>
        </w:rPr>
        <w:t>.</w:t>
      </w:r>
      <w:r w:rsidR="007675C9" w:rsidRPr="008E2902">
        <w:rPr>
          <w:rFonts w:asciiTheme="majorHAnsi" w:hAnsiTheme="majorHAnsi"/>
        </w:rPr>
        <w:t xml:space="preserve"> </w:t>
      </w:r>
      <w:r w:rsidR="008636C7" w:rsidRPr="008E2902">
        <w:rPr>
          <w:rFonts w:asciiTheme="majorHAnsi" w:hAnsiTheme="majorHAnsi"/>
        </w:rPr>
        <w:t>L’accordo prevede</w:t>
      </w:r>
      <w:r w:rsidR="00C71216" w:rsidRPr="005D4302">
        <w:rPr>
          <w:rFonts w:asciiTheme="majorHAnsi" w:hAnsiTheme="majorHAnsi"/>
        </w:rPr>
        <w:t xml:space="preserve">, la </w:t>
      </w:r>
      <w:r w:rsidR="00C71216" w:rsidRPr="00471FA6">
        <w:rPr>
          <w:rFonts w:asciiTheme="majorHAnsi" w:hAnsiTheme="majorHAnsi"/>
          <w:b/>
        </w:rPr>
        <w:t>concessione di vendita e distribuzione</w:t>
      </w:r>
      <w:r>
        <w:rPr>
          <w:rFonts w:asciiTheme="majorHAnsi" w:hAnsiTheme="majorHAnsi"/>
          <w:b/>
        </w:rPr>
        <w:t xml:space="preserve"> esclusiva</w:t>
      </w:r>
      <w:r w:rsidR="00C71216" w:rsidRPr="00471FA6">
        <w:rPr>
          <w:rFonts w:asciiTheme="majorHAnsi" w:hAnsiTheme="majorHAnsi"/>
          <w:b/>
        </w:rPr>
        <w:t>, da</w:t>
      </w:r>
      <w:r w:rsidR="00C71216">
        <w:rPr>
          <w:rFonts w:asciiTheme="majorHAnsi" w:hAnsiTheme="majorHAnsi"/>
          <w:b/>
        </w:rPr>
        <w:t xml:space="preserve"> </w:t>
      </w:r>
      <w:r w:rsidR="00C71216" w:rsidRPr="00471FA6">
        <w:rPr>
          <w:rFonts w:asciiTheme="majorHAnsi" w:hAnsiTheme="majorHAnsi"/>
          <w:b/>
        </w:rPr>
        <w:t>gennaio 2020, della combinazione farmaco + integratore</w:t>
      </w:r>
      <w:r w:rsidR="00C71216" w:rsidRPr="00BE736A">
        <w:rPr>
          <w:rFonts w:asciiTheme="majorHAnsi" w:hAnsiTheme="majorHAnsi"/>
        </w:rPr>
        <w:t>,</w:t>
      </w:r>
      <w:r w:rsidR="00C71216" w:rsidRPr="00471FA6">
        <w:rPr>
          <w:rFonts w:asciiTheme="majorHAnsi" w:hAnsiTheme="majorHAnsi"/>
          <w:b/>
        </w:rPr>
        <w:t xml:space="preserve"> Legalon e Legalon E</w:t>
      </w:r>
      <w:r w:rsidR="00C71216" w:rsidRPr="00471FA6">
        <w:rPr>
          <w:rFonts w:asciiTheme="majorHAnsi" w:hAnsiTheme="majorHAnsi"/>
        </w:rPr>
        <w:t>,</w:t>
      </w:r>
      <w:r w:rsidR="00835248">
        <w:rPr>
          <w:rFonts w:asciiTheme="majorHAnsi" w:hAnsiTheme="majorHAnsi"/>
        </w:rPr>
        <w:t xml:space="preserve"> </w:t>
      </w:r>
      <w:bookmarkStart w:id="0" w:name="_Hlk31039571"/>
      <w:r w:rsidR="00835248">
        <w:rPr>
          <w:rFonts w:asciiTheme="majorHAnsi" w:hAnsiTheme="majorHAnsi"/>
        </w:rPr>
        <w:t xml:space="preserve">impiegati in ambito </w:t>
      </w:r>
      <w:r w:rsidR="008E2902">
        <w:rPr>
          <w:rFonts w:asciiTheme="majorHAnsi" w:hAnsiTheme="majorHAnsi"/>
        </w:rPr>
        <w:t>gastroenterologico</w:t>
      </w:r>
      <w:r w:rsidR="000A7ABD">
        <w:rPr>
          <w:rFonts w:asciiTheme="majorHAnsi" w:hAnsiTheme="majorHAnsi"/>
        </w:rPr>
        <w:t xml:space="preserve">. </w:t>
      </w:r>
      <w:bookmarkEnd w:id="0"/>
    </w:p>
    <w:p w14:paraId="5D48B239" w14:textId="77777777" w:rsidR="00C71216" w:rsidRPr="00247AAC" w:rsidRDefault="00C71216" w:rsidP="00C71216">
      <w:pPr>
        <w:spacing w:after="120"/>
        <w:contextualSpacing/>
        <w:jc w:val="both"/>
        <w:rPr>
          <w:rFonts w:asciiTheme="majorHAnsi" w:hAnsiTheme="majorHAnsi"/>
          <w:sz w:val="16"/>
          <w:szCs w:val="16"/>
        </w:rPr>
      </w:pPr>
    </w:p>
    <w:p w14:paraId="48EA2ACB" w14:textId="661B2560" w:rsidR="00C71216" w:rsidRPr="00BE736A" w:rsidRDefault="00C71216" w:rsidP="00C71216">
      <w:pPr>
        <w:spacing w:after="12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Con l’acquisizione del marchio Blefarette, l’azienda romana di proprietà di Luisa Angelini, presente nel mercato oftalmico dal 2017, oggi area di punta che assorbe il 39% del fatturato totale, rafforza ulteriormente il proprio listino per rispondere alle diverse esigenze dei pazienti. La linea di prodotti Blefarette</w:t>
      </w:r>
      <w:r w:rsidRPr="00BE736A">
        <w:rPr>
          <w:rFonts w:asciiTheme="majorHAnsi" w:hAnsiTheme="majorHAnsi"/>
          <w:vertAlign w:val="superscript"/>
        </w:rPr>
        <w:t>1</w:t>
      </w:r>
      <w:r>
        <w:rPr>
          <w:rFonts w:asciiTheme="majorHAnsi" w:hAnsiTheme="majorHAnsi"/>
        </w:rPr>
        <w:t xml:space="preserve">, che negli anni ha </w:t>
      </w:r>
      <w:r w:rsidRPr="00302C2C">
        <w:rPr>
          <w:rFonts w:asciiTheme="majorHAnsi" w:hAnsiTheme="majorHAnsi"/>
        </w:rPr>
        <w:t xml:space="preserve">conquistato </w:t>
      </w:r>
      <w:r>
        <w:rPr>
          <w:rFonts w:asciiTheme="majorHAnsi" w:hAnsiTheme="majorHAnsi"/>
        </w:rPr>
        <w:t xml:space="preserve">costantemente quote di mercato grazie al forte apprezzamento degli Specialisti oculisti, comprende salviette e maschere monouso indicate per la detersione oculare quotidiana, sia negli adulti che nei bambini, e </w:t>
      </w:r>
      <w:r w:rsidRPr="00BE736A">
        <w:rPr>
          <w:rFonts w:asciiTheme="majorHAnsi" w:hAnsiTheme="majorHAnsi"/>
        </w:rPr>
        <w:t>nei casi di reazioni inf</w:t>
      </w:r>
      <w:r>
        <w:rPr>
          <w:rFonts w:asciiTheme="majorHAnsi" w:hAnsiTheme="majorHAnsi"/>
        </w:rPr>
        <w:t>iammatorie del bordo palpebrale (b</w:t>
      </w:r>
      <w:r w:rsidRPr="00BE736A">
        <w:rPr>
          <w:rFonts w:asciiTheme="majorHAnsi" w:hAnsiTheme="majorHAnsi"/>
        </w:rPr>
        <w:t>lefarite e congiuntivite</w:t>
      </w:r>
      <w:r>
        <w:rPr>
          <w:rFonts w:asciiTheme="majorHAnsi" w:hAnsiTheme="majorHAnsi"/>
        </w:rPr>
        <w:t xml:space="preserve">). </w:t>
      </w:r>
    </w:p>
    <w:p w14:paraId="5A7891C6" w14:textId="77777777" w:rsidR="00C71216" w:rsidRPr="00247AAC" w:rsidRDefault="00C71216" w:rsidP="00C71216">
      <w:pPr>
        <w:spacing w:after="120"/>
        <w:contextualSpacing/>
        <w:jc w:val="both"/>
        <w:rPr>
          <w:rFonts w:asciiTheme="majorHAnsi" w:hAnsiTheme="majorHAnsi"/>
          <w:sz w:val="16"/>
          <w:szCs w:val="16"/>
        </w:rPr>
      </w:pPr>
    </w:p>
    <w:p w14:paraId="67401DD2" w14:textId="77777777" w:rsidR="008E2902" w:rsidRDefault="00C71216" w:rsidP="00C71216">
      <w:pPr>
        <w:spacing w:after="120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A seguito del recente accordo con Mylan, Polifarma, d</w:t>
      </w:r>
      <w:r w:rsidRPr="00BE736A">
        <w:rPr>
          <w:rFonts w:asciiTheme="majorHAnsi" w:hAnsiTheme="majorHAnsi"/>
        </w:rPr>
        <w:t>opo un’es</w:t>
      </w:r>
      <w:r>
        <w:rPr>
          <w:rFonts w:asciiTheme="majorHAnsi" w:hAnsiTheme="majorHAnsi"/>
        </w:rPr>
        <w:t>perienza pluriennale nell’area gastroenterologica,</w:t>
      </w:r>
      <w:r w:rsidRPr="00BE736A">
        <w:rPr>
          <w:rFonts w:asciiTheme="majorHAnsi" w:hAnsiTheme="majorHAnsi"/>
        </w:rPr>
        <w:t xml:space="preserve"> </w:t>
      </w:r>
      <w:r w:rsidR="00014C6D">
        <w:rPr>
          <w:rFonts w:asciiTheme="majorHAnsi" w:hAnsiTheme="majorHAnsi"/>
        </w:rPr>
        <w:t>accresce il suo listino</w:t>
      </w:r>
      <w:r>
        <w:rPr>
          <w:rFonts w:asciiTheme="majorHAnsi" w:hAnsiTheme="majorHAnsi"/>
        </w:rPr>
        <w:t xml:space="preserve"> con un’offerta integrata, la nota </w:t>
      </w:r>
      <w:r w:rsidRPr="00BE736A">
        <w:rPr>
          <w:rFonts w:asciiTheme="majorHAnsi" w:hAnsiTheme="majorHAnsi"/>
        </w:rPr>
        <w:t xml:space="preserve">combinazione </w:t>
      </w:r>
      <w:r w:rsidRPr="008E2902">
        <w:rPr>
          <w:rFonts w:asciiTheme="majorHAnsi" w:hAnsiTheme="majorHAnsi"/>
          <w:b/>
        </w:rPr>
        <w:t>farmaco + integratore, Legalon e Legalon E</w:t>
      </w:r>
      <w:r>
        <w:rPr>
          <w:rFonts w:asciiTheme="majorHAnsi" w:hAnsiTheme="majorHAnsi"/>
        </w:rPr>
        <w:t xml:space="preserve">. </w:t>
      </w:r>
    </w:p>
    <w:p w14:paraId="1CB1DDA4" w14:textId="77777777" w:rsidR="008E2902" w:rsidRPr="008E2902" w:rsidRDefault="00C71216" w:rsidP="00C71216">
      <w:pPr>
        <w:spacing w:after="120"/>
        <w:contextualSpacing/>
        <w:jc w:val="both"/>
        <w:rPr>
          <w:rFonts w:asciiTheme="majorHAnsi" w:hAnsiTheme="majorHAnsi"/>
        </w:rPr>
      </w:pPr>
      <w:r w:rsidRPr="008E2902">
        <w:rPr>
          <w:rFonts w:asciiTheme="majorHAnsi" w:hAnsiTheme="majorHAnsi"/>
        </w:rPr>
        <w:t>Legalon</w:t>
      </w:r>
      <w:r w:rsidRPr="008E2902">
        <w:rPr>
          <w:rFonts w:asciiTheme="majorHAnsi" w:hAnsiTheme="majorHAnsi"/>
          <w:vertAlign w:val="superscript"/>
        </w:rPr>
        <w:t>2</w:t>
      </w:r>
      <w:r w:rsidRPr="008E2902">
        <w:rPr>
          <w:rFonts w:asciiTheme="majorHAnsi" w:hAnsiTheme="majorHAnsi"/>
        </w:rPr>
        <w:t xml:space="preserve"> è un prodotto farmaceutico </w:t>
      </w:r>
      <w:bookmarkStart w:id="1" w:name="_Hlk31039284"/>
      <w:r w:rsidRPr="008E2902">
        <w:rPr>
          <w:rFonts w:asciiTheme="majorHAnsi" w:hAnsiTheme="majorHAnsi"/>
        </w:rPr>
        <w:t xml:space="preserve">a base di </w:t>
      </w:r>
      <w:r w:rsidRPr="008B3324">
        <w:rPr>
          <w:rFonts w:asciiTheme="majorHAnsi" w:hAnsiTheme="majorHAnsi"/>
          <w:i/>
        </w:rPr>
        <w:t>Silimarina</w:t>
      </w:r>
      <w:bookmarkEnd w:id="1"/>
      <w:r w:rsidRPr="008E2902">
        <w:rPr>
          <w:rFonts w:asciiTheme="majorHAnsi" w:hAnsiTheme="majorHAnsi"/>
        </w:rPr>
        <w:t xml:space="preserve">, </w:t>
      </w:r>
      <w:r w:rsidR="008E2902" w:rsidRPr="008E2902">
        <w:rPr>
          <w:rFonts w:asciiTheme="majorHAnsi" w:hAnsiTheme="majorHAnsi"/>
        </w:rPr>
        <w:t>i</w:t>
      </w:r>
      <w:r w:rsidR="000A7ABD" w:rsidRPr="008E2902">
        <w:rPr>
          <w:rFonts w:asciiTheme="majorHAnsi" w:hAnsiTheme="majorHAnsi"/>
        </w:rPr>
        <w:t>ndicato nel trattamento delle intossicazioni da alcool etilico, psicofarmaci, antiblastici, paracetamolo.</w:t>
      </w:r>
      <w:r w:rsidRPr="008E2902">
        <w:rPr>
          <w:rFonts w:asciiTheme="majorHAnsi" w:hAnsiTheme="majorHAnsi"/>
        </w:rPr>
        <w:t xml:space="preserve"> </w:t>
      </w:r>
    </w:p>
    <w:p w14:paraId="5E7D4593" w14:textId="401E1DB9" w:rsidR="00C71216" w:rsidRDefault="008E2902" w:rsidP="00C71216">
      <w:pPr>
        <w:spacing w:after="120"/>
        <w:contextualSpacing/>
        <w:jc w:val="both"/>
        <w:rPr>
          <w:rFonts w:asciiTheme="majorHAnsi" w:hAnsiTheme="majorHAnsi"/>
        </w:rPr>
      </w:pPr>
      <w:r w:rsidRPr="008E2902">
        <w:rPr>
          <w:rFonts w:asciiTheme="majorHAnsi" w:hAnsiTheme="majorHAnsi"/>
        </w:rPr>
        <w:t>Legalon E</w:t>
      </w:r>
      <w:r w:rsidRPr="008E2902">
        <w:rPr>
          <w:rFonts w:asciiTheme="majorHAnsi" w:hAnsiTheme="majorHAnsi"/>
          <w:vertAlign w:val="superscript"/>
        </w:rPr>
        <w:t>3</w:t>
      </w:r>
      <w:r w:rsidR="00C71216">
        <w:rPr>
          <w:rFonts w:asciiTheme="majorHAnsi" w:hAnsiTheme="majorHAnsi"/>
        </w:rPr>
        <w:t xml:space="preserve">, </w:t>
      </w:r>
      <w:r w:rsidR="00C71216" w:rsidRPr="00BE736A">
        <w:rPr>
          <w:rFonts w:asciiTheme="majorHAnsi" w:hAnsiTheme="majorHAnsi"/>
        </w:rPr>
        <w:t>è un integratore</w:t>
      </w:r>
      <w:r w:rsidR="00290CC2">
        <w:rPr>
          <w:rFonts w:asciiTheme="majorHAnsi" w:hAnsiTheme="majorHAnsi"/>
        </w:rPr>
        <w:t xml:space="preserve"> alimentare</w:t>
      </w:r>
      <w:r w:rsidR="00C71216" w:rsidRPr="00BE736A">
        <w:rPr>
          <w:rFonts w:asciiTheme="majorHAnsi" w:hAnsiTheme="majorHAnsi"/>
        </w:rPr>
        <w:t xml:space="preserve"> </w:t>
      </w:r>
      <w:r w:rsidR="00C71216">
        <w:rPr>
          <w:rFonts w:asciiTheme="majorHAnsi" w:hAnsiTheme="majorHAnsi"/>
        </w:rPr>
        <w:t>a base di</w:t>
      </w:r>
      <w:r w:rsidR="00C71216" w:rsidRPr="00BE736A">
        <w:rPr>
          <w:rFonts w:asciiTheme="majorHAnsi" w:hAnsiTheme="majorHAnsi"/>
        </w:rPr>
        <w:t xml:space="preserve"> </w:t>
      </w:r>
      <w:r w:rsidR="00C71216" w:rsidRPr="008B3324">
        <w:rPr>
          <w:rFonts w:asciiTheme="majorHAnsi" w:hAnsiTheme="majorHAnsi"/>
          <w:i/>
        </w:rPr>
        <w:t>Silimarina</w:t>
      </w:r>
      <w:r w:rsidR="0089005B">
        <w:rPr>
          <w:rFonts w:asciiTheme="majorHAnsi" w:hAnsiTheme="majorHAnsi"/>
        </w:rPr>
        <w:t>,</w:t>
      </w:r>
      <w:r w:rsidR="00C71216">
        <w:rPr>
          <w:rFonts w:asciiTheme="majorHAnsi" w:hAnsiTheme="majorHAnsi"/>
        </w:rPr>
        <w:t xml:space="preserve"> </w:t>
      </w:r>
      <w:r w:rsidR="006D192D">
        <w:rPr>
          <w:rFonts w:asciiTheme="majorHAnsi" w:hAnsiTheme="majorHAnsi"/>
        </w:rPr>
        <w:t xml:space="preserve">un complesso di </w:t>
      </w:r>
      <w:proofErr w:type="spellStart"/>
      <w:r w:rsidR="006D192D">
        <w:rPr>
          <w:rFonts w:asciiTheme="majorHAnsi" w:hAnsiTheme="majorHAnsi"/>
        </w:rPr>
        <w:t>bioflavonoidi</w:t>
      </w:r>
      <w:proofErr w:type="spellEnd"/>
      <w:r w:rsidR="006D192D">
        <w:rPr>
          <w:rFonts w:asciiTheme="majorHAnsi" w:hAnsiTheme="majorHAnsi"/>
        </w:rPr>
        <w:t xml:space="preserve"> la cui azione antiossidante favorisce le funzioni epatiche e l’eliminazione delle scorie </w:t>
      </w:r>
      <w:r w:rsidR="0089005B">
        <w:rPr>
          <w:rFonts w:asciiTheme="majorHAnsi" w:hAnsiTheme="majorHAnsi"/>
        </w:rPr>
        <w:t>metaboliche normalmente prodotte dall’organismo,</w:t>
      </w:r>
      <w:r w:rsidR="006D192D">
        <w:rPr>
          <w:rFonts w:asciiTheme="majorHAnsi" w:hAnsiTheme="majorHAnsi"/>
        </w:rPr>
        <w:t xml:space="preserve"> </w:t>
      </w:r>
      <w:r w:rsidR="00C71216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dalla</w:t>
      </w:r>
      <w:r w:rsidR="00C71216">
        <w:rPr>
          <w:rFonts w:asciiTheme="majorHAnsi" w:hAnsiTheme="majorHAnsi"/>
        </w:rPr>
        <w:t xml:space="preserve"> </w:t>
      </w:r>
      <w:r w:rsidR="00C71216" w:rsidRPr="008B3324">
        <w:rPr>
          <w:rFonts w:asciiTheme="majorHAnsi" w:hAnsiTheme="majorHAnsi"/>
          <w:i/>
        </w:rPr>
        <w:t>Vitamina E</w:t>
      </w:r>
      <w:r w:rsidR="0089005B">
        <w:rPr>
          <w:rFonts w:asciiTheme="majorHAnsi" w:hAnsiTheme="majorHAnsi"/>
        </w:rPr>
        <w:t xml:space="preserve"> che contribuisce alla protezione delle cellule dallo stress ossidativo. </w:t>
      </w:r>
    </w:p>
    <w:p w14:paraId="06E300C8" w14:textId="77777777" w:rsidR="00C71216" w:rsidRPr="00247AAC" w:rsidRDefault="00C71216" w:rsidP="00C71216">
      <w:pPr>
        <w:spacing w:after="120"/>
        <w:contextualSpacing/>
        <w:jc w:val="both"/>
        <w:rPr>
          <w:rFonts w:asciiTheme="majorHAnsi" w:hAnsiTheme="majorHAnsi"/>
          <w:sz w:val="16"/>
          <w:szCs w:val="16"/>
        </w:rPr>
      </w:pPr>
    </w:p>
    <w:p w14:paraId="4DA1AD1B" w14:textId="77777777" w:rsidR="00C71216" w:rsidRDefault="00C71216" w:rsidP="00C71216">
      <w:pPr>
        <w:spacing w:after="120"/>
        <w:jc w:val="both"/>
        <w:rPr>
          <w:rFonts w:asciiTheme="majorHAnsi" w:hAnsiTheme="majorHAnsi"/>
          <w:i/>
        </w:rPr>
      </w:pPr>
      <w:r w:rsidRPr="00247AAC">
        <w:rPr>
          <w:rFonts w:asciiTheme="majorHAnsi" w:hAnsiTheme="majorHAnsi"/>
          <w:i/>
        </w:rPr>
        <w:t xml:space="preserve">“Questi accordi </w:t>
      </w:r>
      <w:r>
        <w:rPr>
          <w:rFonts w:asciiTheme="majorHAnsi" w:hAnsiTheme="majorHAnsi"/>
          <w:i/>
        </w:rPr>
        <w:t xml:space="preserve">arrivano a conferma del </w:t>
      </w:r>
      <w:r w:rsidRPr="00247AAC">
        <w:rPr>
          <w:rFonts w:asciiTheme="majorHAnsi" w:hAnsiTheme="majorHAnsi"/>
          <w:i/>
        </w:rPr>
        <w:t>trend positivo di crescita di Polifarma nel trienni</w:t>
      </w:r>
      <w:r>
        <w:rPr>
          <w:rFonts w:asciiTheme="majorHAnsi" w:hAnsiTheme="majorHAnsi"/>
          <w:i/>
        </w:rPr>
        <w:t>o 2016-2019, e</w:t>
      </w:r>
      <w:r w:rsidRPr="00247AAC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testimoniano </w:t>
      </w:r>
      <w:r w:rsidRPr="00247AAC">
        <w:rPr>
          <w:rFonts w:asciiTheme="majorHAnsi" w:hAnsiTheme="majorHAnsi"/>
          <w:i/>
        </w:rPr>
        <w:t>l’intenzione della Proprietà di consolidare gli asset</w:t>
      </w:r>
      <w:r>
        <w:rPr>
          <w:rFonts w:asciiTheme="majorHAnsi" w:hAnsiTheme="majorHAnsi"/>
          <w:i/>
        </w:rPr>
        <w:t xml:space="preserve"> di punta,</w:t>
      </w:r>
      <w:r w:rsidRPr="00247AAC">
        <w:rPr>
          <w:rFonts w:asciiTheme="majorHAnsi" w:hAnsiTheme="majorHAnsi"/>
          <w:i/>
        </w:rPr>
        <w:t xml:space="preserve"> rafforzando e garantendo all'</w:t>
      </w:r>
      <w:r>
        <w:rPr>
          <w:rFonts w:asciiTheme="majorHAnsi" w:hAnsiTheme="majorHAnsi"/>
          <w:i/>
        </w:rPr>
        <w:t>a</w:t>
      </w:r>
      <w:r w:rsidRPr="00247AAC">
        <w:rPr>
          <w:rFonts w:asciiTheme="majorHAnsi" w:hAnsiTheme="majorHAnsi"/>
          <w:i/>
        </w:rPr>
        <w:t>zienda</w:t>
      </w:r>
      <w:r>
        <w:rPr>
          <w:rFonts w:asciiTheme="majorHAnsi" w:hAnsiTheme="majorHAnsi"/>
          <w:i/>
        </w:rPr>
        <w:t xml:space="preserve"> un futuro sempre più solido ed innovativo– </w:t>
      </w:r>
      <w:r w:rsidRPr="006D50BC">
        <w:rPr>
          <w:rFonts w:asciiTheme="majorHAnsi" w:hAnsiTheme="majorHAnsi"/>
        </w:rPr>
        <w:t xml:space="preserve">commenta </w:t>
      </w:r>
      <w:r w:rsidRPr="006D50BC">
        <w:rPr>
          <w:rFonts w:asciiTheme="majorHAnsi" w:hAnsiTheme="majorHAnsi"/>
          <w:b/>
        </w:rPr>
        <w:t>Andrea Bracci, Amministratore Delegato di Polifarma</w:t>
      </w:r>
      <w:r>
        <w:rPr>
          <w:rFonts w:asciiTheme="majorHAnsi" w:hAnsiTheme="majorHAnsi"/>
        </w:rPr>
        <w:t xml:space="preserve"> </w:t>
      </w:r>
      <w:r w:rsidRPr="006D50BC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.  </w:t>
      </w:r>
      <w:r w:rsidRPr="006D50BC">
        <w:rPr>
          <w:rFonts w:asciiTheme="majorHAnsi" w:hAnsiTheme="majorHAnsi"/>
          <w:i/>
        </w:rPr>
        <w:t>L’</w:t>
      </w:r>
      <w:r>
        <w:rPr>
          <w:rFonts w:asciiTheme="majorHAnsi" w:hAnsiTheme="majorHAnsi"/>
          <w:i/>
        </w:rPr>
        <w:t>acquisizione in area oftalmologica</w:t>
      </w:r>
      <w:r w:rsidRPr="006D50BC">
        <w:rPr>
          <w:rFonts w:asciiTheme="majorHAnsi" w:hAnsiTheme="majorHAnsi"/>
          <w:i/>
        </w:rPr>
        <w:t xml:space="preserve"> permetterà alla nostra </w:t>
      </w:r>
      <w:r>
        <w:rPr>
          <w:rFonts w:asciiTheme="majorHAnsi" w:hAnsiTheme="majorHAnsi"/>
          <w:i/>
        </w:rPr>
        <w:t>a</w:t>
      </w:r>
      <w:r w:rsidRPr="006D50BC">
        <w:rPr>
          <w:rFonts w:asciiTheme="majorHAnsi" w:hAnsiTheme="majorHAnsi"/>
          <w:i/>
        </w:rPr>
        <w:t>zienda di valorizzare l’intera gamma di prodotti</w:t>
      </w:r>
      <w:r w:rsidRPr="00247AAC">
        <w:rPr>
          <w:rFonts w:asciiTheme="majorHAnsi" w:hAnsiTheme="majorHAnsi"/>
          <w:i/>
        </w:rPr>
        <w:t xml:space="preserve"> e di consolidarne l’utilizzo da parte </w:t>
      </w:r>
      <w:r>
        <w:rPr>
          <w:rFonts w:asciiTheme="majorHAnsi" w:hAnsiTheme="majorHAnsi"/>
          <w:i/>
        </w:rPr>
        <w:t>degli oculisti italiani</w:t>
      </w:r>
      <w:r w:rsidRPr="00247AAC">
        <w:rPr>
          <w:rFonts w:asciiTheme="majorHAnsi" w:hAnsiTheme="majorHAnsi"/>
          <w:i/>
        </w:rPr>
        <w:t>, oltre ad aumentare le potenzialità di inserimento nel mercato estero grazie a u</w:t>
      </w:r>
      <w:r>
        <w:rPr>
          <w:rFonts w:asciiTheme="majorHAnsi" w:hAnsiTheme="majorHAnsi"/>
          <w:i/>
        </w:rPr>
        <w:t>n’offerta più ampia e completa”.</w:t>
      </w:r>
    </w:p>
    <w:p w14:paraId="4E7AC457" w14:textId="77777777" w:rsidR="00C71216" w:rsidRPr="006D50BC" w:rsidRDefault="00C71216" w:rsidP="00C71216">
      <w:pPr>
        <w:spacing w:after="120"/>
        <w:jc w:val="both"/>
        <w:rPr>
          <w:rFonts w:asciiTheme="majorHAnsi" w:hAnsiTheme="majorHAnsi"/>
          <w:i/>
          <w:sz w:val="10"/>
          <w:szCs w:val="10"/>
        </w:rPr>
      </w:pPr>
    </w:p>
    <w:p w14:paraId="56CB2E26" w14:textId="77777777" w:rsidR="00C71216" w:rsidRDefault="00C71216" w:rsidP="00C71216">
      <w:pPr>
        <w:spacing w:after="120"/>
        <w:jc w:val="center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###</w:t>
      </w:r>
    </w:p>
    <w:p w14:paraId="44BEAE44" w14:textId="77777777" w:rsidR="00C71216" w:rsidRDefault="00C71216" w:rsidP="00D84EC2">
      <w:pPr>
        <w:spacing w:after="120"/>
        <w:contextualSpacing/>
        <w:rPr>
          <w:rFonts w:asciiTheme="majorHAnsi" w:hAnsiTheme="majorHAnsi"/>
          <w:i/>
        </w:rPr>
      </w:pPr>
    </w:p>
    <w:p w14:paraId="54286508" w14:textId="77777777" w:rsidR="00D84EC2" w:rsidRPr="006D50BC" w:rsidRDefault="00D84EC2" w:rsidP="00D84EC2">
      <w:pPr>
        <w:spacing w:after="120"/>
        <w:contextualSpacing/>
        <w:rPr>
          <w:rFonts w:asciiTheme="majorHAnsi" w:hAnsiTheme="majorHAnsi"/>
          <w:i/>
          <w:sz w:val="10"/>
          <w:szCs w:val="10"/>
        </w:rPr>
      </w:pPr>
    </w:p>
    <w:p w14:paraId="62303992" w14:textId="304A8DB4" w:rsidR="00C71216" w:rsidRDefault="00C71216" w:rsidP="00D84EC2">
      <w:p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  <w:vertAlign w:val="superscript"/>
        </w:rPr>
        <w:t>1</w:t>
      </w:r>
      <w:r w:rsidRPr="006D50BC">
        <w:rPr>
          <w:rFonts w:asciiTheme="majorHAnsi" w:hAnsiTheme="majorHAnsi"/>
        </w:rPr>
        <w:t xml:space="preserve"> La linea Blefarette comprende le seguenti confezioni: </w:t>
      </w:r>
    </w:p>
    <w:p w14:paraId="6F1D9231" w14:textId="77777777" w:rsidR="00C71216" w:rsidRPr="006D50BC" w:rsidRDefault="00C71216" w:rsidP="00D84EC2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Blefarette 30 salviette monouso</w:t>
      </w:r>
    </w:p>
    <w:p w14:paraId="5C7E612D" w14:textId="77777777" w:rsidR="00C71216" w:rsidRDefault="00C71216" w:rsidP="00D84EC2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Blefarette Med</w:t>
      </w:r>
      <w:r>
        <w:rPr>
          <w:rFonts w:asciiTheme="majorHAnsi" w:hAnsiTheme="majorHAnsi"/>
        </w:rPr>
        <w:t xml:space="preserve"> 14 salviette monouso sterili</w:t>
      </w:r>
    </w:p>
    <w:p w14:paraId="2A22AFDD" w14:textId="77777777" w:rsidR="00C71216" w:rsidRDefault="00C71216" w:rsidP="00D84EC2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Blefarette Baby 30 salviette monous</w:t>
      </w:r>
      <w:r>
        <w:rPr>
          <w:rFonts w:asciiTheme="majorHAnsi" w:hAnsiTheme="majorHAnsi"/>
        </w:rPr>
        <w:t>o</w:t>
      </w:r>
    </w:p>
    <w:p w14:paraId="78B43028" w14:textId="7213AEDB" w:rsidR="00A73FA2" w:rsidRDefault="00C71216" w:rsidP="00D84EC2">
      <w:pPr>
        <w:pStyle w:val="Paragrafoelenco"/>
        <w:numPr>
          <w:ilvl w:val="0"/>
          <w:numId w:val="4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Blefarette Mask 6 maschere monouso.</w:t>
      </w:r>
    </w:p>
    <w:p w14:paraId="78280715" w14:textId="77777777" w:rsidR="00D84EC2" w:rsidRPr="00D84EC2" w:rsidRDefault="00D84EC2" w:rsidP="00D84EC2">
      <w:pPr>
        <w:pStyle w:val="Paragrafoelenco"/>
        <w:spacing w:after="0"/>
        <w:ind w:left="720"/>
        <w:contextualSpacing/>
        <w:jc w:val="both"/>
        <w:rPr>
          <w:rFonts w:asciiTheme="majorHAnsi" w:hAnsiTheme="majorHAnsi"/>
          <w:sz w:val="10"/>
          <w:szCs w:val="10"/>
        </w:rPr>
      </w:pPr>
    </w:p>
    <w:p w14:paraId="0CAD3733" w14:textId="372AF899" w:rsidR="00C71216" w:rsidRDefault="00C71216" w:rsidP="00D84EC2">
      <w:p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  <w:vertAlign w:val="superscript"/>
        </w:rPr>
        <w:t>2</w:t>
      </w:r>
      <w:r w:rsidRPr="006D50BC">
        <w:rPr>
          <w:rFonts w:asciiTheme="majorHAnsi" w:hAnsiTheme="majorHAnsi"/>
        </w:rPr>
        <w:t xml:space="preserve"> I prodotti medicinali Legalon comprendono le seguenti formulazioni:</w:t>
      </w:r>
    </w:p>
    <w:p w14:paraId="6ABB13CD" w14:textId="77777777" w:rsidR="00E0499D" w:rsidRPr="00E0499D" w:rsidRDefault="00E0499D" w:rsidP="00D84EC2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Legalon 70 mg compresse rivestite - 40 compresse</w:t>
      </w:r>
    </w:p>
    <w:p w14:paraId="6C2B5FBD" w14:textId="77777777" w:rsidR="00C71216" w:rsidRDefault="00C71216" w:rsidP="00D84EC2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Legalon 140 mg compresse rivestite - 30 compresse</w:t>
      </w:r>
    </w:p>
    <w:p w14:paraId="5704C90C" w14:textId="77777777" w:rsidR="00C71216" w:rsidRDefault="00C71216" w:rsidP="00D84EC2">
      <w:pPr>
        <w:pStyle w:val="Paragrafoelenco"/>
        <w:numPr>
          <w:ilvl w:val="0"/>
          <w:numId w:val="5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Legalon 200 mg granulato effervescente - 30 bustine</w:t>
      </w:r>
    </w:p>
    <w:p w14:paraId="32A4B6D4" w14:textId="77777777" w:rsidR="00D84EC2" w:rsidRPr="00D84EC2" w:rsidRDefault="00D84EC2" w:rsidP="00D84EC2">
      <w:pPr>
        <w:pStyle w:val="Paragrafoelenco"/>
        <w:spacing w:after="0"/>
        <w:ind w:left="720"/>
        <w:contextualSpacing/>
        <w:jc w:val="both"/>
        <w:rPr>
          <w:rFonts w:asciiTheme="majorHAnsi" w:hAnsiTheme="majorHAnsi"/>
          <w:sz w:val="10"/>
          <w:szCs w:val="10"/>
        </w:rPr>
      </w:pPr>
    </w:p>
    <w:p w14:paraId="1208B6D8" w14:textId="68DF0EA5" w:rsidR="00C71216" w:rsidRPr="006D50BC" w:rsidRDefault="00C71216" w:rsidP="00D84EC2">
      <w:pPr>
        <w:spacing w:after="0"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  <w:vertAlign w:val="superscript"/>
        </w:rPr>
        <w:t>3</w:t>
      </w:r>
      <w:r w:rsidRPr="006D50BC">
        <w:rPr>
          <w:rFonts w:asciiTheme="majorHAnsi" w:hAnsiTheme="majorHAnsi"/>
        </w:rPr>
        <w:t xml:space="preserve"> L’integratore Legalon E viene distribuito nella formulazione:</w:t>
      </w:r>
    </w:p>
    <w:p w14:paraId="735B4140" w14:textId="77777777" w:rsidR="00C71216" w:rsidRPr="006D50BC" w:rsidRDefault="00C71216" w:rsidP="00D84EC2">
      <w:pPr>
        <w:pStyle w:val="Paragrafoelenco"/>
        <w:numPr>
          <w:ilvl w:val="0"/>
          <w:numId w:val="6"/>
        </w:numPr>
        <w:spacing w:after="0"/>
        <w:contextualSpacing/>
        <w:jc w:val="both"/>
        <w:rPr>
          <w:rFonts w:asciiTheme="majorHAnsi" w:hAnsiTheme="majorHAnsi"/>
        </w:rPr>
      </w:pPr>
      <w:r w:rsidRPr="006D50BC">
        <w:rPr>
          <w:rFonts w:asciiTheme="majorHAnsi" w:hAnsiTheme="majorHAnsi"/>
        </w:rPr>
        <w:t>Legalon E 30 compresse rivestite.</w:t>
      </w:r>
    </w:p>
    <w:p w14:paraId="0EE32AB7" w14:textId="77777777" w:rsidR="00C71216" w:rsidRDefault="00C71216" w:rsidP="00C71216">
      <w:pPr>
        <w:spacing w:after="120"/>
        <w:contextualSpacing/>
        <w:jc w:val="both"/>
        <w:rPr>
          <w:rFonts w:asciiTheme="majorHAnsi" w:hAnsiTheme="majorHAnsi"/>
        </w:rPr>
      </w:pPr>
    </w:p>
    <w:p w14:paraId="3BEA68B3" w14:textId="77777777" w:rsidR="00C71216" w:rsidRDefault="00C71216" w:rsidP="00C71216">
      <w:pPr>
        <w:spacing w:after="120"/>
        <w:contextualSpacing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###</w:t>
      </w:r>
    </w:p>
    <w:p w14:paraId="2ABF7A0A" w14:textId="77777777" w:rsidR="00C71216" w:rsidRDefault="00C71216" w:rsidP="00C71216">
      <w:pPr>
        <w:spacing w:after="120"/>
        <w:contextualSpacing/>
        <w:jc w:val="center"/>
        <w:rPr>
          <w:rFonts w:asciiTheme="majorHAnsi" w:hAnsiTheme="majorHAnsi"/>
        </w:rPr>
      </w:pPr>
    </w:p>
    <w:p w14:paraId="0EB99166" w14:textId="77777777" w:rsidR="00C71216" w:rsidRDefault="00C71216" w:rsidP="00C71216">
      <w:pPr>
        <w:spacing w:after="0" w:line="240" w:lineRule="auto"/>
        <w:contextualSpacing/>
        <w:rPr>
          <w:rFonts w:ascii="Calibri Light" w:hAnsi="Calibri Light" w:cs="Times New Roman"/>
          <w:b/>
          <w:sz w:val="21"/>
          <w:szCs w:val="21"/>
        </w:rPr>
      </w:pPr>
      <w:r w:rsidRPr="008A0242">
        <w:rPr>
          <w:rFonts w:ascii="Calibri Light" w:hAnsi="Calibri Light" w:cs="Times New Roman"/>
          <w:b/>
          <w:sz w:val="21"/>
          <w:szCs w:val="21"/>
          <w:u w:val="single"/>
        </w:rPr>
        <w:t>Per ulteriori informazioni</w:t>
      </w:r>
      <w:r w:rsidRPr="008A0242">
        <w:rPr>
          <w:rFonts w:ascii="Calibri Light" w:hAnsi="Calibri Light" w:cs="Times New Roman"/>
          <w:b/>
          <w:sz w:val="21"/>
          <w:szCs w:val="21"/>
        </w:rPr>
        <w:t xml:space="preserve">: </w:t>
      </w:r>
    </w:p>
    <w:p w14:paraId="000BBFA3" w14:textId="77777777" w:rsidR="00C71216" w:rsidRPr="006D50BC" w:rsidRDefault="00C71216" w:rsidP="00C71216">
      <w:pPr>
        <w:spacing w:after="0" w:line="240" w:lineRule="auto"/>
        <w:contextualSpacing/>
        <w:rPr>
          <w:rFonts w:ascii="Calibri Light" w:hAnsi="Calibri Light" w:cs="Times New Roman"/>
          <w:b/>
          <w:sz w:val="10"/>
          <w:szCs w:val="10"/>
        </w:rPr>
      </w:pPr>
    </w:p>
    <w:p w14:paraId="5DC391ED" w14:textId="77777777" w:rsidR="00C71216" w:rsidRDefault="00C71216" w:rsidP="00C71216">
      <w:pPr>
        <w:spacing w:after="0" w:line="240" w:lineRule="auto"/>
        <w:contextualSpacing/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 xml:space="preserve">Polifarma S.p.A. </w:t>
      </w:r>
    </w:p>
    <w:p w14:paraId="32C21667" w14:textId="77777777" w:rsidR="00C71216" w:rsidRPr="008A0242" w:rsidRDefault="00C71216" w:rsidP="00C71216">
      <w:pPr>
        <w:spacing w:after="0" w:line="240" w:lineRule="auto"/>
        <w:contextualSpacing/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 xml:space="preserve">Camilla Cutuli </w:t>
      </w:r>
    </w:p>
    <w:p w14:paraId="5AE244B5" w14:textId="77777777" w:rsidR="00C71216" w:rsidRPr="008A0242" w:rsidRDefault="00C71216" w:rsidP="00C71216">
      <w:pPr>
        <w:spacing w:after="0" w:line="240" w:lineRule="auto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Digital &amp; Communication Manager </w:t>
      </w:r>
    </w:p>
    <w:p w14:paraId="3572C50C" w14:textId="77777777" w:rsidR="00C71216" w:rsidRPr="008A0242" w:rsidRDefault="00C71216" w:rsidP="00C71216">
      <w:pPr>
        <w:spacing w:after="0" w:line="240" w:lineRule="auto"/>
        <w:contextualSpacing/>
        <w:rPr>
          <w:rFonts w:ascii="Calibri Light" w:hAnsi="Calibri Light"/>
          <w:sz w:val="21"/>
          <w:szCs w:val="21"/>
        </w:rPr>
      </w:pPr>
      <w:r w:rsidRPr="008A0242">
        <w:rPr>
          <w:rFonts w:ascii="Calibri Light" w:hAnsi="Calibri Light"/>
          <w:sz w:val="21"/>
          <w:szCs w:val="21"/>
        </w:rPr>
        <w:t>06 22742263</w:t>
      </w:r>
      <w:r>
        <w:rPr>
          <w:rFonts w:ascii="Calibri Light" w:hAnsi="Calibri Light"/>
          <w:sz w:val="21"/>
          <w:szCs w:val="21"/>
        </w:rPr>
        <w:t xml:space="preserve"> │346. 6437948</w:t>
      </w:r>
      <w:r w:rsidRPr="008A0242">
        <w:rPr>
          <w:rFonts w:ascii="Calibri Light" w:hAnsi="Calibri Light"/>
          <w:sz w:val="21"/>
          <w:szCs w:val="21"/>
        </w:rPr>
        <w:t xml:space="preserve"> | </w:t>
      </w:r>
      <w:hyperlink r:id="rId8" w:history="1">
        <w:r w:rsidRPr="008A0242">
          <w:rPr>
            <w:rStyle w:val="Collegamentoipertestuale"/>
            <w:rFonts w:ascii="Calibri Light" w:hAnsi="Calibri Light"/>
            <w:sz w:val="21"/>
            <w:szCs w:val="21"/>
          </w:rPr>
          <w:t>cutuli@polifarma.it</w:t>
        </w:r>
      </w:hyperlink>
      <w:r w:rsidRPr="008A0242">
        <w:rPr>
          <w:rFonts w:ascii="Calibri Light" w:hAnsi="Calibri Light"/>
          <w:sz w:val="21"/>
          <w:szCs w:val="21"/>
        </w:rPr>
        <w:t xml:space="preserve"> </w:t>
      </w:r>
    </w:p>
    <w:p w14:paraId="0EFE296A" w14:textId="77777777" w:rsidR="00C71216" w:rsidRPr="008A0242" w:rsidRDefault="00974DB8" w:rsidP="00C71216">
      <w:pPr>
        <w:spacing w:after="0" w:line="240" w:lineRule="auto"/>
        <w:contextualSpacing/>
        <w:rPr>
          <w:rFonts w:ascii="Calibri Light" w:hAnsi="Calibri Light"/>
          <w:sz w:val="21"/>
          <w:szCs w:val="21"/>
        </w:rPr>
      </w:pPr>
      <w:hyperlink r:id="rId9" w:history="1">
        <w:r w:rsidR="00C71216" w:rsidRPr="008A0242">
          <w:rPr>
            <w:rStyle w:val="Collegamentoipertestuale"/>
            <w:rFonts w:ascii="Calibri Light" w:hAnsi="Calibri Light"/>
            <w:sz w:val="21"/>
            <w:szCs w:val="21"/>
          </w:rPr>
          <w:t>www.polifarma.it</w:t>
        </w:r>
      </w:hyperlink>
      <w:r w:rsidR="00C71216" w:rsidRPr="008A0242">
        <w:rPr>
          <w:rFonts w:ascii="Calibri Light" w:hAnsi="Calibri Light"/>
          <w:sz w:val="21"/>
          <w:szCs w:val="21"/>
        </w:rPr>
        <w:t xml:space="preserve"> </w:t>
      </w:r>
    </w:p>
    <w:p w14:paraId="478788FF" w14:textId="77777777" w:rsidR="00C71216" w:rsidRDefault="00C71216" w:rsidP="00C71216">
      <w:pPr>
        <w:spacing w:after="0" w:line="240" w:lineRule="auto"/>
        <w:contextualSpacing/>
        <w:rPr>
          <w:rFonts w:ascii="Calibri Light" w:hAnsi="Calibri Light"/>
          <w:b/>
        </w:rPr>
      </w:pPr>
      <w:bookmarkStart w:id="2" w:name="_GoBack"/>
      <w:bookmarkEnd w:id="2"/>
    </w:p>
    <w:p w14:paraId="359F6F09" w14:textId="77777777" w:rsidR="00C71216" w:rsidRPr="008A0242" w:rsidRDefault="00C71216" w:rsidP="00C71216">
      <w:pPr>
        <w:spacing w:after="0" w:line="240" w:lineRule="auto"/>
        <w:contextualSpacing/>
        <w:rPr>
          <w:rFonts w:ascii="Calibri Light" w:hAnsi="Calibri Light"/>
          <w:b/>
          <w:sz w:val="21"/>
          <w:szCs w:val="21"/>
        </w:rPr>
      </w:pPr>
      <w:r w:rsidRPr="008A0242">
        <w:rPr>
          <w:rFonts w:ascii="Calibri Light" w:hAnsi="Calibri Light"/>
          <w:b/>
          <w:sz w:val="21"/>
          <w:szCs w:val="21"/>
        </w:rPr>
        <w:t>Ufficio Stampa Value Relations</w:t>
      </w:r>
    </w:p>
    <w:p w14:paraId="4073824A" w14:textId="77777777" w:rsidR="00C71216" w:rsidRPr="008A0242" w:rsidRDefault="00C71216" w:rsidP="00C71216">
      <w:pPr>
        <w:pStyle w:val="Nessunaspaziatura"/>
        <w:contextualSpacing/>
        <w:rPr>
          <w:rFonts w:ascii="Calibri Light" w:eastAsiaTheme="minorEastAsia" w:hAnsi="Calibri Light"/>
          <w:b/>
          <w:sz w:val="21"/>
          <w:szCs w:val="21"/>
          <w:lang w:eastAsia="it-IT"/>
        </w:rPr>
      </w:pPr>
      <w:r w:rsidRPr="008A0242">
        <w:rPr>
          <w:rFonts w:ascii="Calibri Light" w:eastAsiaTheme="minorEastAsia" w:hAnsi="Calibri Light"/>
          <w:b/>
          <w:sz w:val="21"/>
          <w:szCs w:val="21"/>
          <w:lang w:eastAsia="it-IT"/>
        </w:rPr>
        <w:t>Angela Del Giudice</w:t>
      </w:r>
    </w:p>
    <w:p w14:paraId="2A5A1871" w14:textId="77777777" w:rsidR="00C71216" w:rsidRPr="008A0242" w:rsidRDefault="00C71216" w:rsidP="00C71216">
      <w:pPr>
        <w:pStyle w:val="Nessunaspaziatura"/>
        <w:contextualSpacing/>
        <w:rPr>
          <w:rFonts w:ascii="Calibri Light" w:eastAsiaTheme="minorEastAsia" w:hAnsi="Calibri Light"/>
          <w:i/>
          <w:sz w:val="21"/>
          <w:szCs w:val="21"/>
          <w:lang w:eastAsia="it-IT"/>
        </w:rPr>
      </w:pPr>
      <w:r w:rsidRPr="008A0242">
        <w:rPr>
          <w:rFonts w:ascii="Calibri Light" w:eastAsiaTheme="minorEastAsia" w:hAnsi="Calibri Light"/>
          <w:sz w:val="21"/>
          <w:szCs w:val="21"/>
          <w:lang w:eastAsia="it-IT"/>
        </w:rPr>
        <w:t xml:space="preserve">392.6858392 | </w:t>
      </w:r>
      <w:hyperlink r:id="rId10" w:history="1">
        <w:r w:rsidRPr="008A0242">
          <w:rPr>
            <w:rStyle w:val="Collegamentoipertestuale"/>
            <w:rFonts w:ascii="Calibri Light" w:hAnsi="Calibri Light"/>
            <w:sz w:val="21"/>
            <w:szCs w:val="21"/>
          </w:rPr>
          <w:t>a.delgiudice@vrelations.it</w:t>
        </w:r>
      </w:hyperlink>
    </w:p>
    <w:p w14:paraId="5D686C6F" w14:textId="77777777" w:rsidR="00C71216" w:rsidRPr="008A0242" w:rsidRDefault="00C71216" w:rsidP="00C71216">
      <w:pPr>
        <w:pStyle w:val="Nessunaspaziatura"/>
        <w:contextualSpacing/>
        <w:rPr>
          <w:rFonts w:ascii="Calibri Light" w:hAnsi="Calibri Light"/>
          <w:b/>
          <w:sz w:val="21"/>
          <w:szCs w:val="21"/>
        </w:rPr>
      </w:pPr>
      <w:r>
        <w:rPr>
          <w:rFonts w:ascii="Calibri Light" w:hAnsi="Calibri Light"/>
          <w:b/>
          <w:sz w:val="21"/>
          <w:szCs w:val="21"/>
        </w:rPr>
        <w:t>Chiara Farroni</w:t>
      </w:r>
    </w:p>
    <w:p w14:paraId="0A14BFCF" w14:textId="64A6E470" w:rsidR="00C71216" w:rsidRPr="008A0242" w:rsidRDefault="00C71216" w:rsidP="00C71216">
      <w:pPr>
        <w:pStyle w:val="Nessunaspaziatura"/>
        <w:contextualSpacing/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06.6788870</w:t>
      </w:r>
      <w:r w:rsidRPr="008A0242">
        <w:rPr>
          <w:rFonts w:ascii="Calibri Light" w:hAnsi="Calibri Light"/>
          <w:sz w:val="21"/>
          <w:szCs w:val="21"/>
        </w:rPr>
        <w:t xml:space="preserve"> | </w:t>
      </w:r>
      <w:hyperlink r:id="rId11" w:history="1">
        <w:r w:rsidR="00D84EC2" w:rsidRPr="00FF6731">
          <w:rPr>
            <w:rStyle w:val="Collegamentoipertestuale"/>
            <w:rFonts w:ascii="Calibri Light" w:hAnsi="Calibri Light"/>
            <w:sz w:val="21"/>
            <w:szCs w:val="21"/>
          </w:rPr>
          <w:t>c.farroni@vrelations.it</w:t>
        </w:r>
      </w:hyperlink>
      <w:r w:rsidR="00D84EC2">
        <w:rPr>
          <w:rFonts w:ascii="Calibri Light" w:hAnsi="Calibri Light"/>
          <w:sz w:val="21"/>
          <w:szCs w:val="21"/>
        </w:rPr>
        <w:t xml:space="preserve"> </w:t>
      </w:r>
    </w:p>
    <w:p w14:paraId="590F27BD" w14:textId="77777777" w:rsidR="00C71216" w:rsidRPr="003C1735" w:rsidRDefault="00C71216" w:rsidP="00C71216">
      <w:pPr>
        <w:spacing w:after="0" w:line="240" w:lineRule="auto"/>
        <w:contextualSpacing/>
        <w:jc w:val="both"/>
        <w:rPr>
          <w:rFonts w:asciiTheme="majorHAnsi" w:hAnsiTheme="majorHAnsi"/>
        </w:rPr>
      </w:pPr>
    </w:p>
    <w:p w14:paraId="357458B3" w14:textId="77777777" w:rsidR="00C71216" w:rsidRPr="001A7333" w:rsidRDefault="00C71216" w:rsidP="00C71216">
      <w:pPr>
        <w:spacing w:after="0" w:line="240" w:lineRule="auto"/>
        <w:contextualSpacing/>
        <w:rPr>
          <w:rFonts w:asciiTheme="majorHAnsi" w:hAnsiTheme="majorHAnsi"/>
        </w:rPr>
      </w:pPr>
    </w:p>
    <w:p w14:paraId="4B7B991A" w14:textId="77777777" w:rsidR="00360B1D" w:rsidRPr="003C1735" w:rsidRDefault="00360B1D" w:rsidP="00360B1D">
      <w:pPr>
        <w:jc w:val="both"/>
        <w:rPr>
          <w:rFonts w:asciiTheme="majorHAnsi" w:hAnsiTheme="majorHAnsi"/>
          <w:sz w:val="24"/>
          <w:szCs w:val="24"/>
        </w:rPr>
      </w:pPr>
    </w:p>
    <w:sectPr w:rsidR="00360B1D" w:rsidRPr="003C1735" w:rsidSect="00C5308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844" w:right="1134" w:bottom="2835" w:left="1134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24EFD" w14:textId="77777777" w:rsidR="00974DB8" w:rsidRDefault="00974DB8" w:rsidP="002E48CF">
      <w:r>
        <w:separator/>
      </w:r>
    </w:p>
  </w:endnote>
  <w:endnote w:type="continuationSeparator" w:id="0">
    <w:p w14:paraId="6AC51326" w14:textId="77777777" w:rsidR="00974DB8" w:rsidRDefault="00974DB8" w:rsidP="002E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5027E" w14:textId="77777777" w:rsidR="002E48CF" w:rsidRPr="002E48CF" w:rsidRDefault="002E48CF" w:rsidP="002E48CF">
    <w:pPr>
      <w:pStyle w:val="Pidipagina"/>
    </w:pPr>
    <w:r w:rsidRPr="002E48C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382FE" w14:textId="77777777" w:rsidR="002E48CF" w:rsidRDefault="002E48CF" w:rsidP="002E48CF">
    <w:pPr>
      <w:pStyle w:val="Pidipagina"/>
      <w:ind w:left="-180" w:right="-851"/>
      <w:rPr>
        <w:spacing w:val="24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0E29E" w14:textId="77777777" w:rsidR="00974DB8" w:rsidRDefault="00974DB8" w:rsidP="002E48CF">
      <w:r>
        <w:separator/>
      </w:r>
    </w:p>
  </w:footnote>
  <w:footnote w:type="continuationSeparator" w:id="0">
    <w:p w14:paraId="1AA470D2" w14:textId="77777777" w:rsidR="00974DB8" w:rsidRDefault="00974DB8" w:rsidP="002E4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F3E70" w14:textId="77777777" w:rsidR="002E48CF" w:rsidRDefault="00C5308E" w:rsidP="00A368A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6432" behindDoc="1" locked="0" layoutInCell="1" allowOverlap="1" wp14:anchorId="1640A7E1" wp14:editId="49752653">
          <wp:simplePos x="0" y="0"/>
          <wp:positionH relativeFrom="page">
            <wp:posOffset>16510</wp:posOffset>
          </wp:positionH>
          <wp:positionV relativeFrom="page">
            <wp:posOffset>13223</wp:posOffset>
          </wp:positionV>
          <wp:extent cx="7534800" cy="10645200"/>
          <wp:effectExtent l="0" t="0" r="9525" b="3810"/>
          <wp:wrapNone/>
          <wp:docPr id="143" name="Immagine 1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800" cy="1064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C9688" w14:textId="77777777" w:rsidR="002E48CF" w:rsidRDefault="00771808">
    <w:pPr>
      <w:pStyle w:val="Intestazione"/>
    </w:pPr>
    <w:r>
      <w:rPr>
        <w:noProof/>
        <w:sz w:val="16"/>
        <w:lang w:eastAsia="it-IT"/>
      </w:rPr>
      <w:drawing>
        <wp:anchor distT="0" distB="0" distL="114300" distR="114300" simplePos="0" relativeHeight="251665408" behindDoc="1" locked="0" layoutInCell="1" allowOverlap="1" wp14:anchorId="2E4C11D9" wp14:editId="3755878D">
          <wp:simplePos x="0" y="0"/>
          <wp:positionH relativeFrom="margin">
            <wp:align>center</wp:align>
          </wp:positionH>
          <wp:positionV relativeFrom="paragraph">
            <wp:posOffset>-421005</wp:posOffset>
          </wp:positionV>
          <wp:extent cx="7534275" cy="10649069"/>
          <wp:effectExtent l="0" t="0" r="0" b="0"/>
          <wp:wrapNone/>
          <wp:docPr id="144" name="Immagine 1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649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E870F4"/>
    <w:multiLevelType w:val="hybridMultilevel"/>
    <w:tmpl w:val="746CDCCC"/>
    <w:lvl w:ilvl="0" w:tplc="0A28149E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92E15"/>
    <w:multiLevelType w:val="hybridMultilevel"/>
    <w:tmpl w:val="370E7A5C"/>
    <w:lvl w:ilvl="0" w:tplc="0A28149E">
      <w:start w:val="1"/>
      <w:numFmt w:val="bullet"/>
      <w:lvlText w:val="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72494"/>
    <w:multiLevelType w:val="hybridMultilevel"/>
    <w:tmpl w:val="71B6ED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255AB"/>
    <w:multiLevelType w:val="hybridMultilevel"/>
    <w:tmpl w:val="92BA74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B29D7"/>
    <w:multiLevelType w:val="hybridMultilevel"/>
    <w:tmpl w:val="CEEA90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C3E75"/>
    <w:multiLevelType w:val="hybridMultilevel"/>
    <w:tmpl w:val="896C5E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6"/>
    <w:rsid w:val="00014C6D"/>
    <w:rsid w:val="00051D26"/>
    <w:rsid w:val="000A7ABD"/>
    <w:rsid w:val="000D6578"/>
    <w:rsid w:val="0010037F"/>
    <w:rsid w:val="00105B09"/>
    <w:rsid w:val="001826ED"/>
    <w:rsid w:val="001C4883"/>
    <w:rsid w:val="001D276E"/>
    <w:rsid w:val="002056C5"/>
    <w:rsid w:val="00206BC3"/>
    <w:rsid w:val="00261C74"/>
    <w:rsid w:val="0028520B"/>
    <w:rsid w:val="00290CC2"/>
    <w:rsid w:val="002A0492"/>
    <w:rsid w:val="002E48CF"/>
    <w:rsid w:val="0030598D"/>
    <w:rsid w:val="00323FDC"/>
    <w:rsid w:val="0036042F"/>
    <w:rsid w:val="00360B1D"/>
    <w:rsid w:val="003B0CFC"/>
    <w:rsid w:val="003C1735"/>
    <w:rsid w:val="00410D8E"/>
    <w:rsid w:val="004535B2"/>
    <w:rsid w:val="004D0241"/>
    <w:rsid w:val="00554C4F"/>
    <w:rsid w:val="0057355E"/>
    <w:rsid w:val="005C0B43"/>
    <w:rsid w:val="005D70BB"/>
    <w:rsid w:val="00610C7D"/>
    <w:rsid w:val="006C1E5F"/>
    <w:rsid w:val="006C1F09"/>
    <w:rsid w:val="006D192D"/>
    <w:rsid w:val="007675C9"/>
    <w:rsid w:val="00771808"/>
    <w:rsid w:val="007818D6"/>
    <w:rsid w:val="007D18A7"/>
    <w:rsid w:val="007E49E7"/>
    <w:rsid w:val="007F2CD6"/>
    <w:rsid w:val="00810264"/>
    <w:rsid w:val="00835248"/>
    <w:rsid w:val="00842E38"/>
    <w:rsid w:val="008636C7"/>
    <w:rsid w:val="0089005B"/>
    <w:rsid w:val="008A44E7"/>
    <w:rsid w:val="008B3324"/>
    <w:rsid w:val="008C4D70"/>
    <w:rsid w:val="008E2902"/>
    <w:rsid w:val="008F327F"/>
    <w:rsid w:val="0090018E"/>
    <w:rsid w:val="0093203F"/>
    <w:rsid w:val="009361CC"/>
    <w:rsid w:val="00974DB8"/>
    <w:rsid w:val="00977314"/>
    <w:rsid w:val="009B2216"/>
    <w:rsid w:val="00A12706"/>
    <w:rsid w:val="00A35E08"/>
    <w:rsid w:val="00A368A5"/>
    <w:rsid w:val="00A411BB"/>
    <w:rsid w:val="00A73FA2"/>
    <w:rsid w:val="00AE1214"/>
    <w:rsid w:val="00B01334"/>
    <w:rsid w:val="00B311DE"/>
    <w:rsid w:val="00B55EAC"/>
    <w:rsid w:val="00B90A2B"/>
    <w:rsid w:val="00BC0C5E"/>
    <w:rsid w:val="00BE17CC"/>
    <w:rsid w:val="00BF5457"/>
    <w:rsid w:val="00C00CBC"/>
    <w:rsid w:val="00C46F40"/>
    <w:rsid w:val="00C5308E"/>
    <w:rsid w:val="00C71216"/>
    <w:rsid w:val="00CA48F1"/>
    <w:rsid w:val="00CB422A"/>
    <w:rsid w:val="00CF522F"/>
    <w:rsid w:val="00D03381"/>
    <w:rsid w:val="00D06659"/>
    <w:rsid w:val="00D1559C"/>
    <w:rsid w:val="00D20A79"/>
    <w:rsid w:val="00D60F6A"/>
    <w:rsid w:val="00D84EC2"/>
    <w:rsid w:val="00E0499D"/>
    <w:rsid w:val="00EE3340"/>
    <w:rsid w:val="00F20A1D"/>
    <w:rsid w:val="00F57E84"/>
    <w:rsid w:val="00F65090"/>
    <w:rsid w:val="00F86759"/>
    <w:rsid w:val="00FA3D2E"/>
    <w:rsid w:val="00FE2FA5"/>
    <w:rsid w:val="00FE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5072EF"/>
  <w15:docId w15:val="{FEB122DB-F729-446F-BE43-78F2B49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otham Book" w:eastAsia="Calibri" w:hAnsi="Gotham Boo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21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48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E48C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2E48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E48CF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B311DE"/>
    <w:pPr>
      <w:ind w:left="708"/>
    </w:pPr>
    <w:rPr>
      <w:rFonts w:ascii="Verdana" w:hAnsi="Verdan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8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8A5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71216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C71216"/>
    <w:rPr>
      <w:rFonts w:ascii="Calibri" w:hAnsi="Calibr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3604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3604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36042F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04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042F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4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uli@polifarma.i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.farroni@vrelations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a.delgiudice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ifarma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2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AFAD9-DF8C-4803-B13D-03568A909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Cutuli</dc:creator>
  <cp:lastModifiedBy>Angela Del Giudice</cp:lastModifiedBy>
  <cp:revision>2</cp:revision>
  <cp:lastPrinted>2020-01-22T08:00:00Z</cp:lastPrinted>
  <dcterms:created xsi:type="dcterms:W3CDTF">2020-02-03T09:55:00Z</dcterms:created>
  <dcterms:modified xsi:type="dcterms:W3CDTF">2020-02-03T09:55:00Z</dcterms:modified>
</cp:coreProperties>
</file>