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427F" w14:textId="3414BF67" w:rsidR="00F13BAD" w:rsidRPr="002F5F9F" w:rsidRDefault="005D47A6" w:rsidP="00FD7FB7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it-IT"/>
        </w:rPr>
        <w:drawing>
          <wp:inline distT="0" distB="0" distL="0" distR="0" wp14:anchorId="5B1E4D3C" wp14:editId="5B324F30">
            <wp:extent cx="1066800" cy="1079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</w:t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  <w:t xml:space="preserve">    </w:t>
      </w:r>
      <w:r>
        <w:rPr>
          <w:rFonts w:ascii="Times New Roman" w:hAnsi="Times New Roman" w:cs="Times New Roman"/>
          <w:noProof/>
          <w:color w:val="000000"/>
          <w:sz w:val="36"/>
          <w:szCs w:val="36"/>
          <w:lang w:eastAsia="it-IT"/>
        </w:rPr>
        <w:drawing>
          <wp:inline distT="0" distB="0" distL="0" distR="0" wp14:anchorId="3485D0F0" wp14:editId="1BB68E68">
            <wp:extent cx="812800" cy="717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   </w:t>
      </w:r>
    </w:p>
    <w:p w14:paraId="37E0D7B3" w14:textId="77777777" w:rsidR="00F13BAD" w:rsidRPr="00566654" w:rsidRDefault="00F13BAD" w:rsidP="00FD7F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47BFC0E6" w14:textId="77777777" w:rsidR="00F13BAD" w:rsidRPr="00E44CC7" w:rsidRDefault="00F13BAD" w:rsidP="002F5F9F">
      <w:pPr>
        <w:spacing w:after="0" w:line="240" w:lineRule="auto"/>
        <w:jc w:val="center"/>
        <w:outlineLvl w:val="0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Comunicato stampa</w:t>
      </w:r>
    </w:p>
    <w:p w14:paraId="22580D5A" w14:textId="77777777" w:rsidR="00F13BAD" w:rsidRPr="00813215" w:rsidRDefault="00F13BAD" w:rsidP="002F5F9F">
      <w:pPr>
        <w:spacing w:after="0" w:line="240" w:lineRule="auto"/>
        <w:jc w:val="center"/>
        <w:outlineLvl w:val="0"/>
        <w:rPr>
          <w:rFonts w:cs="Times New Roman"/>
          <w:b/>
          <w:bCs/>
          <w:color w:val="000000"/>
          <w:sz w:val="16"/>
          <w:szCs w:val="16"/>
          <w:u w:val="single"/>
        </w:rPr>
      </w:pPr>
    </w:p>
    <w:p w14:paraId="2704E859" w14:textId="01369E70" w:rsidR="00F13BAD" w:rsidRDefault="002772A3" w:rsidP="003351CB">
      <w:pPr>
        <w:pStyle w:val="Nessunaspaziatura"/>
        <w:jc w:val="center"/>
        <w:rPr>
          <w:rFonts w:cs="Calibri"/>
          <w:b/>
          <w:sz w:val="36"/>
          <w:szCs w:val="36"/>
          <w:shd w:val="clear" w:color="auto" w:fill="FFFFFF"/>
          <w:lang w:eastAsia="it-IT"/>
        </w:rPr>
      </w:pPr>
      <w:r>
        <w:rPr>
          <w:b/>
          <w:bCs/>
          <w:color w:val="000000"/>
          <w:sz w:val="36"/>
          <w:szCs w:val="36"/>
        </w:rPr>
        <w:t xml:space="preserve">Sindrome dell’occhio secco: </w:t>
      </w:r>
      <w:r w:rsidR="008B32B3">
        <w:rPr>
          <w:b/>
          <w:bCs/>
          <w:color w:val="000000"/>
          <w:sz w:val="36"/>
          <w:szCs w:val="36"/>
        </w:rPr>
        <w:t xml:space="preserve">tra i fattori di rischio anche inquinamento e </w:t>
      </w:r>
      <w:r w:rsidR="00C51C31">
        <w:rPr>
          <w:b/>
          <w:bCs/>
          <w:color w:val="000000"/>
          <w:sz w:val="36"/>
          <w:szCs w:val="36"/>
        </w:rPr>
        <w:t xml:space="preserve">utilizzo eccessivo </w:t>
      </w:r>
      <w:r w:rsidR="000450DB">
        <w:rPr>
          <w:b/>
          <w:bCs/>
          <w:color w:val="000000"/>
          <w:sz w:val="36"/>
          <w:szCs w:val="36"/>
        </w:rPr>
        <w:t>della tecnologia</w:t>
      </w:r>
    </w:p>
    <w:p w14:paraId="2BE07738" w14:textId="77777777" w:rsidR="003351CB" w:rsidRPr="00F53505" w:rsidRDefault="003351CB" w:rsidP="003351CB">
      <w:pPr>
        <w:pStyle w:val="Nessunaspaziatura"/>
        <w:jc w:val="center"/>
        <w:rPr>
          <w:rFonts w:cs="Calibri"/>
          <w:b/>
          <w:sz w:val="16"/>
          <w:szCs w:val="16"/>
          <w:shd w:val="clear" w:color="auto" w:fill="FFFFFF"/>
          <w:lang w:eastAsia="it-IT"/>
        </w:rPr>
      </w:pPr>
    </w:p>
    <w:p w14:paraId="3A8BE41A" w14:textId="3A58E3F0" w:rsidR="00F53505" w:rsidRDefault="00F13BAD" w:rsidP="003351CB">
      <w:pPr>
        <w:pStyle w:val="Nessunaspaziatura"/>
        <w:jc w:val="center"/>
        <w:rPr>
          <w:rFonts w:cs="Calibri"/>
          <w:b/>
          <w:shd w:val="clear" w:color="auto" w:fill="FFFFFF"/>
          <w:lang w:eastAsia="it-IT"/>
        </w:rPr>
      </w:pPr>
      <w:r w:rsidRPr="003351CB">
        <w:rPr>
          <w:rFonts w:cs="Calibri"/>
          <w:b/>
          <w:sz w:val="36"/>
          <w:szCs w:val="36"/>
          <w:shd w:val="clear" w:color="auto" w:fill="FFFFFF"/>
          <w:lang w:eastAsia="it-IT"/>
        </w:rPr>
        <w:t xml:space="preserve">     </w:t>
      </w:r>
      <w:r w:rsidR="0074158B">
        <w:rPr>
          <w:rFonts w:cs="Calibri"/>
          <w:b/>
          <w:shd w:val="clear" w:color="auto" w:fill="FFFFFF"/>
          <w:lang w:eastAsia="it-IT"/>
        </w:rPr>
        <w:t>Conclusa la quarta campagna di prevenzione e diagnosi dell’occhio secco, promossa dal CIOS in collaborazione con la Clinica Oculistica dell’Università dell’Insubria di Varese: effettuati 745 screening gratuiti in 15 centri italiani.</w:t>
      </w:r>
    </w:p>
    <w:p w14:paraId="7F2D3BE2" w14:textId="77777777" w:rsidR="00F53505" w:rsidRDefault="00F53505" w:rsidP="003351CB">
      <w:pPr>
        <w:pStyle w:val="Nessunaspaziatura"/>
        <w:jc w:val="center"/>
        <w:rPr>
          <w:rFonts w:cs="Calibri"/>
          <w:b/>
          <w:shd w:val="clear" w:color="auto" w:fill="FFFFFF"/>
          <w:lang w:eastAsia="it-IT"/>
        </w:rPr>
      </w:pPr>
    </w:p>
    <w:p w14:paraId="62C2778B" w14:textId="328B0F0C" w:rsidR="0022702C" w:rsidRDefault="00F13BAD" w:rsidP="002F5F9F">
      <w:pPr>
        <w:jc w:val="both"/>
      </w:pPr>
      <w:r w:rsidRPr="00E44CC7">
        <w:rPr>
          <w:b/>
        </w:rPr>
        <w:t xml:space="preserve">Milano, </w:t>
      </w:r>
      <w:r w:rsidR="006901C4">
        <w:rPr>
          <w:b/>
        </w:rPr>
        <w:t>10</w:t>
      </w:r>
      <w:bookmarkStart w:id="0" w:name="_GoBack"/>
      <w:bookmarkEnd w:id="0"/>
      <w:r w:rsidRPr="00E44CC7">
        <w:rPr>
          <w:b/>
        </w:rPr>
        <w:t xml:space="preserve"> </w:t>
      </w:r>
      <w:r w:rsidR="009D698B">
        <w:rPr>
          <w:b/>
        </w:rPr>
        <w:t>luglio</w:t>
      </w:r>
      <w:r w:rsidRPr="00E44CC7">
        <w:rPr>
          <w:b/>
        </w:rPr>
        <w:t xml:space="preserve"> 2019</w:t>
      </w:r>
      <w:r>
        <w:t xml:space="preserve"> </w:t>
      </w:r>
      <w:r w:rsidR="0022702C">
        <w:t>–</w:t>
      </w:r>
      <w:r w:rsidR="00FB48F6">
        <w:t xml:space="preserve"> </w:t>
      </w:r>
      <w:r w:rsidR="00306DAD" w:rsidRPr="002E6BBD">
        <w:rPr>
          <w:b/>
          <w:bCs/>
        </w:rPr>
        <w:t xml:space="preserve">Oltre </w:t>
      </w:r>
      <w:r w:rsidR="008B32B3" w:rsidRPr="002E6BBD">
        <w:rPr>
          <w:b/>
          <w:bCs/>
        </w:rPr>
        <w:t xml:space="preserve">8 </w:t>
      </w:r>
      <w:r w:rsidR="00306DAD" w:rsidRPr="002E6BBD">
        <w:rPr>
          <w:b/>
          <w:bCs/>
        </w:rPr>
        <w:t xml:space="preserve">pazienti </w:t>
      </w:r>
      <w:r w:rsidR="008B32B3" w:rsidRPr="002E6BBD">
        <w:rPr>
          <w:b/>
          <w:bCs/>
        </w:rPr>
        <w:t xml:space="preserve">su 10 </w:t>
      </w:r>
      <w:r w:rsidR="00306DAD" w:rsidRPr="002E6BBD">
        <w:rPr>
          <w:b/>
          <w:bCs/>
        </w:rPr>
        <w:t>soffr</w:t>
      </w:r>
      <w:r w:rsidR="008B32B3" w:rsidRPr="002E6BBD">
        <w:rPr>
          <w:b/>
          <w:bCs/>
        </w:rPr>
        <w:t>ono</w:t>
      </w:r>
      <w:r w:rsidR="00306DAD" w:rsidRPr="002E6BBD">
        <w:rPr>
          <w:b/>
          <w:bCs/>
        </w:rPr>
        <w:t xml:space="preserve"> di secchezza oculare</w:t>
      </w:r>
      <w:r w:rsidR="00306DAD">
        <w:t xml:space="preserve"> </w:t>
      </w:r>
      <w:r w:rsidR="00306DAD" w:rsidRPr="002E6BBD">
        <w:t xml:space="preserve">a causa </w:t>
      </w:r>
      <w:r w:rsidR="0074158B" w:rsidRPr="002E6BBD">
        <w:t>anche</w:t>
      </w:r>
      <w:r w:rsidR="0074158B" w:rsidRPr="002E6BBD">
        <w:rPr>
          <w:b/>
          <w:bCs/>
        </w:rPr>
        <w:t xml:space="preserve"> </w:t>
      </w:r>
      <w:r w:rsidR="00306DAD" w:rsidRPr="002E6BBD">
        <w:t>dell’</w:t>
      </w:r>
      <w:r w:rsidR="00306DAD" w:rsidRPr="002E6BBD">
        <w:rPr>
          <w:b/>
          <w:bCs/>
        </w:rPr>
        <w:t xml:space="preserve">inquinamento ambientale </w:t>
      </w:r>
      <w:r w:rsidR="00306DAD" w:rsidRPr="002E6BBD">
        <w:t>e dell’</w:t>
      </w:r>
      <w:r w:rsidR="00306DAD" w:rsidRPr="002E6BBD">
        <w:rPr>
          <w:b/>
          <w:bCs/>
        </w:rPr>
        <w:t xml:space="preserve">uso </w:t>
      </w:r>
      <w:r w:rsidR="005B706D" w:rsidRPr="002E6BBD">
        <w:rPr>
          <w:b/>
          <w:bCs/>
        </w:rPr>
        <w:t>eccessivo</w:t>
      </w:r>
      <w:r w:rsidR="00306DAD" w:rsidRPr="002E6BBD">
        <w:rPr>
          <w:b/>
          <w:bCs/>
        </w:rPr>
        <w:t xml:space="preserve"> di dispositivi tecnologici, </w:t>
      </w:r>
      <w:r w:rsidR="00306DAD" w:rsidRPr="002E6BBD">
        <w:t>quali</w:t>
      </w:r>
      <w:r w:rsidR="00306DAD" w:rsidRPr="002E6BBD">
        <w:rPr>
          <w:b/>
          <w:bCs/>
        </w:rPr>
        <w:t xml:space="preserve"> </w:t>
      </w:r>
      <w:r w:rsidR="00306DAD" w:rsidRPr="002E6BBD">
        <w:t>smartphone e PC</w:t>
      </w:r>
      <w:r w:rsidR="00306DAD">
        <w:t xml:space="preserve">: questo </w:t>
      </w:r>
      <w:r w:rsidR="00CE26DE">
        <w:t xml:space="preserve">uno dei </w:t>
      </w:r>
      <w:r w:rsidR="00306DAD" w:rsidRPr="002E6BBD">
        <w:rPr>
          <w:b/>
          <w:bCs/>
        </w:rPr>
        <w:t>risultat</w:t>
      </w:r>
      <w:r w:rsidR="00CE26DE">
        <w:rPr>
          <w:b/>
          <w:bCs/>
        </w:rPr>
        <w:t>i</w:t>
      </w:r>
      <w:r w:rsidR="00306DAD" w:rsidRPr="002E6BBD">
        <w:rPr>
          <w:b/>
          <w:bCs/>
        </w:rPr>
        <w:t xml:space="preserve"> della</w:t>
      </w:r>
      <w:r w:rsidR="00306DAD">
        <w:t xml:space="preserve"> </w:t>
      </w:r>
      <w:r w:rsidR="00306DAD" w:rsidRPr="002E6BBD">
        <w:rPr>
          <w:b/>
          <w:bCs/>
        </w:rPr>
        <w:t>quarta campagna di prevenzione e diagnosi della sindrome dell’occhio secco</w:t>
      </w:r>
      <w:r w:rsidR="00306DAD">
        <w:t xml:space="preserve">, promossa </w:t>
      </w:r>
      <w:r w:rsidR="00306DAD" w:rsidRPr="002E6BBD">
        <w:rPr>
          <w:b/>
          <w:bCs/>
        </w:rPr>
        <w:t>dall’8 maggio al 14 giugno</w:t>
      </w:r>
      <w:r w:rsidR="00306DAD">
        <w:t xml:space="preserve"> dal Centro Italiano Occhio Secco</w:t>
      </w:r>
      <w:r w:rsidR="009F2F6C">
        <w:t xml:space="preserve"> (</w:t>
      </w:r>
      <w:r w:rsidR="009F2F6C" w:rsidRPr="002E6BBD">
        <w:rPr>
          <w:b/>
          <w:bCs/>
        </w:rPr>
        <w:t>CIOS</w:t>
      </w:r>
      <w:r w:rsidR="009F2F6C">
        <w:t>)</w:t>
      </w:r>
      <w:r w:rsidR="00FB48F6">
        <w:t xml:space="preserve">, in collaborazione con la </w:t>
      </w:r>
      <w:r w:rsidR="00FB48F6" w:rsidRPr="002E6BBD">
        <w:rPr>
          <w:b/>
          <w:bCs/>
        </w:rPr>
        <w:t>Clinica Oculistica</w:t>
      </w:r>
      <w:r w:rsidR="00FB48F6">
        <w:t xml:space="preserve"> </w:t>
      </w:r>
      <w:r w:rsidR="00FB48F6" w:rsidRPr="002E6BBD">
        <w:rPr>
          <w:b/>
          <w:bCs/>
        </w:rPr>
        <w:t>dell’Università dell’Insubria di Varese</w:t>
      </w:r>
      <w:r w:rsidR="00FB48F6">
        <w:t xml:space="preserve">, sotto l’egida del </w:t>
      </w:r>
      <w:r w:rsidR="00FB48F6" w:rsidRPr="002E6BBD">
        <w:rPr>
          <w:b/>
          <w:bCs/>
        </w:rPr>
        <w:t>Ministero della Salute</w:t>
      </w:r>
      <w:r w:rsidR="00FB48F6">
        <w:t xml:space="preserve">, della </w:t>
      </w:r>
      <w:r w:rsidR="00FB48F6" w:rsidRPr="002E6BBD">
        <w:rPr>
          <w:b/>
          <w:bCs/>
        </w:rPr>
        <w:t>Regione Lombardia</w:t>
      </w:r>
      <w:r w:rsidR="00FB48F6">
        <w:t xml:space="preserve">, del </w:t>
      </w:r>
      <w:r w:rsidR="00FB48F6" w:rsidRPr="002E6BBD">
        <w:rPr>
          <w:b/>
          <w:bCs/>
        </w:rPr>
        <w:t>Comune di Milano</w:t>
      </w:r>
      <w:r w:rsidR="00FB48F6">
        <w:t xml:space="preserve"> e della Società Italiana di Oftalmologia (</w:t>
      </w:r>
      <w:r w:rsidR="00FB48F6" w:rsidRPr="002E6BBD">
        <w:rPr>
          <w:b/>
          <w:bCs/>
        </w:rPr>
        <w:t>SOI</w:t>
      </w:r>
      <w:r w:rsidR="00FB48F6">
        <w:t>).</w:t>
      </w:r>
    </w:p>
    <w:p w14:paraId="3BE2DF18" w14:textId="19F41493" w:rsidR="00D07E27" w:rsidRDefault="00D07E27" w:rsidP="007F00E4">
      <w:pPr>
        <w:spacing w:after="0"/>
        <w:jc w:val="both"/>
      </w:pPr>
      <w:r>
        <w:t>Nata con l’obiettivo di informare e sensibilizzare la popolazione su una patologia oculare molto diffusa, ma ancora sottovalutata e poco conosciuta, la campagna ha permesso di e</w:t>
      </w:r>
      <w:r w:rsidR="00120098">
        <w:t>seguire</w:t>
      </w:r>
      <w:r>
        <w:t xml:space="preserve"> </w:t>
      </w:r>
      <w:r w:rsidR="00120098">
        <w:t xml:space="preserve">gratuitamente </w:t>
      </w:r>
      <w:r w:rsidRPr="002E6BBD">
        <w:rPr>
          <w:b/>
          <w:bCs/>
        </w:rPr>
        <w:t>745 screening</w:t>
      </w:r>
      <w:r w:rsidR="00120098">
        <w:t xml:space="preserve"> </w:t>
      </w:r>
      <w:r w:rsidRPr="002E6BBD">
        <w:rPr>
          <w:b/>
          <w:bCs/>
        </w:rPr>
        <w:t>nei 15 centr</w:t>
      </w:r>
      <w:r w:rsidR="0055239D" w:rsidRPr="002E6BBD">
        <w:rPr>
          <w:b/>
          <w:bCs/>
        </w:rPr>
        <w:t>i</w:t>
      </w:r>
      <w:r>
        <w:t xml:space="preserve"> aderenti all’iniziativa, presenti su tutto il territorio nazionale.</w:t>
      </w:r>
      <w:r w:rsidR="00306DAD">
        <w:t xml:space="preserve"> </w:t>
      </w:r>
    </w:p>
    <w:p w14:paraId="26948DA8" w14:textId="216474BD" w:rsidR="00DF6E63" w:rsidRDefault="00E344B8" w:rsidP="007F00E4">
      <w:pPr>
        <w:spacing w:after="0"/>
        <w:jc w:val="both"/>
      </w:pPr>
      <w:r>
        <w:t xml:space="preserve">Gli esami diagnostici hanno rilevato che </w:t>
      </w:r>
      <w:r w:rsidRPr="002E6BBD">
        <w:rPr>
          <w:b/>
          <w:bCs/>
        </w:rPr>
        <w:t>l’83% dei pazienti dei centri dell’area della Pianura Padana</w:t>
      </w:r>
      <w:r>
        <w:t xml:space="preserve"> (Milano, Varese, Torino e Padova), </w:t>
      </w:r>
      <w:r w:rsidRPr="002E6BBD">
        <w:rPr>
          <w:b/>
          <w:bCs/>
        </w:rPr>
        <w:t>dove l’inquinamento ambientale e l’utilizzo delle tecnologie è più diffuso</w:t>
      </w:r>
      <w:r>
        <w:t xml:space="preserve">, </w:t>
      </w:r>
      <w:r w:rsidRPr="002E6BBD">
        <w:rPr>
          <w:b/>
          <w:bCs/>
        </w:rPr>
        <w:t>presentavano la sindrome dell’occhio secco</w:t>
      </w:r>
      <w:r w:rsidR="003A1742">
        <w:t xml:space="preserve"> (nel </w:t>
      </w:r>
      <w:r w:rsidR="003A1742" w:rsidRPr="002E6BBD">
        <w:rPr>
          <w:b/>
          <w:bCs/>
        </w:rPr>
        <w:t>29% dei casi in forma moderata</w:t>
      </w:r>
      <w:r w:rsidR="003A1742">
        <w:t>)</w:t>
      </w:r>
      <w:r>
        <w:t xml:space="preserve">, </w:t>
      </w:r>
      <w:r w:rsidR="0060622A">
        <w:t xml:space="preserve">contro il </w:t>
      </w:r>
      <w:r w:rsidR="0060622A" w:rsidRPr="002E6BBD">
        <w:rPr>
          <w:b/>
          <w:bCs/>
        </w:rPr>
        <w:t>73% delle</w:t>
      </w:r>
      <w:r w:rsidR="0060622A">
        <w:t xml:space="preserve"> </w:t>
      </w:r>
      <w:r w:rsidR="0060622A" w:rsidRPr="002E6BBD">
        <w:rPr>
          <w:b/>
          <w:bCs/>
        </w:rPr>
        <w:t>persone</w:t>
      </w:r>
      <w:r w:rsidR="0060622A">
        <w:t xml:space="preserve"> visitate nelle </w:t>
      </w:r>
      <w:r w:rsidR="0060622A" w:rsidRPr="002E6BBD">
        <w:rPr>
          <w:b/>
          <w:bCs/>
        </w:rPr>
        <w:t>altre strutture aderenti all</w:t>
      </w:r>
      <w:r w:rsidR="00712226" w:rsidRPr="002E6BBD">
        <w:rPr>
          <w:b/>
          <w:bCs/>
        </w:rPr>
        <w:t>’iniziativa</w:t>
      </w:r>
      <w:r w:rsidR="0060622A">
        <w:t xml:space="preserve"> (Napoli, Arezzo, Pisa, Bari, Catania, Sassari e Lecce).</w:t>
      </w:r>
    </w:p>
    <w:p w14:paraId="4808C507" w14:textId="77777777" w:rsidR="00F14DAF" w:rsidRPr="00012C54" w:rsidRDefault="00F14DAF" w:rsidP="007F00E4">
      <w:pPr>
        <w:spacing w:after="0"/>
        <w:jc w:val="both"/>
        <w:rPr>
          <w:sz w:val="16"/>
          <w:szCs w:val="16"/>
        </w:rPr>
      </w:pPr>
    </w:p>
    <w:p w14:paraId="172B8DA7" w14:textId="755C435F" w:rsidR="00750E2E" w:rsidRDefault="00DF6E63" w:rsidP="007F00E4">
      <w:pPr>
        <w:spacing w:after="0"/>
        <w:jc w:val="both"/>
      </w:pPr>
      <w:r>
        <w:t>Tra le molteplici cause scatenanti</w:t>
      </w:r>
      <w:r w:rsidR="009A595A">
        <w:t xml:space="preserve"> (invecchiamento, alterazioni ormonali, malattie sistemiche, fumo, alcool ecc.), </w:t>
      </w:r>
      <w:r>
        <w:t>rivest</w:t>
      </w:r>
      <w:r w:rsidR="00012C54">
        <w:t>ono</w:t>
      </w:r>
      <w:r>
        <w:t xml:space="preserve"> quindi un ruolo importante</w:t>
      </w:r>
      <w:r w:rsidR="00012C54">
        <w:t xml:space="preserve"> gli </w:t>
      </w:r>
      <w:r w:rsidRPr="002E6BBD">
        <w:rPr>
          <w:b/>
          <w:bCs/>
        </w:rPr>
        <w:t>inquina</w:t>
      </w:r>
      <w:r w:rsidR="00012C54">
        <w:rPr>
          <w:b/>
          <w:bCs/>
        </w:rPr>
        <w:t>nti atmosferici</w:t>
      </w:r>
      <w:r>
        <w:t>,</w:t>
      </w:r>
      <w:r w:rsidR="00012C54">
        <w:t xml:space="preserve"> che possono attivare segnali pro-infiammatori e influenzare la composizione del film lacrimale. L’Inquinamento </w:t>
      </w:r>
      <w:r>
        <w:t xml:space="preserve">spesso supera la soglia massima consentita soprattutto nei grandi centri abitati: nel campione preso in esame, il </w:t>
      </w:r>
      <w:r w:rsidRPr="002E6BBD">
        <w:rPr>
          <w:b/>
          <w:bCs/>
        </w:rPr>
        <w:t>33% della popolazione della Pianura Padana vive in città con oltre 500.000 abitanti</w:t>
      </w:r>
      <w:r>
        <w:t>.</w:t>
      </w:r>
    </w:p>
    <w:p w14:paraId="399FBC64" w14:textId="4628C4E6" w:rsidR="00F14DAF" w:rsidRDefault="00F14DAF" w:rsidP="007F00E4">
      <w:pPr>
        <w:spacing w:after="0"/>
        <w:jc w:val="both"/>
      </w:pPr>
      <w:r>
        <w:t xml:space="preserve">Ma anche lo </w:t>
      </w:r>
      <w:r w:rsidRPr="002E6BBD">
        <w:rPr>
          <w:b/>
          <w:bCs/>
        </w:rPr>
        <w:t>stile di vita</w:t>
      </w:r>
      <w:r>
        <w:t xml:space="preserve"> può alterare la funzionalità lacrimale, come soggiornare a lungo in ambienti con l’aria condizionata oppure usare per molte ore il computer, il tablet o il cellulare: di fronte a questi dispositivi tecnologici si tende, infatti, ad ammiccare meno frequentemente, riducendo la produzione del liquido lacrimale. A tale proposito, gli screening hanno evidenziato che l’</w:t>
      </w:r>
      <w:r w:rsidRPr="00DF248A">
        <w:rPr>
          <w:b/>
          <w:bCs/>
        </w:rPr>
        <w:t>utilizzo della tecnologia per più di 6 ore al giorno era maggiore tra i pazienti dei centri della Pianura Padana</w:t>
      </w:r>
      <w:r>
        <w:t xml:space="preserve"> (</w:t>
      </w:r>
      <w:r w:rsidR="002772A3">
        <w:t>47%) rispetto al gruppo del centro e sud Italia</w:t>
      </w:r>
      <w:r w:rsidR="009A595A">
        <w:t xml:space="preserve"> </w:t>
      </w:r>
      <w:r w:rsidR="009A595A" w:rsidRPr="007F2EC5">
        <w:t>(</w:t>
      </w:r>
      <w:r w:rsidR="009A595A" w:rsidRPr="007F2EC5">
        <w:rPr>
          <w:b/>
          <w:bCs/>
        </w:rPr>
        <w:t>33%</w:t>
      </w:r>
      <w:r w:rsidR="009A595A" w:rsidRPr="007F2EC5">
        <w:t>).</w:t>
      </w:r>
    </w:p>
    <w:p w14:paraId="445FFABD" w14:textId="77777777" w:rsidR="00712226" w:rsidRDefault="00712226" w:rsidP="007F00E4">
      <w:pPr>
        <w:spacing w:after="0"/>
        <w:jc w:val="both"/>
      </w:pPr>
    </w:p>
    <w:p w14:paraId="267F454B" w14:textId="77777777" w:rsidR="00F13BAD" w:rsidRPr="00EA52E5" w:rsidRDefault="00F13BAD" w:rsidP="00DC49F4">
      <w:pPr>
        <w:spacing w:after="0" w:line="240" w:lineRule="auto"/>
        <w:rPr>
          <w:rFonts w:cs="Times New Roman"/>
          <w:b/>
          <w:sz w:val="20"/>
          <w:szCs w:val="20"/>
        </w:rPr>
      </w:pPr>
      <w:r w:rsidRPr="00EA52E5">
        <w:rPr>
          <w:rFonts w:cs="Times New Roman"/>
          <w:b/>
          <w:sz w:val="20"/>
          <w:szCs w:val="20"/>
        </w:rPr>
        <w:t>Value Relations</w:t>
      </w:r>
    </w:p>
    <w:p w14:paraId="7B920EE8" w14:textId="77777777" w:rsidR="00F13BAD" w:rsidRDefault="00F13BAD" w:rsidP="00DC49F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Eleonora Cossa – </w:t>
      </w:r>
      <w:hyperlink r:id="rId8" w:history="1">
        <w:r w:rsidRPr="00E81947">
          <w:rPr>
            <w:rStyle w:val="Collegamentoipertestuale"/>
            <w:sz w:val="20"/>
            <w:szCs w:val="20"/>
          </w:rPr>
          <w:t>e.cossa@vrelations.it</w:t>
        </w:r>
      </w:hyperlink>
      <w:r>
        <w:rPr>
          <w:rFonts w:cs="Times New Roman"/>
          <w:sz w:val="20"/>
          <w:szCs w:val="20"/>
        </w:rPr>
        <w:t xml:space="preserve"> - </w:t>
      </w:r>
      <w:r w:rsidRPr="00983235">
        <w:rPr>
          <w:rFonts w:cs="Times New Roman"/>
          <w:sz w:val="20"/>
          <w:szCs w:val="20"/>
        </w:rPr>
        <w:t>02.37071485</w:t>
      </w:r>
      <w:r>
        <w:rPr>
          <w:rFonts w:cs="Times New Roman"/>
          <w:sz w:val="20"/>
          <w:szCs w:val="20"/>
        </w:rPr>
        <w:t xml:space="preserve"> - </w:t>
      </w:r>
      <w:r w:rsidRPr="00983235">
        <w:rPr>
          <w:rFonts w:cs="Times New Roman"/>
          <w:sz w:val="20"/>
          <w:szCs w:val="20"/>
        </w:rPr>
        <w:t>347.7467250</w:t>
      </w:r>
    </w:p>
    <w:p w14:paraId="2D52D11E" w14:textId="77777777" w:rsidR="00F13BAD" w:rsidRPr="00EA52E5" w:rsidRDefault="00F13BAD" w:rsidP="00DC49F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Cristina Depaoli – </w:t>
      </w:r>
      <w:hyperlink r:id="rId9" w:history="1">
        <w:r w:rsidRPr="00E81947">
          <w:rPr>
            <w:rStyle w:val="Collegamentoipertestuale"/>
            <w:sz w:val="20"/>
            <w:szCs w:val="20"/>
          </w:rPr>
          <w:t>c.depaoli@vrelations.it</w:t>
        </w:r>
      </w:hyperlink>
      <w:r>
        <w:rPr>
          <w:rFonts w:cs="Times New Roman"/>
          <w:sz w:val="20"/>
          <w:szCs w:val="20"/>
        </w:rPr>
        <w:t xml:space="preserve"> – 02.37071476 – 347.9760732</w:t>
      </w:r>
    </w:p>
    <w:p w14:paraId="2D57AFA5" w14:textId="77777777" w:rsidR="00F13BAD" w:rsidRPr="00DF248A" w:rsidRDefault="00F13BAD">
      <w:pPr>
        <w:rPr>
          <w:b/>
          <w:sz w:val="2"/>
          <w:szCs w:val="2"/>
        </w:rPr>
      </w:pPr>
    </w:p>
    <w:p w14:paraId="17FA0A76" w14:textId="77777777" w:rsidR="00F13BAD" w:rsidRPr="00DC49F4" w:rsidRDefault="00F13BAD">
      <w:pPr>
        <w:rPr>
          <w:b/>
          <w:sz w:val="16"/>
          <w:szCs w:val="16"/>
        </w:rPr>
      </w:pPr>
      <w:r w:rsidRPr="00DC49F4">
        <w:rPr>
          <w:b/>
          <w:sz w:val="16"/>
          <w:szCs w:val="16"/>
        </w:rPr>
        <w:t>Con il patrocinio di:</w:t>
      </w:r>
    </w:p>
    <w:p w14:paraId="6E700936" w14:textId="64655914" w:rsidR="00F13BAD" w:rsidRPr="005656BA" w:rsidRDefault="00F13BAD">
      <w:r>
        <w:t xml:space="preserve">       </w:t>
      </w:r>
      <w:r w:rsidR="005D47A6">
        <w:rPr>
          <w:noProof/>
          <w:sz w:val="16"/>
          <w:szCs w:val="16"/>
          <w:lang w:eastAsia="it-IT"/>
        </w:rPr>
        <w:drawing>
          <wp:inline distT="0" distB="0" distL="0" distR="0" wp14:anchorId="0CAD4E5F" wp14:editId="6864217B">
            <wp:extent cx="1854200" cy="292100"/>
            <wp:effectExtent l="0" t="0" r="0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5D47A6">
        <w:rPr>
          <w:noProof/>
          <w:lang w:eastAsia="it-IT"/>
        </w:rPr>
        <w:drawing>
          <wp:inline distT="0" distB="0" distL="0" distR="0" wp14:anchorId="6FA45B6A" wp14:editId="71660487">
            <wp:extent cx="1143000" cy="374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16"/>
          <w:szCs w:val="16"/>
        </w:rPr>
        <w:t xml:space="preserve">  </w:t>
      </w:r>
      <w:r w:rsidR="005D47A6">
        <w:rPr>
          <w:noProof/>
          <w:sz w:val="16"/>
          <w:szCs w:val="16"/>
          <w:lang w:eastAsia="it-IT"/>
        </w:rPr>
        <w:drawing>
          <wp:inline distT="0" distB="0" distL="0" distR="0" wp14:anchorId="0F53E799" wp14:editId="6FFEEB01">
            <wp:extent cx="908050" cy="571500"/>
            <wp:effectExtent l="0" t="0" r="0" b="0"/>
            <wp:docPr id="5" name="Immagine 8" descr="PatrocinioComuneMilano_Orizzontale4Colori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atrocinioComuneMilano_Orizzontale4Colori (00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27" b="2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</w:t>
      </w:r>
      <w:r w:rsidR="005D47A6">
        <w:rPr>
          <w:noProof/>
          <w:sz w:val="16"/>
          <w:szCs w:val="16"/>
          <w:lang w:eastAsia="it-IT"/>
        </w:rPr>
        <w:drawing>
          <wp:inline distT="0" distB="0" distL="0" distR="0" wp14:anchorId="20E89640" wp14:editId="6F25FAB7">
            <wp:extent cx="1162050" cy="603250"/>
            <wp:effectExtent l="0" t="0" r="0" b="0"/>
            <wp:docPr id="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BAD" w:rsidRPr="005656BA" w:rsidSect="003D03C1">
      <w:pgSz w:w="11900" w:h="16840"/>
      <w:pgMar w:top="113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487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2C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287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48F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CA7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CE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29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45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A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CA1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17"/>
    <w:rsid w:val="000015CB"/>
    <w:rsid w:val="00012C54"/>
    <w:rsid w:val="000450DB"/>
    <w:rsid w:val="000676BE"/>
    <w:rsid w:val="000952DA"/>
    <w:rsid w:val="00116346"/>
    <w:rsid w:val="00120098"/>
    <w:rsid w:val="00125422"/>
    <w:rsid w:val="002042AA"/>
    <w:rsid w:val="0022702C"/>
    <w:rsid w:val="002311C5"/>
    <w:rsid w:val="002772A3"/>
    <w:rsid w:val="002A70EB"/>
    <w:rsid w:val="002C58C0"/>
    <w:rsid w:val="002D1414"/>
    <w:rsid w:val="002E22AB"/>
    <w:rsid w:val="002E6BBD"/>
    <w:rsid w:val="002F39B2"/>
    <w:rsid w:val="002F5F9F"/>
    <w:rsid w:val="00306DAD"/>
    <w:rsid w:val="003351CB"/>
    <w:rsid w:val="0033707E"/>
    <w:rsid w:val="003A1742"/>
    <w:rsid w:val="003D03C1"/>
    <w:rsid w:val="003F534B"/>
    <w:rsid w:val="00413539"/>
    <w:rsid w:val="00456AF6"/>
    <w:rsid w:val="00464082"/>
    <w:rsid w:val="004A6021"/>
    <w:rsid w:val="004C762F"/>
    <w:rsid w:val="00506B64"/>
    <w:rsid w:val="00516C9A"/>
    <w:rsid w:val="005373C6"/>
    <w:rsid w:val="00544F1F"/>
    <w:rsid w:val="0055239D"/>
    <w:rsid w:val="00556B2C"/>
    <w:rsid w:val="005656BA"/>
    <w:rsid w:val="00566654"/>
    <w:rsid w:val="00577715"/>
    <w:rsid w:val="0058583D"/>
    <w:rsid w:val="00591FE7"/>
    <w:rsid w:val="005A10A3"/>
    <w:rsid w:val="005B706D"/>
    <w:rsid w:val="005D47A6"/>
    <w:rsid w:val="0060622A"/>
    <w:rsid w:val="006501FA"/>
    <w:rsid w:val="006901C4"/>
    <w:rsid w:val="006D4432"/>
    <w:rsid w:val="006E420C"/>
    <w:rsid w:val="00706DF9"/>
    <w:rsid w:val="00712226"/>
    <w:rsid w:val="0074158B"/>
    <w:rsid w:val="00742DA0"/>
    <w:rsid w:val="00750E2E"/>
    <w:rsid w:val="0076601C"/>
    <w:rsid w:val="00780625"/>
    <w:rsid w:val="007974E0"/>
    <w:rsid w:val="007E1A17"/>
    <w:rsid w:val="007F00E4"/>
    <w:rsid w:val="007F2EC5"/>
    <w:rsid w:val="00813215"/>
    <w:rsid w:val="00832131"/>
    <w:rsid w:val="008428D1"/>
    <w:rsid w:val="0088450A"/>
    <w:rsid w:val="008B32B3"/>
    <w:rsid w:val="008C21EC"/>
    <w:rsid w:val="00937643"/>
    <w:rsid w:val="00983235"/>
    <w:rsid w:val="00997CB1"/>
    <w:rsid w:val="009A595A"/>
    <w:rsid w:val="009B6CB0"/>
    <w:rsid w:val="009D698B"/>
    <w:rsid w:val="009D7A90"/>
    <w:rsid w:val="009F2F6C"/>
    <w:rsid w:val="00A254E2"/>
    <w:rsid w:val="00A62544"/>
    <w:rsid w:val="00A70A61"/>
    <w:rsid w:val="00B10918"/>
    <w:rsid w:val="00B24FA7"/>
    <w:rsid w:val="00B96236"/>
    <w:rsid w:val="00BC038E"/>
    <w:rsid w:val="00BC070C"/>
    <w:rsid w:val="00BC4876"/>
    <w:rsid w:val="00BD552D"/>
    <w:rsid w:val="00BF04FB"/>
    <w:rsid w:val="00BF3B4F"/>
    <w:rsid w:val="00BF3D93"/>
    <w:rsid w:val="00BF7424"/>
    <w:rsid w:val="00C01CD9"/>
    <w:rsid w:val="00C05580"/>
    <w:rsid w:val="00C51C31"/>
    <w:rsid w:val="00C52344"/>
    <w:rsid w:val="00CA2C84"/>
    <w:rsid w:val="00CA62A1"/>
    <w:rsid w:val="00CC2976"/>
    <w:rsid w:val="00CE26DE"/>
    <w:rsid w:val="00D03284"/>
    <w:rsid w:val="00D07E27"/>
    <w:rsid w:val="00D56AEF"/>
    <w:rsid w:val="00D57296"/>
    <w:rsid w:val="00D64E31"/>
    <w:rsid w:val="00D82E7E"/>
    <w:rsid w:val="00D93FD7"/>
    <w:rsid w:val="00D97C33"/>
    <w:rsid w:val="00DA4679"/>
    <w:rsid w:val="00DB34F4"/>
    <w:rsid w:val="00DB64F7"/>
    <w:rsid w:val="00DC49F4"/>
    <w:rsid w:val="00DD5472"/>
    <w:rsid w:val="00DE14F9"/>
    <w:rsid w:val="00DF248A"/>
    <w:rsid w:val="00DF6E63"/>
    <w:rsid w:val="00E25839"/>
    <w:rsid w:val="00E32C5B"/>
    <w:rsid w:val="00E344B8"/>
    <w:rsid w:val="00E346E4"/>
    <w:rsid w:val="00E44CC7"/>
    <w:rsid w:val="00E71C91"/>
    <w:rsid w:val="00E72ABD"/>
    <w:rsid w:val="00E81947"/>
    <w:rsid w:val="00EA52E5"/>
    <w:rsid w:val="00EA62F0"/>
    <w:rsid w:val="00ED0FFD"/>
    <w:rsid w:val="00ED4B1B"/>
    <w:rsid w:val="00F13BAD"/>
    <w:rsid w:val="00F14DAF"/>
    <w:rsid w:val="00F52BE9"/>
    <w:rsid w:val="00F53505"/>
    <w:rsid w:val="00F77CC3"/>
    <w:rsid w:val="00F84B3C"/>
    <w:rsid w:val="00FB48F6"/>
    <w:rsid w:val="00FC3C5A"/>
    <w:rsid w:val="00FD7FB7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AD8C8"/>
  <w15:docId w15:val="{616C138B-96AE-45FB-97BC-898E444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1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D7FB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4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4CC7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rsid w:val="007F00E4"/>
    <w:rPr>
      <w:rFonts w:cs="Times New Roman"/>
      <w:color w:val="605E5C"/>
      <w:shd w:val="clear" w:color="auto" w:fill="E1DFDD"/>
    </w:rPr>
  </w:style>
  <w:style w:type="paragraph" w:styleId="Nessunaspaziatura">
    <w:name w:val="No Spacing"/>
    <w:uiPriority w:val="99"/>
    <w:qFormat/>
    <w:rsid w:val="003351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ossa@vrelations.it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c.depaoli@vrelation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D55C-E98F-482A-967E-D2BA0C83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Cristina De Paoli</cp:lastModifiedBy>
  <cp:revision>25</cp:revision>
  <dcterms:created xsi:type="dcterms:W3CDTF">2019-07-03T12:54:00Z</dcterms:created>
  <dcterms:modified xsi:type="dcterms:W3CDTF">2019-07-10T10:17:00Z</dcterms:modified>
</cp:coreProperties>
</file>