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10D6" w14:textId="6A93B5BB" w:rsidR="008A3049" w:rsidRPr="007836FD" w:rsidRDefault="008A3049" w:rsidP="00FD1B13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14:paraId="51278D0C" w14:textId="77777777" w:rsidR="008A3049" w:rsidRPr="007836FD" w:rsidRDefault="008A3049" w:rsidP="00FD1B13">
      <w:pPr>
        <w:shd w:val="clear" w:color="auto" w:fill="FFFFFF"/>
        <w:spacing w:after="0" w:line="240" w:lineRule="auto"/>
        <w:jc w:val="center"/>
        <w:outlineLvl w:val="2"/>
        <w:rPr>
          <w:rFonts w:ascii="Arial" w:eastAsia="Batang" w:hAnsi="Arial" w:cs="Arial"/>
          <w:bCs/>
          <w:szCs w:val="24"/>
          <w:u w:val="single"/>
        </w:rPr>
      </w:pPr>
      <w:r w:rsidRPr="007836FD">
        <w:rPr>
          <w:rFonts w:ascii="Arial" w:eastAsia="Batang" w:hAnsi="Arial" w:cs="Arial"/>
          <w:bCs/>
          <w:szCs w:val="24"/>
          <w:u w:val="single"/>
        </w:rPr>
        <w:t>Comunicato stampa</w:t>
      </w:r>
    </w:p>
    <w:p w14:paraId="755AE856" w14:textId="3F600DE4" w:rsidR="008A3049" w:rsidRPr="007836FD" w:rsidRDefault="008A3049" w:rsidP="00FD1B13">
      <w:pPr>
        <w:shd w:val="clear" w:color="auto" w:fill="FFFFFF"/>
        <w:spacing w:after="0" w:line="240" w:lineRule="auto"/>
        <w:jc w:val="center"/>
        <w:outlineLvl w:val="2"/>
        <w:rPr>
          <w:rFonts w:ascii="Arial" w:eastAsia="Batang" w:hAnsi="Arial" w:cs="Arial"/>
          <w:bCs/>
          <w:szCs w:val="24"/>
          <w:u w:val="single"/>
        </w:rPr>
      </w:pPr>
    </w:p>
    <w:p w14:paraId="433AE59D" w14:textId="3239571B" w:rsidR="008A3049" w:rsidRDefault="007F58CA" w:rsidP="007F58CA">
      <w:pPr>
        <w:shd w:val="clear" w:color="auto" w:fill="FFFFFF"/>
        <w:spacing w:after="0" w:line="240" w:lineRule="auto"/>
        <w:jc w:val="center"/>
        <w:outlineLvl w:val="2"/>
        <w:rPr>
          <w:rFonts w:ascii="Arial" w:eastAsia="Batang" w:hAnsi="Arial" w:cs="Arial"/>
          <w:b/>
          <w:bCs/>
          <w:sz w:val="28"/>
          <w:szCs w:val="24"/>
        </w:rPr>
      </w:pPr>
      <w:r>
        <w:rPr>
          <w:rFonts w:ascii="Arial" w:eastAsia="Batang" w:hAnsi="Arial" w:cs="Arial"/>
          <w:b/>
          <w:bCs/>
          <w:sz w:val="28"/>
          <w:szCs w:val="24"/>
        </w:rPr>
        <w:t>Diarrea del viaggiatore: 5 regol</w:t>
      </w:r>
      <w:r w:rsidR="002C0430">
        <w:rPr>
          <w:rFonts w:ascii="Arial" w:eastAsia="Batang" w:hAnsi="Arial" w:cs="Arial"/>
          <w:b/>
          <w:bCs/>
          <w:sz w:val="28"/>
          <w:szCs w:val="24"/>
        </w:rPr>
        <w:t>e</w:t>
      </w:r>
      <w:r>
        <w:rPr>
          <w:rFonts w:ascii="Arial" w:eastAsia="Batang" w:hAnsi="Arial" w:cs="Arial"/>
          <w:b/>
          <w:bCs/>
          <w:sz w:val="28"/>
          <w:szCs w:val="24"/>
        </w:rPr>
        <w:t xml:space="preserve"> d’oro “salva vacanza”</w:t>
      </w:r>
    </w:p>
    <w:p w14:paraId="079D4E2B" w14:textId="4DF6A503" w:rsidR="00E545F6" w:rsidRDefault="00E545F6" w:rsidP="007F58CA">
      <w:pPr>
        <w:shd w:val="clear" w:color="auto" w:fill="FFFFFF"/>
        <w:spacing w:after="0" w:line="240" w:lineRule="auto"/>
        <w:jc w:val="center"/>
        <w:outlineLvl w:val="2"/>
        <w:rPr>
          <w:rFonts w:ascii="Arial" w:eastAsia="Batang" w:hAnsi="Arial" w:cs="Arial"/>
          <w:b/>
          <w:bCs/>
          <w:sz w:val="28"/>
          <w:szCs w:val="24"/>
        </w:rPr>
      </w:pPr>
    </w:p>
    <w:p w14:paraId="34B83C00" w14:textId="7E43F044" w:rsidR="0019126E" w:rsidRDefault="00BB50A9" w:rsidP="00FD1B13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 w:rsidRPr="007836FD">
        <w:rPr>
          <w:rFonts w:ascii="Arial" w:eastAsia="Batang" w:hAnsi="Arial" w:cs="Arial"/>
          <w:b/>
          <w:bCs/>
          <w:szCs w:val="24"/>
        </w:rPr>
        <w:t xml:space="preserve">Milano, </w:t>
      </w:r>
      <w:r w:rsidR="001D68D5">
        <w:rPr>
          <w:rFonts w:ascii="Arial" w:eastAsia="Batang" w:hAnsi="Arial" w:cs="Arial"/>
          <w:b/>
          <w:bCs/>
          <w:szCs w:val="24"/>
        </w:rPr>
        <w:t>10</w:t>
      </w:r>
      <w:bookmarkStart w:id="0" w:name="_GoBack"/>
      <w:bookmarkEnd w:id="0"/>
      <w:r w:rsidR="00636423">
        <w:rPr>
          <w:rFonts w:ascii="Arial" w:eastAsia="Batang" w:hAnsi="Arial" w:cs="Arial"/>
          <w:b/>
          <w:bCs/>
          <w:szCs w:val="24"/>
        </w:rPr>
        <w:t xml:space="preserve"> luglio</w:t>
      </w:r>
      <w:r w:rsidRPr="007836FD">
        <w:rPr>
          <w:rFonts w:ascii="Arial" w:eastAsia="Batang" w:hAnsi="Arial" w:cs="Arial"/>
          <w:b/>
          <w:bCs/>
          <w:szCs w:val="24"/>
        </w:rPr>
        <w:t xml:space="preserve"> 2019</w:t>
      </w:r>
      <w:r w:rsidRPr="007836FD">
        <w:rPr>
          <w:rFonts w:ascii="Arial" w:eastAsia="Batang" w:hAnsi="Arial" w:cs="Arial"/>
          <w:bCs/>
          <w:szCs w:val="24"/>
        </w:rPr>
        <w:t xml:space="preserve"> </w:t>
      </w:r>
      <w:r w:rsidR="00636423">
        <w:rPr>
          <w:rFonts w:ascii="Arial" w:eastAsia="Batang" w:hAnsi="Arial" w:cs="Arial"/>
          <w:bCs/>
          <w:szCs w:val="24"/>
        </w:rPr>
        <w:t>–</w:t>
      </w:r>
      <w:r w:rsidR="003722CF">
        <w:rPr>
          <w:rFonts w:ascii="Arial" w:eastAsia="Batang" w:hAnsi="Arial" w:cs="Arial"/>
          <w:bCs/>
          <w:szCs w:val="24"/>
        </w:rPr>
        <w:t xml:space="preserve"> </w:t>
      </w:r>
      <w:r w:rsidR="0019126E">
        <w:rPr>
          <w:rFonts w:ascii="Arial" w:eastAsia="Batang" w:hAnsi="Arial" w:cs="Arial"/>
          <w:bCs/>
          <w:szCs w:val="24"/>
        </w:rPr>
        <w:t>Estate, tempo di relax e viaggi</w:t>
      </w:r>
      <w:r w:rsidR="00401943">
        <w:rPr>
          <w:rFonts w:ascii="Arial" w:eastAsia="Batang" w:hAnsi="Arial" w:cs="Arial"/>
          <w:bCs/>
          <w:szCs w:val="24"/>
        </w:rPr>
        <w:t>, ma l’imprevisto è dietro l’angolo</w:t>
      </w:r>
      <w:r w:rsidR="0019126E">
        <w:rPr>
          <w:rFonts w:ascii="Arial" w:eastAsia="Batang" w:hAnsi="Arial" w:cs="Arial"/>
          <w:bCs/>
          <w:szCs w:val="24"/>
        </w:rPr>
        <w:t>.</w:t>
      </w:r>
      <w:r w:rsidR="00186079">
        <w:rPr>
          <w:rFonts w:ascii="Arial" w:eastAsia="Batang" w:hAnsi="Arial" w:cs="Arial"/>
          <w:bCs/>
          <w:szCs w:val="24"/>
        </w:rPr>
        <w:t xml:space="preserve"> </w:t>
      </w:r>
      <w:r w:rsidR="00401943">
        <w:rPr>
          <w:rFonts w:ascii="Arial" w:eastAsia="Batang" w:hAnsi="Arial" w:cs="Arial"/>
          <w:bCs/>
          <w:szCs w:val="24"/>
        </w:rPr>
        <w:t>S</w:t>
      </w:r>
      <w:r w:rsidR="0019126E">
        <w:rPr>
          <w:rFonts w:ascii="Arial" w:eastAsia="Batang" w:hAnsi="Arial" w:cs="Arial"/>
          <w:bCs/>
          <w:szCs w:val="24"/>
        </w:rPr>
        <w:t>e la meta è una l</w:t>
      </w:r>
      <w:r w:rsidR="009D7EA0">
        <w:rPr>
          <w:rFonts w:ascii="Arial" w:eastAsia="Batang" w:hAnsi="Arial" w:cs="Arial"/>
          <w:bCs/>
          <w:szCs w:val="24"/>
        </w:rPr>
        <w:t>ocalità</w:t>
      </w:r>
      <w:r w:rsidR="00091E8D">
        <w:rPr>
          <w:rFonts w:ascii="Arial" w:eastAsia="Batang" w:hAnsi="Arial" w:cs="Arial"/>
          <w:bCs/>
          <w:szCs w:val="24"/>
        </w:rPr>
        <w:t xml:space="preserve"> esotica, meglio prestare attenzione per evitare un disturbo tanto diffuso quanto insidioso, </w:t>
      </w:r>
      <w:r w:rsidR="00DD16ED">
        <w:rPr>
          <w:rFonts w:ascii="Arial" w:eastAsia="Batang" w:hAnsi="Arial" w:cs="Arial"/>
          <w:bCs/>
          <w:szCs w:val="24"/>
        </w:rPr>
        <w:t>che potrebbe</w:t>
      </w:r>
      <w:r w:rsidR="00091E8D">
        <w:rPr>
          <w:rFonts w:ascii="Arial" w:eastAsia="Batang" w:hAnsi="Arial" w:cs="Arial"/>
          <w:bCs/>
          <w:szCs w:val="24"/>
        </w:rPr>
        <w:t xml:space="preserve"> rovinare</w:t>
      </w:r>
      <w:r w:rsidR="00401943">
        <w:rPr>
          <w:rFonts w:ascii="Arial" w:eastAsia="Batang" w:hAnsi="Arial" w:cs="Arial"/>
          <w:bCs/>
          <w:szCs w:val="24"/>
        </w:rPr>
        <w:t xml:space="preserve"> la vacanza</w:t>
      </w:r>
      <w:r w:rsidR="00091E8D">
        <w:rPr>
          <w:rFonts w:ascii="Arial" w:eastAsia="Batang" w:hAnsi="Arial" w:cs="Arial"/>
          <w:bCs/>
          <w:szCs w:val="24"/>
        </w:rPr>
        <w:t xml:space="preserve">: la </w:t>
      </w:r>
      <w:r w:rsidR="00091E8D" w:rsidRPr="00186079">
        <w:rPr>
          <w:rFonts w:ascii="Arial" w:eastAsia="Batang" w:hAnsi="Arial" w:cs="Arial"/>
          <w:b/>
          <w:szCs w:val="24"/>
        </w:rPr>
        <w:t>diarrea del viaggiatore</w:t>
      </w:r>
      <w:r w:rsidR="00091E8D">
        <w:rPr>
          <w:rFonts w:ascii="Arial" w:eastAsia="Batang" w:hAnsi="Arial" w:cs="Arial"/>
          <w:bCs/>
          <w:szCs w:val="24"/>
        </w:rPr>
        <w:t xml:space="preserve">, </w:t>
      </w:r>
      <w:r w:rsidR="00091E8D" w:rsidRPr="00FF4873">
        <w:rPr>
          <w:rFonts w:ascii="Arial" w:eastAsia="Batang" w:hAnsi="Arial" w:cs="Arial"/>
          <w:b/>
          <w:szCs w:val="24"/>
        </w:rPr>
        <w:t>una forma di enterite o gastroenterite che colpisce chi soggiorna in Paesi che presentano scarse condizioni igienico-sanitarie</w:t>
      </w:r>
      <w:r w:rsidR="00091E8D">
        <w:rPr>
          <w:rFonts w:ascii="Arial" w:eastAsia="Batang" w:hAnsi="Arial" w:cs="Arial"/>
          <w:bCs/>
          <w:szCs w:val="24"/>
        </w:rPr>
        <w:t xml:space="preserve"> o sono legati a situazioni di </w:t>
      </w:r>
      <w:r w:rsidR="00091E8D" w:rsidRPr="00186079">
        <w:rPr>
          <w:rFonts w:ascii="Arial" w:eastAsia="Batang" w:hAnsi="Arial" w:cs="Arial"/>
          <w:bCs/>
          <w:szCs w:val="24"/>
        </w:rPr>
        <w:t>infettività maggiori di alcuni microrganismi rispetto ad altri.</w:t>
      </w:r>
      <w:r w:rsidR="00091E8D">
        <w:rPr>
          <w:rFonts w:ascii="Arial" w:eastAsia="Batang" w:hAnsi="Arial" w:cs="Arial"/>
          <w:bCs/>
          <w:szCs w:val="24"/>
        </w:rPr>
        <w:t xml:space="preserve"> </w:t>
      </w:r>
    </w:p>
    <w:p w14:paraId="65559CD9" w14:textId="54E372CE" w:rsidR="00575DE4" w:rsidRDefault="00091E8D" w:rsidP="00FD1B13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>
        <w:rPr>
          <w:rFonts w:ascii="Arial" w:eastAsia="Batang" w:hAnsi="Arial" w:cs="Arial"/>
          <w:bCs/>
          <w:szCs w:val="24"/>
        </w:rPr>
        <w:t xml:space="preserve">Le </w:t>
      </w:r>
      <w:r w:rsidRPr="00FF4873">
        <w:rPr>
          <w:rFonts w:ascii="Arial" w:eastAsia="Batang" w:hAnsi="Arial" w:cs="Arial"/>
          <w:b/>
          <w:szCs w:val="24"/>
        </w:rPr>
        <w:t>zone più a rischio</w:t>
      </w:r>
      <w:r>
        <w:rPr>
          <w:rFonts w:ascii="Arial" w:eastAsia="Batang" w:hAnsi="Arial" w:cs="Arial"/>
          <w:bCs/>
          <w:szCs w:val="24"/>
        </w:rPr>
        <w:t xml:space="preserve"> sono il </w:t>
      </w:r>
      <w:r w:rsidRPr="00FF4873">
        <w:rPr>
          <w:rFonts w:ascii="Arial" w:eastAsia="Batang" w:hAnsi="Arial" w:cs="Arial"/>
          <w:bCs/>
          <w:szCs w:val="24"/>
        </w:rPr>
        <w:t>Centro Africa</w:t>
      </w:r>
      <w:r>
        <w:rPr>
          <w:rFonts w:ascii="Arial" w:eastAsia="Batang" w:hAnsi="Arial" w:cs="Arial"/>
          <w:bCs/>
          <w:szCs w:val="24"/>
        </w:rPr>
        <w:t xml:space="preserve">, il Kenya, l’Uganda, la regione atlantica del continente africano – come la Costa d’Avorio – l’area mediterranea verso il Medio Oriente e il Sud-Est asiatico. </w:t>
      </w:r>
    </w:p>
    <w:p w14:paraId="32E977C6" w14:textId="41A4A39F" w:rsidR="009D7EA0" w:rsidRDefault="009D7EA0" w:rsidP="00FD1B13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128C7D2E" w14:textId="2F39F0AA" w:rsidR="00EA18E2" w:rsidRDefault="00855805" w:rsidP="00FD1B13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 w:rsidRPr="00FF4873">
        <w:rPr>
          <w:rFonts w:ascii="Arial" w:eastAsia="Batang" w:hAnsi="Arial" w:cs="Arial"/>
          <w:b/>
          <w:szCs w:val="24"/>
        </w:rPr>
        <w:t>Causato da un’infezione di germi patogeni</w:t>
      </w:r>
      <w:r>
        <w:rPr>
          <w:rFonts w:ascii="Arial" w:eastAsia="Batang" w:hAnsi="Arial" w:cs="Arial"/>
          <w:bCs/>
          <w:szCs w:val="24"/>
        </w:rPr>
        <w:t xml:space="preserve">, appartenenti a </w:t>
      </w:r>
      <w:r w:rsidRPr="00FF4873">
        <w:rPr>
          <w:rFonts w:ascii="Arial" w:eastAsia="Batang" w:hAnsi="Arial" w:cs="Arial"/>
          <w:b/>
          <w:szCs w:val="24"/>
        </w:rPr>
        <w:t>batteri</w:t>
      </w:r>
      <w:r>
        <w:rPr>
          <w:rFonts w:ascii="Arial" w:eastAsia="Batang" w:hAnsi="Arial" w:cs="Arial"/>
          <w:bCs/>
          <w:szCs w:val="24"/>
        </w:rPr>
        <w:t xml:space="preserve"> – in primis </w:t>
      </w:r>
      <w:r w:rsidRPr="00855805">
        <w:rPr>
          <w:rFonts w:ascii="Arial" w:eastAsia="Batang" w:hAnsi="Arial" w:cs="Arial"/>
          <w:bCs/>
          <w:szCs w:val="24"/>
        </w:rPr>
        <w:t>l’Escherichia Coli e gli Stafilococchi</w:t>
      </w:r>
      <w:r>
        <w:rPr>
          <w:rFonts w:ascii="Arial" w:eastAsia="Batang" w:hAnsi="Arial" w:cs="Arial"/>
          <w:bCs/>
          <w:szCs w:val="24"/>
        </w:rPr>
        <w:t xml:space="preserve"> – </w:t>
      </w:r>
      <w:r w:rsidRPr="00FF4873">
        <w:rPr>
          <w:rFonts w:ascii="Arial" w:eastAsia="Batang" w:hAnsi="Arial" w:cs="Arial"/>
          <w:b/>
          <w:szCs w:val="24"/>
        </w:rPr>
        <w:t>virus</w:t>
      </w:r>
      <w:r>
        <w:rPr>
          <w:rFonts w:ascii="Arial" w:eastAsia="Batang" w:hAnsi="Arial" w:cs="Arial"/>
          <w:bCs/>
          <w:szCs w:val="24"/>
        </w:rPr>
        <w:t xml:space="preserve"> e </w:t>
      </w:r>
      <w:r w:rsidRPr="00FF4873">
        <w:rPr>
          <w:rFonts w:ascii="Arial" w:eastAsia="Batang" w:hAnsi="Arial" w:cs="Arial"/>
          <w:b/>
          <w:szCs w:val="24"/>
        </w:rPr>
        <w:t>protozoi</w:t>
      </w:r>
      <w:r>
        <w:rPr>
          <w:rFonts w:ascii="Arial" w:eastAsia="Batang" w:hAnsi="Arial" w:cs="Arial"/>
          <w:bCs/>
          <w:szCs w:val="24"/>
        </w:rPr>
        <w:t>, il disturbo si manifesta con un’</w:t>
      </w:r>
      <w:r w:rsidRPr="00FF4873">
        <w:rPr>
          <w:rFonts w:ascii="Arial" w:eastAsia="Batang" w:hAnsi="Arial" w:cs="Arial"/>
          <w:b/>
          <w:szCs w:val="24"/>
        </w:rPr>
        <w:t>eccessiva scarica diarroica</w:t>
      </w:r>
      <w:r>
        <w:rPr>
          <w:rFonts w:ascii="Arial" w:eastAsia="Batang" w:hAnsi="Arial" w:cs="Arial"/>
          <w:bCs/>
          <w:szCs w:val="24"/>
        </w:rPr>
        <w:t xml:space="preserve">, che determina una </w:t>
      </w:r>
      <w:r w:rsidRPr="00FF4873">
        <w:rPr>
          <w:rFonts w:ascii="Arial" w:eastAsia="Batang" w:hAnsi="Arial" w:cs="Arial"/>
          <w:b/>
          <w:szCs w:val="24"/>
        </w:rPr>
        <w:t>perdita</w:t>
      </w:r>
      <w:r w:rsidR="00EA18E2" w:rsidRPr="00FF4873">
        <w:rPr>
          <w:rFonts w:ascii="Arial" w:eastAsia="Batang" w:hAnsi="Arial" w:cs="Arial"/>
          <w:b/>
          <w:szCs w:val="24"/>
        </w:rPr>
        <w:t xml:space="preserve"> </w:t>
      </w:r>
      <w:r w:rsidRPr="00FF4873">
        <w:rPr>
          <w:rFonts w:ascii="Arial" w:eastAsia="Batang" w:hAnsi="Arial" w:cs="Arial"/>
          <w:b/>
          <w:szCs w:val="24"/>
        </w:rPr>
        <w:t>di liquidi ed elettrolit</w:t>
      </w:r>
      <w:r>
        <w:rPr>
          <w:rFonts w:ascii="Arial" w:eastAsia="Batang" w:hAnsi="Arial" w:cs="Arial"/>
          <w:bCs/>
          <w:szCs w:val="24"/>
        </w:rPr>
        <w:t>i (quali sodio, potassio, calcio, magnesio e altri minerali presenti nei liquidi dell’organismo).</w:t>
      </w:r>
      <w:r w:rsidR="00EA18E2">
        <w:rPr>
          <w:rFonts w:ascii="Arial" w:eastAsia="Batang" w:hAnsi="Arial" w:cs="Arial"/>
          <w:bCs/>
          <w:szCs w:val="24"/>
        </w:rPr>
        <w:t xml:space="preserve"> Per questo motivo, è </w:t>
      </w:r>
      <w:r w:rsidR="007D0327">
        <w:rPr>
          <w:rFonts w:ascii="Arial" w:eastAsia="Batang" w:hAnsi="Arial" w:cs="Arial"/>
          <w:bCs/>
          <w:szCs w:val="24"/>
        </w:rPr>
        <w:t>fondamentale</w:t>
      </w:r>
      <w:r w:rsidR="00EA18E2">
        <w:rPr>
          <w:rFonts w:ascii="Arial" w:eastAsia="Batang" w:hAnsi="Arial" w:cs="Arial"/>
          <w:bCs/>
          <w:szCs w:val="24"/>
        </w:rPr>
        <w:t xml:space="preserve"> procedere quanto prima a </w:t>
      </w:r>
      <w:r w:rsidR="00EA18E2" w:rsidRPr="00FF4873">
        <w:rPr>
          <w:rFonts w:ascii="Arial" w:eastAsia="Batang" w:hAnsi="Arial" w:cs="Arial"/>
          <w:b/>
          <w:szCs w:val="24"/>
        </w:rPr>
        <w:t>un’adeguata reidratazione</w:t>
      </w:r>
      <w:r w:rsidR="00EA18E2">
        <w:rPr>
          <w:rFonts w:ascii="Arial" w:eastAsia="Batang" w:hAnsi="Arial" w:cs="Arial"/>
          <w:bCs/>
          <w:szCs w:val="24"/>
        </w:rPr>
        <w:t>: un rimedio valido per gli adulti e ancor più nei bambini, considerando che un’eccessiva disidratazione può risultare pericolosa per i più piccoli.</w:t>
      </w:r>
    </w:p>
    <w:p w14:paraId="222D25CE" w14:textId="391003C3" w:rsidR="00EA18E2" w:rsidRDefault="00EA18E2" w:rsidP="00FD1B13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705CD0F9" w14:textId="3BE4BA33" w:rsidR="007D0327" w:rsidRDefault="00803662" w:rsidP="00FD1B13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>
        <w:rPr>
          <w:rFonts w:ascii="Arial" w:eastAsia="Batang" w:hAnsi="Arial" w:cs="Arial"/>
          <w:bCs/>
          <w:szCs w:val="24"/>
        </w:rPr>
        <w:t>Cosa fare, quindi, per limitare il rischio di contrarre la diarrea del viaggiatore</w:t>
      </w:r>
      <w:r w:rsidR="007D0327">
        <w:rPr>
          <w:rFonts w:ascii="Arial" w:eastAsia="Batang" w:hAnsi="Arial" w:cs="Arial"/>
          <w:bCs/>
          <w:szCs w:val="24"/>
        </w:rPr>
        <w:t xml:space="preserve">? </w:t>
      </w:r>
      <w:r w:rsidR="007D0327" w:rsidRPr="00FF4873">
        <w:rPr>
          <w:rFonts w:ascii="Arial" w:eastAsia="Batang" w:hAnsi="Arial" w:cs="Arial"/>
          <w:b/>
          <w:szCs w:val="24"/>
        </w:rPr>
        <w:t>Quali regole seguire per non rovinar</w:t>
      </w:r>
      <w:r w:rsidR="00950261">
        <w:rPr>
          <w:rFonts w:ascii="Arial" w:eastAsia="Batang" w:hAnsi="Arial" w:cs="Arial"/>
          <w:b/>
          <w:szCs w:val="24"/>
        </w:rPr>
        <w:t>si</w:t>
      </w:r>
      <w:r w:rsidR="007D0327" w:rsidRPr="00FF4873">
        <w:rPr>
          <w:rFonts w:ascii="Arial" w:eastAsia="Batang" w:hAnsi="Arial" w:cs="Arial"/>
          <w:b/>
          <w:szCs w:val="24"/>
        </w:rPr>
        <w:t xml:space="preserve"> la vacanza</w:t>
      </w:r>
      <w:r w:rsidR="007D0327">
        <w:rPr>
          <w:rFonts w:ascii="Arial" w:eastAsia="Batang" w:hAnsi="Arial" w:cs="Arial"/>
          <w:bCs/>
          <w:szCs w:val="24"/>
        </w:rPr>
        <w:t>?</w:t>
      </w:r>
    </w:p>
    <w:p w14:paraId="10EC4C95" w14:textId="5442B4EA" w:rsidR="00397D55" w:rsidRDefault="00397D55" w:rsidP="00FD1B13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1E23451C" w14:textId="509E41CE" w:rsidR="00397D55" w:rsidRDefault="00397D55" w:rsidP="00397D55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>
        <w:rPr>
          <w:rFonts w:ascii="Arial" w:eastAsia="Batang" w:hAnsi="Arial" w:cs="Arial"/>
          <w:bCs/>
          <w:szCs w:val="24"/>
        </w:rPr>
        <w:t xml:space="preserve">Iniziare una </w:t>
      </w:r>
      <w:r w:rsidRPr="00FF4873">
        <w:rPr>
          <w:rFonts w:ascii="Arial" w:eastAsia="Batang" w:hAnsi="Arial" w:cs="Arial"/>
          <w:b/>
          <w:szCs w:val="24"/>
        </w:rPr>
        <w:t>terapia con probiotici</w:t>
      </w:r>
      <w:r>
        <w:rPr>
          <w:rFonts w:ascii="Arial" w:eastAsia="Batang" w:hAnsi="Arial" w:cs="Arial"/>
          <w:bCs/>
          <w:szCs w:val="24"/>
        </w:rPr>
        <w:t xml:space="preserve"> prima della partenza e continuarla per tutta la durata della permanenza in Paesi a rischio.</w:t>
      </w:r>
    </w:p>
    <w:p w14:paraId="262509C5" w14:textId="2D716FC8" w:rsidR="00397D55" w:rsidRDefault="00397D55" w:rsidP="00397D55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 w:rsidRPr="00FF4873">
        <w:rPr>
          <w:rFonts w:ascii="Arial" w:eastAsia="Batang" w:hAnsi="Arial" w:cs="Arial"/>
          <w:b/>
          <w:szCs w:val="24"/>
        </w:rPr>
        <w:t>Scegliere con cura il luogo di villeggiatura</w:t>
      </w:r>
      <w:r>
        <w:rPr>
          <w:rFonts w:ascii="Arial" w:eastAsia="Batang" w:hAnsi="Arial" w:cs="Arial"/>
          <w:bCs/>
          <w:szCs w:val="24"/>
        </w:rPr>
        <w:t xml:space="preserve"> e </w:t>
      </w:r>
      <w:r w:rsidRPr="00FF4873">
        <w:rPr>
          <w:rFonts w:ascii="Arial" w:eastAsia="Batang" w:hAnsi="Arial" w:cs="Arial"/>
          <w:b/>
          <w:szCs w:val="24"/>
        </w:rPr>
        <w:t>valutare</w:t>
      </w:r>
      <w:r>
        <w:rPr>
          <w:rFonts w:ascii="Arial" w:eastAsia="Batang" w:hAnsi="Arial" w:cs="Arial"/>
          <w:bCs/>
          <w:szCs w:val="24"/>
        </w:rPr>
        <w:t xml:space="preserve"> accuratamente le </w:t>
      </w:r>
      <w:r w:rsidRPr="00FF4873">
        <w:rPr>
          <w:rFonts w:ascii="Arial" w:eastAsia="Batang" w:hAnsi="Arial" w:cs="Arial"/>
          <w:b/>
          <w:szCs w:val="24"/>
        </w:rPr>
        <w:t>condizioni igieniche</w:t>
      </w:r>
      <w:r>
        <w:rPr>
          <w:rFonts w:ascii="Arial" w:eastAsia="Batang" w:hAnsi="Arial" w:cs="Arial"/>
          <w:bCs/>
          <w:szCs w:val="24"/>
        </w:rPr>
        <w:t xml:space="preserve"> dell’ambiente in cui si andrà a soggiornare.</w:t>
      </w:r>
    </w:p>
    <w:p w14:paraId="73DA1C6D" w14:textId="7F104366" w:rsidR="00397D55" w:rsidRDefault="00397D55" w:rsidP="00397D55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 w:rsidRPr="00FF4873">
        <w:rPr>
          <w:rFonts w:ascii="Arial" w:eastAsia="Batang" w:hAnsi="Arial" w:cs="Arial"/>
          <w:b/>
          <w:szCs w:val="24"/>
        </w:rPr>
        <w:t>Disinfettare i cibi</w:t>
      </w:r>
      <w:r>
        <w:rPr>
          <w:rFonts w:ascii="Arial" w:eastAsia="Batang" w:hAnsi="Arial" w:cs="Arial"/>
          <w:bCs/>
          <w:szCs w:val="24"/>
        </w:rPr>
        <w:t xml:space="preserve"> con presidi igienico-sanitari e </w:t>
      </w:r>
      <w:r w:rsidRPr="00FF4873">
        <w:rPr>
          <w:rFonts w:ascii="Arial" w:eastAsia="Batang" w:hAnsi="Arial" w:cs="Arial"/>
          <w:b/>
          <w:szCs w:val="24"/>
        </w:rPr>
        <w:t>lavarsi bene le mani</w:t>
      </w:r>
      <w:r>
        <w:rPr>
          <w:rFonts w:ascii="Arial" w:eastAsia="Batang" w:hAnsi="Arial" w:cs="Arial"/>
          <w:bCs/>
          <w:szCs w:val="24"/>
        </w:rPr>
        <w:t>.</w:t>
      </w:r>
    </w:p>
    <w:p w14:paraId="619FF1DE" w14:textId="1379249A" w:rsidR="007D0327" w:rsidRDefault="00397D55" w:rsidP="009233BC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 w:rsidRPr="00FF4873">
        <w:rPr>
          <w:rFonts w:ascii="Arial" w:eastAsia="Batang" w:hAnsi="Arial" w:cs="Arial"/>
          <w:b/>
          <w:szCs w:val="24"/>
        </w:rPr>
        <w:t>Assicurarsi di assumere acqua da bottiglie sigillate</w:t>
      </w:r>
      <w:r w:rsidRPr="00397D55">
        <w:rPr>
          <w:rFonts w:ascii="Arial" w:eastAsia="Batang" w:hAnsi="Arial" w:cs="Arial"/>
          <w:bCs/>
          <w:szCs w:val="24"/>
        </w:rPr>
        <w:t xml:space="preserve"> e </w:t>
      </w:r>
      <w:r w:rsidRPr="00FF4873">
        <w:rPr>
          <w:rFonts w:ascii="Arial" w:eastAsia="Batang" w:hAnsi="Arial" w:cs="Arial"/>
          <w:b/>
          <w:szCs w:val="24"/>
        </w:rPr>
        <w:t>non bere acqua corrente</w:t>
      </w:r>
      <w:r>
        <w:rPr>
          <w:rFonts w:ascii="Arial" w:eastAsia="Batang" w:hAnsi="Arial" w:cs="Arial"/>
          <w:bCs/>
          <w:szCs w:val="24"/>
        </w:rPr>
        <w:t>, di cui non si conosce il grado di potabilità.</w:t>
      </w:r>
    </w:p>
    <w:p w14:paraId="2BA65CF9" w14:textId="618A36A6" w:rsidR="004D5180" w:rsidRDefault="00397D55" w:rsidP="004D5180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 w:rsidRPr="00FF4873">
        <w:rPr>
          <w:rFonts w:ascii="Arial" w:eastAsia="Batang" w:hAnsi="Arial" w:cs="Arial"/>
          <w:b/>
          <w:szCs w:val="24"/>
        </w:rPr>
        <w:t xml:space="preserve">All’aggravarsi dei sintomi </w:t>
      </w:r>
      <w:r w:rsidR="007D0327" w:rsidRPr="00FF4873">
        <w:rPr>
          <w:rFonts w:ascii="Arial" w:eastAsia="Batang" w:hAnsi="Arial" w:cs="Arial"/>
          <w:b/>
          <w:szCs w:val="24"/>
        </w:rPr>
        <w:t>rivolgersi a un medico</w:t>
      </w:r>
      <w:r w:rsidR="007D0327" w:rsidRPr="00397D55">
        <w:rPr>
          <w:rFonts w:ascii="Arial" w:eastAsia="Batang" w:hAnsi="Arial" w:cs="Arial"/>
          <w:bCs/>
          <w:szCs w:val="24"/>
        </w:rPr>
        <w:t xml:space="preserve"> al fine di prevenire eventuali patologie che potrebbero peggiorare e creare uno stato di allerta, soprattutto quando si è in un Paese straniero.</w:t>
      </w:r>
    </w:p>
    <w:p w14:paraId="1CB1093F" w14:textId="77777777" w:rsidR="002E56A1" w:rsidRDefault="002E56A1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17086557" w14:textId="19DEE627" w:rsidR="00DD16ED" w:rsidRDefault="00146166" w:rsidP="00DD16ED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>
        <w:rPr>
          <w:rFonts w:ascii="Arial" w:eastAsia="Batang" w:hAnsi="Arial" w:cs="Arial"/>
          <w:bCs/>
          <w:szCs w:val="24"/>
        </w:rPr>
        <w:t>Per contrastare la gastroenterite, o</w:t>
      </w:r>
      <w:r w:rsidR="004D5180" w:rsidRPr="00146166">
        <w:rPr>
          <w:rFonts w:ascii="Arial" w:eastAsia="Batang" w:hAnsi="Arial" w:cs="Arial"/>
          <w:bCs/>
          <w:szCs w:val="24"/>
        </w:rPr>
        <w:t xml:space="preserve">ltre all’utilizzo di farmaci sintomatici e antibiotici ad ampio spettro a carico dell’apparato digerente, in grado di agire sui microrganismi patogeni, </w:t>
      </w:r>
      <w:r w:rsidR="00DD16ED">
        <w:rPr>
          <w:rFonts w:ascii="Arial" w:eastAsia="Batang" w:hAnsi="Arial" w:cs="Arial"/>
          <w:bCs/>
          <w:szCs w:val="24"/>
        </w:rPr>
        <w:t xml:space="preserve">un valido aiuto arriva anche dai probiotici che se assunti in quantità adeguate, </w:t>
      </w:r>
      <w:r>
        <w:rPr>
          <w:rFonts w:ascii="Arial" w:eastAsia="Batang" w:hAnsi="Arial" w:cs="Arial"/>
          <w:bCs/>
          <w:szCs w:val="24"/>
        </w:rPr>
        <w:t xml:space="preserve">si rivelano utili anche </w:t>
      </w:r>
      <w:r w:rsidR="00DD16ED">
        <w:rPr>
          <w:rFonts w:ascii="Arial" w:eastAsia="Batang" w:hAnsi="Arial" w:cs="Arial"/>
          <w:bCs/>
          <w:szCs w:val="24"/>
        </w:rPr>
        <w:t xml:space="preserve">per </w:t>
      </w:r>
      <w:r>
        <w:rPr>
          <w:rFonts w:ascii="Arial" w:eastAsia="Batang" w:hAnsi="Arial" w:cs="Arial"/>
          <w:bCs/>
          <w:szCs w:val="24"/>
        </w:rPr>
        <w:t>preparare il microbiota intestinale</w:t>
      </w:r>
      <w:r w:rsidR="00DD16ED">
        <w:rPr>
          <w:rFonts w:ascii="Arial" w:eastAsia="Batang" w:hAnsi="Arial" w:cs="Arial"/>
          <w:bCs/>
          <w:szCs w:val="24"/>
        </w:rPr>
        <w:t xml:space="preserve"> al fine di frenare l’insorgenza di ceppi “cattivi”.</w:t>
      </w:r>
    </w:p>
    <w:p w14:paraId="173024E3" w14:textId="77777777" w:rsidR="00DD16ED" w:rsidRDefault="00DD16ED" w:rsidP="00DD16ED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1ECFDA09" w14:textId="16F8A7BD" w:rsidR="00146166" w:rsidRDefault="00146166" w:rsidP="00146166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i/>
          <w:iCs/>
        </w:rPr>
      </w:pPr>
      <w:r>
        <w:rPr>
          <w:rFonts w:ascii="Arial" w:eastAsia="Batang" w:hAnsi="Arial" w:cs="Arial"/>
          <w:bCs/>
          <w:szCs w:val="24"/>
        </w:rPr>
        <w:t>“</w:t>
      </w:r>
      <w:r w:rsidRPr="00C93CDE">
        <w:rPr>
          <w:rFonts w:ascii="Arial" w:eastAsia="Batang" w:hAnsi="Arial" w:cs="Arial"/>
          <w:bCs/>
          <w:i/>
          <w:iCs/>
          <w:szCs w:val="24"/>
        </w:rPr>
        <w:t>E</w:t>
      </w:r>
      <w:r>
        <w:rPr>
          <w:rFonts w:ascii="Arial" w:eastAsia="Batang" w:hAnsi="Arial" w:cs="Arial"/>
          <w:bCs/>
          <w:i/>
          <w:iCs/>
          <w:szCs w:val="24"/>
        </w:rPr>
        <w:t xml:space="preserve">sistono associazioni di ceppi di lactobacilli dall’azione sinergica ed efficace, in grado di andare a ripopolare quelle carenze che si verificano a seguito di </w:t>
      </w:r>
      <w:r w:rsidRPr="00C537DB">
        <w:rPr>
          <w:rFonts w:ascii="Arial" w:eastAsia="Batang" w:hAnsi="Arial" w:cs="Arial"/>
          <w:bCs/>
          <w:i/>
          <w:iCs/>
        </w:rPr>
        <w:t xml:space="preserve">una diarrea acuta. Il pool di </w:t>
      </w:r>
      <w:r w:rsidRPr="00C537DB">
        <w:rPr>
          <w:rFonts w:ascii="Arial" w:hAnsi="Arial" w:cs="Arial"/>
          <w:i/>
        </w:rPr>
        <w:t xml:space="preserve">Lactobacillus plantarum LP01, Lactobacillus delbrueckii LDD01 e Lactococcus lactis subsp. cremoris LLC02 </w:t>
      </w:r>
      <w:r>
        <w:rPr>
          <w:rFonts w:ascii="Arial" w:hAnsi="Arial" w:cs="Arial"/>
          <w:i/>
        </w:rPr>
        <w:t xml:space="preserve">consente di riequilibrare la flora batterica del colon, inibendo la crescita delle specie patogene e prevenendo la comparsa di infezioni gastrointestinali. In particolare, insieme al </w:t>
      </w:r>
      <w:r w:rsidRPr="00C537DB">
        <w:rPr>
          <w:rFonts w:ascii="Arial" w:eastAsia="Batang" w:hAnsi="Arial" w:cs="Arial"/>
          <w:bCs/>
          <w:i/>
          <w:iCs/>
        </w:rPr>
        <w:t>Lactobacillus plantarum, il Lactobacillus delbrueckii LDD01 è in grado di inibire in maniera specifica 4 tra i più comuni ceppi di Escherichia coli</w:t>
      </w:r>
      <w:r w:rsidR="00DD16ED">
        <w:rPr>
          <w:rFonts w:ascii="Arial" w:eastAsia="Batang" w:hAnsi="Arial" w:cs="Arial"/>
          <w:bCs/>
          <w:i/>
          <w:iCs/>
        </w:rPr>
        <w:t xml:space="preserve">”, </w:t>
      </w:r>
      <w:r w:rsidR="00DD16ED" w:rsidRPr="00DD16ED">
        <w:rPr>
          <w:rFonts w:ascii="Arial" w:eastAsia="Batang" w:hAnsi="Arial" w:cs="Arial"/>
          <w:bCs/>
        </w:rPr>
        <w:t xml:space="preserve">afferma il </w:t>
      </w:r>
      <w:r w:rsidR="00DD16ED">
        <w:rPr>
          <w:rFonts w:ascii="Arial" w:eastAsia="Batang" w:hAnsi="Arial" w:cs="Arial"/>
          <w:b/>
        </w:rPr>
        <w:t>p</w:t>
      </w:r>
      <w:r w:rsidRPr="00DD16ED">
        <w:rPr>
          <w:rFonts w:ascii="Arial" w:eastAsia="Batang" w:hAnsi="Arial" w:cs="Arial"/>
          <w:b/>
          <w:szCs w:val="24"/>
        </w:rPr>
        <w:t>rofessor</w:t>
      </w:r>
      <w:r w:rsidRPr="00D45D3D">
        <w:rPr>
          <w:rFonts w:ascii="Arial" w:eastAsia="Batang" w:hAnsi="Arial" w:cs="Arial"/>
          <w:b/>
          <w:szCs w:val="24"/>
        </w:rPr>
        <w:t xml:space="preserve"> Emanuele Salvatore Aragona, Responsabile Centro di Medicina Rigenerativa, Istituto Clinico Humanitas Mater Domini di Castellanza</w:t>
      </w:r>
      <w:r>
        <w:rPr>
          <w:rFonts w:ascii="Arial" w:eastAsia="Batang" w:hAnsi="Arial" w:cs="Arial"/>
          <w:bCs/>
          <w:szCs w:val="24"/>
        </w:rPr>
        <w:t xml:space="preserve"> </w:t>
      </w:r>
      <w:r w:rsidRPr="00DD16ED">
        <w:rPr>
          <w:rFonts w:ascii="Arial" w:eastAsia="Batang" w:hAnsi="Arial" w:cs="Arial"/>
          <w:b/>
          <w:szCs w:val="24"/>
        </w:rPr>
        <w:t>(VA).</w:t>
      </w:r>
      <w:r>
        <w:rPr>
          <w:rFonts w:ascii="Arial" w:eastAsia="Batang" w:hAnsi="Arial" w:cs="Arial"/>
          <w:bCs/>
          <w:szCs w:val="24"/>
        </w:rPr>
        <w:t xml:space="preserve"> </w:t>
      </w:r>
      <w:r w:rsidR="00DD16ED" w:rsidRPr="00DD16ED">
        <w:rPr>
          <w:rFonts w:ascii="Arial" w:eastAsia="Batang" w:hAnsi="Arial" w:cs="Arial"/>
          <w:bCs/>
          <w:i/>
          <w:iCs/>
          <w:szCs w:val="24"/>
        </w:rPr>
        <w:t>“</w:t>
      </w:r>
      <w:r>
        <w:rPr>
          <w:rFonts w:ascii="Arial" w:eastAsia="Batang" w:hAnsi="Arial" w:cs="Arial"/>
          <w:bCs/>
          <w:i/>
          <w:iCs/>
        </w:rPr>
        <w:t xml:space="preserve">Per i bambini, invece, un valido alleato per prevenire e contrastare la diarrea del viaggiatore è rappresentata dall’associazione dei 2 ceppi batterici più studiati in pediatria: </w:t>
      </w:r>
      <w:r w:rsidRPr="00C537DB">
        <w:rPr>
          <w:rFonts w:ascii="Arial" w:eastAsia="Batang" w:hAnsi="Arial" w:cs="Arial"/>
          <w:bCs/>
          <w:i/>
          <w:iCs/>
        </w:rPr>
        <w:t xml:space="preserve">il </w:t>
      </w:r>
      <w:r w:rsidRPr="00C537DB">
        <w:rPr>
          <w:rFonts w:ascii="Arial" w:hAnsi="Arial" w:cs="Arial"/>
          <w:i/>
          <w:iCs/>
        </w:rPr>
        <w:t>Lactobacillus reuteri LRE02</w:t>
      </w:r>
      <w:r w:rsidRPr="00C537DB">
        <w:rPr>
          <w:rFonts w:ascii="Arial" w:hAnsi="Arial" w:cs="Arial"/>
        </w:rPr>
        <w:t xml:space="preserve"> e </w:t>
      </w:r>
      <w:r w:rsidRPr="00C537DB">
        <w:rPr>
          <w:rFonts w:ascii="Arial" w:hAnsi="Arial" w:cs="Arial"/>
          <w:i/>
          <w:iCs/>
        </w:rPr>
        <w:t>il</w:t>
      </w:r>
      <w:r>
        <w:rPr>
          <w:rFonts w:ascii="Arial" w:hAnsi="Arial" w:cs="Arial"/>
        </w:rPr>
        <w:t xml:space="preserve"> </w:t>
      </w:r>
      <w:r w:rsidRPr="00C537DB">
        <w:rPr>
          <w:rFonts w:ascii="Arial" w:hAnsi="Arial" w:cs="Arial"/>
          <w:i/>
          <w:iCs/>
        </w:rPr>
        <w:t>Lactobacillus rhamnosus LR0</w:t>
      </w:r>
      <w:r>
        <w:rPr>
          <w:rFonts w:ascii="Arial" w:hAnsi="Arial" w:cs="Arial"/>
          <w:i/>
          <w:iCs/>
        </w:rPr>
        <w:t xml:space="preserve">4. Inoltre, grazie a un’innovativa tecnologia, i ceppi di probiotici vengono incapsulati e raggiungono l’intestino vivi e attivi, superando inalterati la barriera gastrica, con una resa 5 volte superiore rispetto agli equivalenti ceppi non microincapsulati”. </w:t>
      </w:r>
    </w:p>
    <w:p w14:paraId="2BF8ECD4" w14:textId="77777777" w:rsidR="00146166" w:rsidRDefault="00146166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/>
          <w:szCs w:val="24"/>
        </w:rPr>
      </w:pPr>
    </w:p>
    <w:p w14:paraId="05EBBD79" w14:textId="77777777" w:rsidR="0097779B" w:rsidRPr="00C537DB" w:rsidRDefault="0097779B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i/>
          <w:iCs/>
        </w:rPr>
      </w:pPr>
    </w:p>
    <w:p w14:paraId="582DC008" w14:textId="77777777" w:rsidR="00C537DB" w:rsidRDefault="00C537DB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69547CCE" w14:textId="4543D625" w:rsidR="00FD1B13" w:rsidRPr="007836FD" w:rsidRDefault="00FD1B13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</w:rPr>
      </w:pPr>
      <w:r w:rsidRPr="007836FD">
        <w:rPr>
          <w:rFonts w:ascii="Arial" w:hAnsi="Arial" w:cs="Arial"/>
          <w:b/>
          <w:sz w:val="22"/>
        </w:rPr>
        <w:t>Aurora Biofarma Srl</w:t>
      </w:r>
    </w:p>
    <w:p w14:paraId="61C43CA3" w14:textId="7B7C9A1E" w:rsidR="00FD1B13" w:rsidRPr="007836FD" w:rsidRDefault="00231A8D" w:rsidP="0065249B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836FD">
        <w:rPr>
          <w:rFonts w:ascii="Arial" w:hAnsi="Arial" w:cs="Arial"/>
          <w:sz w:val="20"/>
          <w:szCs w:val="20"/>
        </w:rPr>
        <w:t>Aurora Biofarma Srl</w:t>
      </w:r>
      <w:r w:rsidR="00FD1B13" w:rsidRPr="007836FD">
        <w:rPr>
          <w:rFonts w:ascii="Arial" w:hAnsi="Arial" w:cs="Arial"/>
          <w:sz w:val="20"/>
          <w:szCs w:val="20"/>
        </w:rPr>
        <w:t xml:space="preserve">, nata alla fine del 2010, </w:t>
      </w:r>
      <w:r w:rsidRPr="007836FD">
        <w:rPr>
          <w:rFonts w:ascii="Arial" w:hAnsi="Arial" w:cs="Arial"/>
          <w:sz w:val="20"/>
          <w:szCs w:val="20"/>
        </w:rPr>
        <w:t>è un’azienda attiva nel campo farmaceutico, specializzata nella ricerca, nello sviluppo e nella commercializzazione di prodotti nutraceutici e medical device.</w:t>
      </w:r>
      <w:r w:rsidR="00FD1B13" w:rsidRPr="007836FD">
        <w:rPr>
          <w:rFonts w:ascii="Arial" w:hAnsi="Arial" w:cs="Arial"/>
          <w:sz w:val="20"/>
          <w:szCs w:val="20"/>
        </w:rPr>
        <w:t xml:space="preserve"> </w:t>
      </w:r>
      <w:r w:rsidR="00FD1B13" w:rsidRPr="007836FD">
        <w:rPr>
          <w:rFonts w:ascii="Arial" w:hAnsi="Arial" w:cs="Arial"/>
          <w:sz w:val="20"/>
          <w:szCs w:val="20"/>
        </w:rPr>
        <w:br/>
        <w:t>L</w:t>
      </w:r>
      <w:r w:rsidRPr="007836FD">
        <w:rPr>
          <w:rFonts w:ascii="Arial" w:hAnsi="Arial" w:cs="Arial"/>
          <w:sz w:val="20"/>
          <w:szCs w:val="20"/>
        </w:rPr>
        <w:t>’azienda investe in innovazione</w:t>
      </w:r>
      <w:r w:rsidR="00FD1B13" w:rsidRPr="007836FD">
        <w:rPr>
          <w:rFonts w:ascii="Arial" w:hAnsi="Arial" w:cs="Arial"/>
          <w:sz w:val="20"/>
          <w:szCs w:val="20"/>
        </w:rPr>
        <w:t xml:space="preserve"> e</w:t>
      </w:r>
      <w:r w:rsidRPr="007836FD">
        <w:rPr>
          <w:rFonts w:ascii="Arial" w:hAnsi="Arial" w:cs="Arial"/>
          <w:sz w:val="20"/>
          <w:szCs w:val="20"/>
        </w:rPr>
        <w:t xml:space="preserve"> </w:t>
      </w:r>
      <w:r w:rsidR="00FD1B13" w:rsidRPr="007836FD">
        <w:rPr>
          <w:rFonts w:ascii="Arial" w:hAnsi="Arial" w:cs="Arial"/>
          <w:sz w:val="20"/>
          <w:szCs w:val="20"/>
        </w:rPr>
        <w:t xml:space="preserve">formazione, </w:t>
      </w:r>
      <w:r w:rsidRPr="007836FD">
        <w:rPr>
          <w:rFonts w:ascii="Arial" w:hAnsi="Arial" w:cs="Arial"/>
          <w:sz w:val="20"/>
          <w:szCs w:val="20"/>
        </w:rPr>
        <w:t xml:space="preserve">e considera la qualità del prodotto al primo posto nella classifica delle priorità </w:t>
      </w:r>
      <w:r w:rsidR="00FD1B13" w:rsidRPr="007836FD">
        <w:rPr>
          <w:rFonts w:ascii="Arial" w:hAnsi="Arial" w:cs="Arial"/>
          <w:sz w:val="20"/>
          <w:szCs w:val="20"/>
        </w:rPr>
        <w:t>degli obiettivi di business</w:t>
      </w:r>
      <w:r w:rsidRPr="007836FD">
        <w:rPr>
          <w:rFonts w:ascii="Arial" w:hAnsi="Arial" w:cs="Arial"/>
          <w:sz w:val="20"/>
          <w:szCs w:val="20"/>
        </w:rPr>
        <w:t>.</w:t>
      </w:r>
    </w:p>
    <w:p w14:paraId="36C1AE31" w14:textId="307DB638" w:rsidR="008A3049" w:rsidRPr="007836FD" w:rsidRDefault="00231A8D" w:rsidP="0065249B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836FD">
        <w:rPr>
          <w:rFonts w:ascii="Arial" w:hAnsi="Arial" w:cs="Arial"/>
          <w:sz w:val="20"/>
          <w:szCs w:val="20"/>
        </w:rPr>
        <w:t>Aurora Biofarma</w:t>
      </w:r>
      <w:r w:rsidR="00FD1B13" w:rsidRPr="007836FD">
        <w:rPr>
          <w:rFonts w:ascii="Arial" w:hAnsi="Arial" w:cs="Arial"/>
          <w:sz w:val="20"/>
          <w:szCs w:val="20"/>
        </w:rPr>
        <w:t xml:space="preserve"> è associata Federsalus, l’Associazione di riferimento per le Autorità nazionali e internazionali in materia di integratori alimentari.</w:t>
      </w:r>
    </w:p>
    <w:p w14:paraId="21D80A15" w14:textId="6C66BCCD" w:rsidR="00FD1B13" w:rsidRPr="007836FD" w:rsidRDefault="00FD1B13" w:rsidP="0065249B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836FD">
        <w:rPr>
          <w:rFonts w:ascii="Arial" w:hAnsi="Arial" w:cs="Arial"/>
          <w:sz w:val="20"/>
          <w:szCs w:val="20"/>
        </w:rPr>
        <w:t>Per maggiori informazioni: www.abiprobiotici.it</w:t>
      </w:r>
    </w:p>
    <w:p w14:paraId="1255DB23" w14:textId="042DBD07" w:rsidR="008A3049" w:rsidRPr="007836FD" w:rsidRDefault="008A30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69B9765B" w14:textId="0AFE5F79" w:rsidR="00DC0149" w:rsidRPr="007836FD" w:rsidRDefault="00DC01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36DD6AAB" w14:textId="77777777" w:rsidR="003F4D0F" w:rsidRDefault="003F4D0F" w:rsidP="003F4D0F">
      <w:pPr>
        <w:tabs>
          <w:tab w:val="left" w:pos="54"/>
          <w:tab w:val="right" w:pos="9639"/>
        </w:tabs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Ufficio stampa</w:t>
      </w:r>
    </w:p>
    <w:p w14:paraId="6751EC39" w14:textId="77777777" w:rsidR="003F4D0F" w:rsidRPr="00CB0BFD" w:rsidRDefault="003F4D0F" w:rsidP="003F4D0F">
      <w:pPr>
        <w:tabs>
          <w:tab w:val="left" w:pos="54"/>
          <w:tab w:val="right" w:pos="9639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B0BFD">
        <w:rPr>
          <w:rFonts w:ascii="Arial" w:eastAsia="Calibri" w:hAnsi="Arial" w:cs="Arial"/>
          <w:sz w:val="20"/>
          <w:szCs w:val="20"/>
        </w:rPr>
        <w:fldChar w:fldCharType="begin"/>
      </w:r>
      <w:r w:rsidRPr="00CB0BFD"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 w:rsidRPr="00CB0BFD"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>
        <w:rPr>
          <w:rFonts w:ascii="Arial" w:eastAsia="Calibri" w:hAnsi="Arial" w:cs="Arial"/>
          <w:sz w:val="20"/>
          <w:szCs w:val="20"/>
        </w:rPr>
        <w:fldChar w:fldCharType="begin"/>
      </w:r>
      <w:r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>
        <w:rPr>
          <w:rFonts w:ascii="Arial" w:eastAsia="Calibri" w:hAnsi="Arial" w:cs="Arial"/>
          <w:sz w:val="20"/>
          <w:szCs w:val="20"/>
        </w:rPr>
        <w:fldChar w:fldCharType="separate"/>
      </w:r>
      <w:r w:rsidR="00E219F8">
        <w:rPr>
          <w:rFonts w:ascii="Arial" w:eastAsia="Calibri" w:hAnsi="Arial" w:cs="Arial"/>
          <w:sz w:val="20"/>
          <w:szCs w:val="20"/>
        </w:rPr>
        <w:fldChar w:fldCharType="begin"/>
      </w:r>
      <w:r w:rsidR="00E219F8"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 w:rsidR="00E219F8">
        <w:rPr>
          <w:rFonts w:ascii="Arial" w:eastAsia="Calibri" w:hAnsi="Arial" w:cs="Arial"/>
          <w:sz w:val="20"/>
          <w:szCs w:val="20"/>
        </w:rPr>
        <w:fldChar w:fldCharType="separate"/>
      </w:r>
      <w:r w:rsidR="00541D06">
        <w:rPr>
          <w:rFonts w:ascii="Arial" w:eastAsia="Calibri" w:hAnsi="Arial" w:cs="Arial"/>
          <w:sz w:val="20"/>
          <w:szCs w:val="20"/>
        </w:rPr>
        <w:fldChar w:fldCharType="begin"/>
      </w:r>
      <w:r w:rsidR="00541D06"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 w:rsidR="00541D06">
        <w:rPr>
          <w:rFonts w:ascii="Arial" w:eastAsia="Calibri" w:hAnsi="Arial" w:cs="Arial"/>
          <w:sz w:val="20"/>
          <w:szCs w:val="20"/>
        </w:rPr>
        <w:fldChar w:fldCharType="separate"/>
      </w:r>
      <w:r w:rsidR="007E3900">
        <w:rPr>
          <w:rFonts w:ascii="Arial" w:eastAsia="Calibri" w:hAnsi="Arial" w:cs="Arial"/>
          <w:sz w:val="20"/>
          <w:szCs w:val="20"/>
        </w:rPr>
        <w:fldChar w:fldCharType="begin"/>
      </w:r>
      <w:r w:rsidR="007E3900"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 w:rsidR="007E3900">
        <w:rPr>
          <w:rFonts w:ascii="Arial" w:eastAsia="Calibri" w:hAnsi="Arial" w:cs="Arial"/>
          <w:sz w:val="20"/>
          <w:szCs w:val="20"/>
        </w:rPr>
        <w:fldChar w:fldCharType="separate"/>
      </w:r>
      <w:r w:rsidR="0088253D">
        <w:rPr>
          <w:rFonts w:ascii="Arial" w:eastAsia="Calibri" w:hAnsi="Arial" w:cs="Arial"/>
          <w:sz w:val="20"/>
          <w:szCs w:val="20"/>
        </w:rPr>
        <w:fldChar w:fldCharType="begin"/>
      </w:r>
      <w:r w:rsidR="0088253D"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 w:rsidR="0088253D">
        <w:rPr>
          <w:rFonts w:ascii="Arial" w:eastAsia="Calibri" w:hAnsi="Arial" w:cs="Arial"/>
          <w:sz w:val="20"/>
          <w:szCs w:val="20"/>
        </w:rPr>
        <w:fldChar w:fldCharType="separate"/>
      </w:r>
      <w:r w:rsidR="00E85628">
        <w:rPr>
          <w:rFonts w:ascii="Arial" w:eastAsia="Calibri" w:hAnsi="Arial" w:cs="Arial"/>
          <w:sz w:val="20"/>
          <w:szCs w:val="20"/>
        </w:rPr>
        <w:fldChar w:fldCharType="begin"/>
      </w:r>
      <w:r w:rsidR="00E85628"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 w:rsidR="00E85628">
        <w:rPr>
          <w:rFonts w:ascii="Arial" w:eastAsia="Calibri" w:hAnsi="Arial" w:cs="Arial"/>
          <w:sz w:val="20"/>
          <w:szCs w:val="20"/>
        </w:rPr>
        <w:fldChar w:fldCharType="separate"/>
      </w:r>
      <w:r w:rsidR="00C93CDE">
        <w:rPr>
          <w:rFonts w:ascii="Arial" w:eastAsia="Calibri" w:hAnsi="Arial" w:cs="Arial"/>
          <w:sz w:val="20"/>
          <w:szCs w:val="20"/>
        </w:rPr>
        <w:fldChar w:fldCharType="begin"/>
      </w:r>
      <w:r w:rsidR="00C93CDE"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 w:rsidR="00C93CDE">
        <w:rPr>
          <w:rFonts w:ascii="Arial" w:eastAsia="Calibri" w:hAnsi="Arial" w:cs="Arial"/>
          <w:sz w:val="20"/>
          <w:szCs w:val="20"/>
        </w:rPr>
        <w:fldChar w:fldCharType="separate"/>
      </w:r>
      <w:r w:rsidR="00DD16ED">
        <w:rPr>
          <w:rFonts w:ascii="Arial" w:eastAsia="Calibri" w:hAnsi="Arial" w:cs="Arial"/>
          <w:sz w:val="20"/>
          <w:szCs w:val="20"/>
        </w:rPr>
        <w:fldChar w:fldCharType="begin"/>
      </w:r>
      <w:r w:rsidR="00DD16ED">
        <w:rPr>
          <w:rFonts w:ascii="Arial" w:eastAsia="Calibri" w:hAnsi="Arial" w:cs="Arial"/>
          <w:sz w:val="20"/>
          <w:szCs w:val="20"/>
        </w:rPr>
        <w:instrText xml:space="preserve"> INCLUDEPICTURE  "cid:image001.gif@01CB6C59.D380BDB0" \* MERGEFORMATINET </w:instrText>
      </w:r>
      <w:r w:rsidR="00DD16ED">
        <w:rPr>
          <w:rFonts w:ascii="Arial" w:eastAsia="Calibri" w:hAnsi="Arial" w:cs="Arial"/>
          <w:sz w:val="20"/>
          <w:szCs w:val="20"/>
        </w:rPr>
        <w:fldChar w:fldCharType="separate"/>
      </w:r>
      <w:r w:rsidR="001D68D5">
        <w:rPr>
          <w:rFonts w:ascii="Arial" w:eastAsia="Calibri" w:hAnsi="Arial" w:cs="Arial"/>
          <w:sz w:val="20"/>
          <w:szCs w:val="20"/>
        </w:rPr>
        <w:fldChar w:fldCharType="begin"/>
      </w:r>
      <w:r w:rsidR="001D68D5">
        <w:rPr>
          <w:rFonts w:ascii="Arial" w:eastAsia="Calibri" w:hAnsi="Arial" w:cs="Arial"/>
          <w:sz w:val="20"/>
          <w:szCs w:val="20"/>
        </w:rPr>
        <w:instrText xml:space="preserve"> </w:instrText>
      </w:r>
      <w:r w:rsidR="001D68D5">
        <w:rPr>
          <w:rFonts w:ascii="Arial" w:eastAsia="Calibri" w:hAnsi="Arial" w:cs="Arial"/>
          <w:sz w:val="20"/>
          <w:szCs w:val="20"/>
        </w:rPr>
        <w:instrText>INCLUDEPICTURE  "cid:image001.gif@01CB6C59.D380BDB0" \* MERGEFORMATINET</w:instrText>
      </w:r>
      <w:r w:rsidR="001D68D5">
        <w:rPr>
          <w:rFonts w:ascii="Arial" w:eastAsia="Calibri" w:hAnsi="Arial" w:cs="Arial"/>
          <w:sz w:val="20"/>
          <w:szCs w:val="20"/>
        </w:rPr>
        <w:instrText xml:space="preserve"> </w:instrText>
      </w:r>
      <w:r w:rsidR="001D68D5">
        <w:rPr>
          <w:rFonts w:ascii="Arial" w:eastAsia="Calibri" w:hAnsi="Arial" w:cs="Arial"/>
          <w:sz w:val="20"/>
          <w:szCs w:val="20"/>
        </w:rPr>
        <w:fldChar w:fldCharType="separate"/>
      </w:r>
      <w:r w:rsidR="001D68D5">
        <w:rPr>
          <w:rFonts w:ascii="Arial" w:eastAsia="Calibri" w:hAnsi="Arial" w:cs="Arial"/>
          <w:sz w:val="20"/>
          <w:szCs w:val="20"/>
        </w:rPr>
        <w:pict w14:anchorId="526990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gif@01CA4E89.BFD76190" style="width:121.5pt;height:14.5pt">
            <v:imagedata r:id="rId8" r:href="rId9"/>
          </v:shape>
        </w:pict>
      </w:r>
      <w:r w:rsidR="001D68D5">
        <w:rPr>
          <w:rFonts w:ascii="Arial" w:eastAsia="Calibri" w:hAnsi="Arial" w:cs="Arial"/>
          <w:sz w:val="20"/>
          <w:szCs w:val="20"/>
        </w:rPr>
        <w:fldChar w:fldCharType="end"/>
      </w:r>
      <w:r w:rsidR="00DD16ED">
        <w:rPr>
          <w:rFonts w:ascii="Arial" w:eastAsia="Calibri" w:hAnsi="Arial" w:cs="Arial"/>
          <w:sz w:val="20"/>
          <w:szCs w:val="20"/>
        </w:rPr>
        <w:fldChar w:fldCharType="end"/>
      </w:r>
      <w:r w:rsidR="00C93CDE">
        <w:rPr>
          <w:rFonts w:ascii="Arial" w:eastAsia="Calibri" w:hAnsi="Arial" w:cs="Arial"/>
          <w:sz w:val="20"/>
          <w:szCs w:val="20"/>
        </w:rPr>
        <w:fldChar w:fldCharType="end"/>
      </w:r>
      <w:r w:rsidR="00E85628">
        <w:rPr>
          <w:rFonts w:ascii="Arial" w:eastAsia="Calibri" w:hAnsi="Arial" w:cs="Arial"/>
          <w:sz w:val="20"/>
          <w:szCs w:val="20"/>
        </w:rPr>
        <w:fldChar w:fldCharType="end"/>
      </w:r>
      <w:r w:rsidR="0088253D">
        <w:rPr>
          <w:rFonts w:ascii="Arial" w:eastAsia="Calibri" w:hAnsi="Arial" w:cs="Arial"/>
          <w:sz w:val="20"/>
          <w:szCs w:val="20"/>
        </w:rPr>
        <w:fldChar w:fldCharType="end"/>
      </w:r>
      <w:r w:rsidR="007E3900">
        <w:rPr>
          <w:rFonts w:ascii="Arial" w:eastAsia="Calibri" w:hAnsi="Arial" w:cs="Arial"/>
          <w:sz w:val="20"/>
          <w:szCs w:val="20"/>
        </w:rPr>
        <w:fldChar w:fldCharType="end"/>
      </w:r>
      <w:r w:rsidR="00541D06">
        <w:rPr>
          <w:rFonts w:ascii="Arial" w:eastAsia="Calibri" w:hAnsi="Arial" w:cs="Arial"/>
          <w:sz w:val="20"/>
          <w:szCs w:val="20"/>
        </w:rPr>
        <w:fldChar w:fldCharType="end"/>
      </w:r>
      <w:r w:rsidR="00E219F8"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fldChar w:fldCharType="end"/>
      </w:r>
      <w:r w:rsidRPr="00CB0BFD">
        <w:rPr>
          <w:rFonts w:ascii="Arial" w:eastAsia="Calibri" w:hAnsi="Arial" w:cs="Arial"/>
          <w:sz w:val="20"/>
          <w:szCs w:val="20"/>
          <w:lang w:val="fr-BE"/>
        </w:rPr>
        <w:fldChar w:fldCharType="end"/>
      </w:r>
    </w:p>
    <w:p w14:paraId="4CE03932" w14:textId="7684B007" w:rsidR="003F4D0F" w:rsidRPr="00CB0BFD" w:rsidRDefault="003F4D0F" w:rsidP="003F4D0F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CB0BFD">
        <w:rPr>
          <w:rFonts w:ascii="Arial" w:eastAsia="Calibri" w:hAnsi="Arial" w:cs="Arial"/>
          <w:sz w:val="20"/>
          <w:szCs w:val="20"/>
        </w:rPr>
        <w:t>tel. 02 204249.2</w:t>
      </w:r>
      <w:r>
        <w:rPr>
          <w:rFonts w:ascii="Arial" w:eastAsia="Calibri" w:hAnsi="Arial" w:cs="Arial"/>
          <w:sz w:val="20"/>
          <w:szCs w:val="20"/>
        </w:rPr>
        <w:t>4</w:t>
      </w:r>
      <w:r w:rsidRPr="00CB0BFD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45</w:t>
      </w:r>
      <w:r w:rsidRPr="00CB0BFD">
        <w:rPr>
          <w:rFonts w:ascii="Arial" w:eastAsia="Calibri" w:hAnsi="Arial" w:cs="Arial"/>
          <w:sz w:val="20"/>
          <w:szCs w:val="20"/>
        </w:rPr>
        <w:t xml:space="preserve">, </w:t>
      </w:r>
      <w:r w:rsidRPr="00CB0BFD">
        <w:rPr>
          <w:rFonts w:ascii="Arial" w:eastAsia="Calibri" w:hAnsi="Arial" w:cs="Arial"/>
          <w:sz w:val="20"/>
          <w:szCs w:val="20"/>
          <w:lang w:val="fr-FR"/>
        </w:rPr>
        <w:t xml:space="preserve">fax 02 204249.69 </w:t>
      </w:r>
    </w:p>
    <w:p w14:paraId="6FEE86EE" w14:textId="048C612C" w:rsidR="003F4D0F" w:rsidRPr="00792AC7" w:rsidRDefault="003F4D0F" w:rsidP="003F4D0F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563C1" w:themeColor="hyperlink"/>
          <w:sz w:val="20"/>
          <w:szCs w:val="20"/>
          <w:u w:val="single"/>
        </w:rPr>
      </w:pPr>
      <w:r w:rsidRPr="00890475">
        <w:rPr>
          <w:rFonts w:ascii="Arial" w:eastAsia="Calibri" w:hAnsi="Arial" w:cs="Arial"/>
          <w:sz w:val="20"/>
        </w:rPr>
        <w:t xml:space="preserve">Eleonora Cossa – cell. 347 7467250, </w:t>
      </w:r>
      <w:hyperlink r:id="rId10" w:history="1">
        <w:r w:rsidRPr="00792AC7">
          <w:rPr>
            <w:rFonts w:ascii="Arial" w:hAnsi="Arial" w:cs="Arial"/>
            <w:sz w:val="20"/>
            <w:szCs w:val="20"/>
          </w:rPr>
          <w:t>e.cossa@vrelations.it</w:t>
        </w:r>
      </w:hyperlink>
    </w:p>
    <w:p w14:paraId="35ABD1A9" w14:textId="48D808CA" w:rsidR="003F4D0F" w:rsidRPr="00792AC7" w:rsidRDefault="003F4D0F" w:rsidP="003F4D0F">
      <w:pPr>
        <w:autoSpaceDE w:val="0"/>
        <w:autoSpaceDN w:val="0"/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2AC7">
        <w:rPr>
          <w:rFonts w:ascii="Arial" w:eastAsia="Calibri" w:hAnsi="Arial" w:cs="Arial"/>
          <w:sz w:val="20"/>
          <w:szCs w:val="20"/>
        </w:rPr>
        <w:t>Cristina Depaoli – c.depaoli@vrelations.it</w:t>
      </w:r>
    </w:p>
    <w:p w14:paraId="5BA15356" w14:textId="77777777" w:rsidR="00DC0149" w:rsidRPr="007836FD" w:rsidRDefault="00DC01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497D10E0" w14:textId="5DFD3D17" w:rsidR="008A3049" w:rsidRPr="007836FD" w:rsidRDefault="008A30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571D726C" w14:textId="77777777" w:rsidR="008A3049" w:rsidRPr="007836FD" w:rsidRDefault="008A30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1EF70BD9" w14:textId="068E38BC" w:rsidR="008A3049" w:rsidRPr="007836FD" w:rsidRDefault="008A30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707A6623" w14:textId="77777777" w:rsidR="007D5353" w:rsidRPr="007836FD" w:rsidRDefault="007D5353" w:rsidP="00FD1B13">
      <w:pPr>
        <w:spacing w:after="0" w:line="240" w:lineRule="auto"/>
        <w:rPr>
          <w:rFonts w:ascii="Arial" w:hAnsi="Arial" w:cs="Arial"/>
          <w:szCs w:val="24"/>
        </w:rPr>
      </w:pPr>
    </w:p>
    <w:sectPr w:rsidR="007D5353" w:rsidRPr="007836FD" w:rsidSect="009E7418">
      <w:headerReference w:type="default" r:id="rId11"/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91C7A" w14:textId="77777777" w:rsidR="007D5353" w:rsidRDefault="007D5353" w:rsidP="007D5353">
      <w:pPr>
        <w:spacing w:after="0" w:line="240" w:lineRule="auto"/>
      </w:pPr>
      <w:r>
        <w:separator/>
      </w:r>
    </w:p>
  </w:endnote>
  <w:endnote w:type="continuationSeparator" w:id="0">
    <w:p w14:paraId="72EFA1CF" w14:textId="77777777" w:rsidR="007D5353" w:rsidRDefault="007D5353" w:rsidP="007D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810F" w14:textId="77777777" w:rsidR="007D5353" w:rsidRDefault="007D5353" w:rsidP="007D5353">
      <w:pPr>
        <w:spacing w:after="0" w:line="240" w:lineRule="auto"/>
      </w:pPr>
      <w:r>
        <w:separator/>
      </w:r>
    </w:p>
  </w:footnote>
  <w:footnote w:type="continuationSeparator" w:id="0">
    <w:p w14:paraId="4576189D" w14:textId="77777777" w:rsidR="007D5353" w:rsidRDefault="007D5353" w:rsidP="007D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084A" w14:textId="7E8DB4A3" w:rsidR="008A3049" w:rsidRDefault="008A3049" w:rsidP="008A3049">
    <w:pPr>
      <w:pStyle w:val="Intestazione"/>
      <w:jc w:val="center"/>
    </w:pPr>
    <w:r>
      <w:rPr>
        <w:noProof/>
      </w:rPr>
      <w:drawing>
        <wp:inline distT="0" distB="0" distL="0" distR="0" wp14:anchorId="4048F3E1" wp14:editId="49C0D761">
          <wp:extent cx="1282700" cy="693608"/>
          <wp:effectExtent l="0" t="0" r="0" b="0"/>
          <wp:docPr id="8" name="Immagine 8" descr="https://www.aurorabiofarma.i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urorabiofarma.i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662" cy="698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7CBBA" w14:textId="77777777" w:rsidR="008D240B" w:rsidRDefault="008D240B" w:rsidP="008A304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0E0"/>
    <w:multiLevelType w:val="hybridMultilevel"/>
    <w:tmpl w:val="CCF6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2F8B"/>
    <w:multiLevelType w:val="hybridMultilevel"/>
    <w:tmpl w:val="08841A4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14222"/>
    <w:multiLevelType w:val="hybridMultilevel"/>
    <w:tmpl w:val="4AB21C60"/>
    <w:lvl w:ilvl="0" w:tplc="6A804D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08E7"/>
    <w:multiLevelType w:val="hybridMultilevel"/>
    <w:tmpl w:val="61C2B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485C"/>
    <w:multiLevelType w:val="hybridMultilevel"/>
    <w:tmpl w:val="7F2A0746"/>
    <w:lvl w:ilvl="0" w:tplc="589CE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2A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8C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C9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6E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C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6A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C5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FE5A6D"/>
    <w:multiLevelType w:val="hybridMultilevel"/>
    <w:tmpl w:val="48C07D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25D9D"/>
    <w:multiLevelType w:val="hybridMultilevel"/>
    <w:tmpl w:val="29E0B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E6"/>
    <w:rsid w:val="00001A58"/>
    <w:rsid w:val="00010F42"/>
    <w:rsid w:val="0001252A"/>
    <w:rsid w:val="00041DE3"/>
    <w:rsid w:val="00056D9E"/>
    <w:rsid w:val="00074E28"/>
    <w:rsid w:val="00091E8D"/>
    <w:rsid w:val="000A7FAE"/>
    <w:rsid w:val="00105040"/>
    <w:rsid w:val="00146166"/>
    <w:rsid w:val="00186079"/>
    <w:rsid w:val="0019126E"/>
    <w:rsid w:val="001D68D5"/>
    <w:rsid w:val="00231A8D"/>
    <w:rsid w:val="00231D67"/>
    <w:rsid w:val="00280F85"/>
    <w:rsid w:val="00282C92"/>
    <w:rsid w:val="00292078"/>
    <w:rsid w:val="002A583D"/>
    <w:rsid w:val="002C0430"/>
    <w:rsid w:val="002E56A1"/>
    <w:rsid w:val="00317D34"/>
    <w:rsid w:val="003436F4"/>
    <w:rsid w:val="00370907"/>
    <w:rsid w:val="003722CF"/>
    <w:rsid w:val="00373C0B"/>
    <w:rsid w:val="00397D55"/>
    <w:rsid w:val="003D32E6"/>
    <w:rsid w:val="003F4D0F"/>
    <w:rsid w:val="00401943"/>
    <w:rsid w:val="00480457"/>
    <w:rsid w:val="004D5180"/>
    <w:rsid w:val="004D6F73"/>
    <w:rsid w:val="004D7958"/>
    <w:rsid w:val="004E3DD6"/>
    <w:rsid w:val="00541D06"/>
    <w:rsid w:val="00575DE4"/>
    <w:rsid w:val="005A3229"/>
    <w:rsid w:val="005B58D1"/>
    <w:rsid w:val="00636423"/>
    <w:rsid w:val="00643732"/>
    <w:rsid w:val="0065249B"/>
    <w:rsid w:val="00671495"/>
    <w:rsid w:val="006D658B"/>
    <w:rsid w:val="00700982"/>
    <w:rsid w:val="007224F5"/>
    <w:rsid w:val="007418BA"/>
    <w:rsid w:val="00764567"/>
    <w:rsid w:val="00774599"/>
    <w:rsid w:val="007836FD"/>
    <w:rsid w:val="0079019E"/>
    <w:rsid w:val="00792AC7"/>
    <w:rsid w:val="007C305E"/>
    <w:rsid w:val="007C3597"/>
    <w:rsid w:val="007C3EDC"/>
    <w:rsid w:val="007D0327"/>
    <w:rsid w:val="007D5353"/>
    <w:rsid w:val="007E3900"/>
    <w:rsid w:val="007F58CA"/>
    <w:rsid w:val="00803662"/>
    <w:rsid w:val="00805372"/>
    <w:rsid w:val="00824BCC"/>
    <w:rsid w:val="00830CB0"/>
    <w:rsid w:val="00836EF4"/>
    <w:rsid w:val="00855805"/>
    <w:rsid w:val="0088253D"/>
    <w:rsid w:val="008A3049"/>
    <w:rsid w:val="008C577C"/>
    <w:rsid w:val="008D240B"/>
    <w:rsid w:val="0094578E"/>
    <w:rsid w:val="00950261"/>
    <w:rsid w:val="0097779B"/>
    <w:rsid w:val="009A281F"/>
    <w:rsid w:val="009B6242"/>
    <w:rsid w:val="009D0572"/>
    <w:rsid w:val="009D7EA0"/>
    <w:rsid w:val="009E7418"/>
    <w:rsid w:val="009F7FC8"/>
    <w:rsid w:val="00A0329A"/>
    <w:rsid w:val="00A559BD"/>
    <w:rsid w:val="00A802C8"/>
    <w:rsid w:val="00A977DC"/>
    <w:rsid w:val="00AF6F88"/>
    <w:rsid w:val="00B34EF5"/>
    <w:rsid w:val="00B714C4"/>
    <w:rsid w:val="00B939D2"/>
    <w:rsid w:val="00BB50A9"/>
    <w:rsid w:val="00BC4A87"/>
    <w:rsid w:val="00BC5E90"/>
    <w:rsid w:val="00C2691A"/>
    <w:rsid w:val="00C41F29"/>
    <w:rsid w:val="00C537DB"/>
    <w:rsid w:val="00C93CDE"/>
    <w:rsid w:val="00CD0250"/>
    <w:rsid w:val="00D45D3D"/>
    <w:rsid w:val="00D814D5"/>
    <w:rsid w:val="00DC0149"/>
    <w:rsid w:val="00DD16ED"/>
    <w:rsid w:val="00DD58AD"/>
    <w:rsid w:val="00E219F8"/>
    <w:rsid w:val="00E545F6"/>
    <w:rsid w:val="00E85628"/>
    <w:rsid w:val="00EA18E2"/>
    <w:rsid w:val="00EB7868"/>
    <w:rsid w:val="00EE46B1"/>
    <w:rsid w:val="00EF2AB7"/>
    <w:rsid w:val="00EF2D12"/>
    <w:rsid w:val="00F17BC5"/>
    <w:rsid w:val="00F556A3"/>
    <w:rsid w:val="00F75F04"/>
    <w:rsid w:val="00FD1B13"/>
    <w:rsid w:val="00FE5E3B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3F0E1"/>
  <w15:chartTrackingRefBased/>
  <w15:docId w15:val="{95122EC6-AA10-4290-8E18-3BAB224F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7D535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D5353"/>
    <w:rPr>
      <w:rFonts w:eastAsiaTheme="minorEastAsia"/>
      <w:sz w:val="24"/>
      <w:szCs w:val="24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7D535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456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6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A3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049"/>
  </w:style>
  <w:style w:type="paragraph" w:styleId="Pidipagina">
    <w:name w:val="footer"/>
    <w:basedOn w:val="Normale"/>
    <w:link w:val="PidipaginaCarattere"/>
    <w:uiPriority w:val="99"/>
    <w:unhideWhenUsed/>
    <w:rsid w:val="008A3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049"/>
  </w:style>
  <w:style w:type="character" w:styleId="Collegamentoipertestuale">
    <w:name w:val="Hyperlink"/>
    <w:basedOn w:val="Carpredefinitoparagrafo"/>
    <w:uiPriority w:val="99"/>
    <w:unhideWhenUsed/>
    <w:rsid w:val="003F4D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8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cossa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gif@01CB6C59.D380BD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03A9-89D2-4774-B435-D716C0A8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Cossa</dc:creator>
  <cp:keywords/>
  <dc:description/>
  <cp:lastModifiedBy>Cristina De Paoli</cp:lastModifiedBy>
  <cp:revision>3</cp:revision>
  <dcterms:created xsi:type="dcterms:W3CDTF">2019-07-05T13:48:00Z</dcterms:created>
  <dcterms:modified xsi:type="dcterms:W3CDTF">2019-07-10T08:35:00Z</dcterms:modified>
</cp:coreProperties>
</file>