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ADC" w:rsidRDefault="00287ADC" w:rsidP="00722CCA">
      <w:pPr>
        <w:widowControl w:val="0"/>
        <w:autoSpaceDE w:val="0"/>
        <w:autoSpaceDN w:val="0"/>
        <w:adjustRightInd w:val="0"/>
        <w:spacing w:line="264" w:lineRule="auto"/>
        <w:jc w:val="center"/>
        <w:rPr>
          <w:rFonts w:ascii="Arial" w:eastAsia="MS Mincho" w:hAnsi="Arial" w:cs="Arial"/>
          <w:u w:val="single"/>
        </w:rPr>
      </w:pPr>
      <w:r w:rsidRPr="00342CA7">
        <w:rPr>
          <w:rFonts w:ascii="Arial" w:eastAsia="MS Mincho" w:hAnsi="Arial" w:cs="Arial"/>
          <w:u w:val="single"/>
        </w:rPr>
        <w:t>Comunicato Stampa</w:t>
      </w:r>
    </w:p>
    <w:p w:rsidR="002D515B" w:rsidRDefault="002D515B" w:rsidP="00722CCA">
      <w:pPr>
        <w:widowControl w:val="0"/>
        <w:autoSpaceDE w:val="0"/>
        <w:autoSpaceDN w:val="0"/>
        <w:adjustRightInd w:val="0"/>
        <w:spacing w:line="264" w:lineRule="auto"/>
        <w:jc w:val="center"/>
        <w:rPr>
          <w:rFonts w:ascii="Arial" w:eastAsia="MS Mincho" w:hAnsi="Arial" w:cs="Arial"/>
          <w:u w:val="single"/>
        </w:rPr>
      </w:pPr>
    </w:p>
    <w:p w:rsidR="00F916B5" w:rsidRDefault="00F916B5" w:rsidP="00722CCA">
      <w:pPr>
        <w:widowControl w:val="0"/>
        <w:autoSpaceDE w:val="0"/>
        <w:autoSpaceDN w:val="0"/>
        <w:adjustRightInd w:val="0"/>
        <w:spacing w:line="264" w:lineRule="auto"/>
        <w:jc w:val="center"/>
        <w:rPr>
          <w:rFonts w:ascii="Arial" w:eastAsia="MS Mincho" w:hAnsi="Arial" w:cs="Arial"/>
          <w:b/>
          <w:sz w:val="28"/>
        </w:rPr>
      </w:pPr>
      <w:r>
        <w:rPr>
          <w:rFonts w:ascii="Arial" w:eastAsia="MS Mincho" w:hAnsi="Arial" w:cs="Arial"/>
          <w:b/>
          <w:sz w:val="28"/>
        </w:rPr>
        <w:t>Quasi 1.000 morti in meno all’anno se i nuovi antidiabetici fossero impiegati in tutti i pazienti eleggibili al trattamento</w:t>
      </w:r>
    </w:p>
    <w:p w:rsidR="0084712C" w:rsidRDefault="0084712C" w:rsidP="00722CCA">
      <w:pPr>
        <w:widowControl w:val="0"/>
        <w:autoSpaceDE w:val="0"/>
        <w:autoSpaceDN w:val="0"/>
        <w:adjustRightInd w:val="0"/>
        <w:spacing w:line="264" w:lineRule="auto"/>
        <w:jc w:val="center"/>
        <w:rPr>
          <w:rFonts w:ascii="Arial" w:eastAsia="MS Mincho" w:hAnsi="Arial" w:cs="Arial"/>
          <w:b/>
          <w:sz w:val="22"/>
        </w:rPr>
      </w:pPr>
    </w:p>
    <w:p w:rsidR="007A73B9" w:rsidRDefault="00AF1E06" w:rsidP="00722CCA">
      <w:pPr>
        <w:widowControl w:val="0"/>
        <w:autoSpaceDE w:val="0"/>
        <w:autoSpaceDN w:val="0"/>
        <w:adjustRightInd w:val="0"/>
        <w:spacing w:line="264" w:lineRule="auto"/>
        <w:jc w:val="both"/>
        <w:rPr>
          <w:rFonts w:ascii="Arial" w:eastAsia="MS Mincho" w:hAnsi="Arial" w:cs="Arial"/>
          <w:i/>
          <w:sz w:val="22"/>
        </w:rPr>
      </w:pPr>
      <w:r>
        <w:rPr>
          <w:rFonts w:ascii="Arial" w:eastAsia="MS Mincho" w:hAnsi="Arial" w:cs="Arial"/>
          <w:i/>
          <w:sz w:val="22"/>
        </w:rPr>
        <w:t xml:space="preserve">Secondo </w:t>
      </w:r>
      <w:r w:rsidR="00A9245A">
        <w:rPr>
          <w:rFonts w:ascii="Arial" w:eastAsia="MS Mincho" w:hAnsi="Arial" w:cs="Arial"/>
          <w:i/>
          <w:sz w:val="22"/>
        </w:rPr>
        <w:t xml:space="preserve">una recente </w:t>
      </w:r>
      <w:r w:rsidR="007533A4">
        <w:rPr>
          <w:rFonts w:ascii="Arial" w:eastAsia="MS Mincho" w:hAnsi="Arial" w:cs="Arial"/>
          <w:i/>
          <w:sz w:val="22"/>
        </w:rPr>
        <w:t>analisi dell</w:t>
      </w:r>
      <w:r w:rsidR="0084712C">
        <w:rPr>
          <w:rFonts w:ascii="Arial" w:eastAsia="MS Mincho" w:hAnsi="Arial" w:cs="Arial"/>
          <w:i/>
          <w:sz w:val="22"/>
        </w:rPr>
        <w:t>’Associazione Medici Diabetolog</w:t>
      </w:r>
      <w:r w:rsidR="007A73B9">
        <w:rPr>
          <w:rFonts w:ascii="Arial" w:eastAsia="MS Mincho" w:hAnsi="Arial" w:cs="Arial"/>
          <w:i/>
          <w:sz w:val="22"/>
        </w:rPr>
        <w:t>i,</w:t>
      </w:r>
      <w:r w:rsidR="0084712C">
        <w:rPr>
          <w:rFonts w:ascii="Arial" w:eastAsia="MS Mincho" w:hAnsi="Arial" w:cs="Arial"/>
          <w:i/>
          <w:sz w:val="22"/>
        </w:rPr>
        <w:t xml:space="preserve"> </w:t>
      </w:r>
      <w:r w:rsidR="007A73B9" w:rsidRPr="007A73B9">
        <w:rPr>
          <w:rFonts w:ascii="Arial" w:eastAsia="MS Mincho" w:hAnsi="Arial" w:cs="Arial"/>
          <w:i/>
          <w:sz w:val="22"/>
        </w:rPr>
        <w:t>con</w:t>
      </w:r>
      <w:r w:rsidR="007A73B9">
        <w:rPr>
          <w:rFonts w:ascii="Arial" w:eastAsia="MS Mincho" w:hAnsi="Arial" w:cs="Arial"/>
          <w:i/>
          <w:sz w:val="22"/>
        </w:rPr>
        <w:t xml:space="preserve"> un impiego più appropriato de</w:t>
      </w:r>
      <w:r w:rsidR="007A73B9" w:rsidRPr="007A73B9">
        <w:rPr>
          <w:rFonts w:ascii="Arial" w:eastAsia="MS Mincho" w:hAnsi="Arial" w:cs="Arial"/>
          <w:i/>
          <w:sz w:val="22"/>
        </w:rPr>
        <w:t xml:space="preserve">gli SGLT2i </w:t>
      </w:r>
      <w:r w:rsidR="00A9245A" w:rsidRPr="007A73B9">
        <w:rPr>
          <w:rFonts w:ascii="Arial" w:eastAsia="MS Mincho" w:hAnsi="Arial" w:cs="Arial"/>
          <w:i/>
          <w:sz w:val="22"/>
        </w:rPr>
        <w:t>annualmente</w:t>
      </w:r>
      <w:r w:rsidR="00A9245A">
        <w:rPr>
          <w:rFonts w:ascii="Arial" w:eastAsia="MS Mincho" w:hAnsi="Arial" w:cs="Arial"/>
          <w:i/>
          <w:sz w:val="22"/>
        </w:rPr>
        <w:t xml:space="preserve"> </w:t>
      </w:r>
      <w:r w:rsidR="007A73B9">
        <w:rPr>
          <w:rFonts w:ascii="Arial" w:eastAsia="MS Mincho" w:hAnsi="Arial" w:cs="Arial"/>
          <w:i/>
          <w:sz w:val="22"/>
        </w:rPr>
        <w:t>potrebbero essere</w:t>
      </w:r>
      <w:r w:rsidR="007A73B9" w:rsidRPr="007A73B9">
        <w:rPr>
          <w:rFonts w:ascii="Arial" w:eastAsia="MS Mincho" w:hAnsi="Arial" w:cs="Arial"/>
          <w:i/>
          <w:sz w:val="22"/>
        </w:rPr>
        <w:t xml:space="preserve"> evitate</w:t>
      </w:r>
      <w:r w:rsidR="00A9245A">
        <w:rPr>
          <w:rFonts w:ascii="Arial" w:eastAsia="MS Mincho" w:hAnsi="Arial" w:cs="Arial"/>
          <w:i/>
          <w:sz w:val="22"/>
        </w:rPr>
        <w:t xml:space="preserve"> </w:t>
      </w:r>
      <w:r w:rsidR="007A73B9" w:rsidRPr="007A73B9">
        <w:rPr>
          <w:rFonts w:ascii="Arial" w:eastAsia="MS Mincho" w:hAnsi="Arial" w:cs="Arial"/>
          <w:i/>
          <w:sz w:val="22"/>
        </w:rPr>
        <w:t>363 morti per tutte le cause (di cui 307 per cause cardiovascolari) e 201 ospedalizzazioni per scompenso,</w:t>
      </w:r>
      <w:r w:rsidR="007A73B9">
        <w:rPr>
          <w:rFonts w:ascii="Arial" w:eastAsia="MS Mincho" w:hAnsi="Arial" w:cs="Arial"/>
          <w:i/>
          <w:sz w:val="22"/>
        </w:rPr>
        <w:t xml:space="preserve"> e</w:t>
      </w:r>
      <w:r w:rsidR="007A73B9" w:rsidRPr="007A73B9">
        <w:rPr>
          <w:rFonts w:ascii="Arial" w:eastAsia="MS Mincho" w:hAnsi="Arial" w:cs="Arial"/>
          <w:i/>
          <w:sz w:val="22"/>
        </w:rPr>
        <w:t xml:space="preserve"> con </w:t>
      </w:r>
      <w:r w:rsidR="007A73B9">
        <w:rPr>
          <w:rFonts w:ascii="Arial" w:eastAsia="MS Mincho" w:hAnsi="Arial" w:cs="Arial"/>
          <w:i/>
          <w:sz w:val="22"/>
        </w:rPr>
        <w:t xml:space="preserve">quello dei </w:t>
      </w:r>
      <w:r w:rsidR="007A73B9" w:rsidRPr="007A73B9">
        <w:rPr>
          <w:rFonts w:ascii="Arial" w:eastAsia="MS Mincho" w:hAnsi="Arial" w:cs="Arial"/>
          <w:i/>
          <w:sz w:val="22"/>
        </w:rPr>
        <w:t>GLP-1 RA, 539 morti e 404 ospedalizzazioni</w:t>
      </w:r>
      <w:r w:rsidR="007A73B9">
        <w:rPr>
          <w:rFonts w:ascii="Arial" w:eastAsia="MS Mincho" w:hAnsi="Arial" w:cs="Arial"/>
          <w:i/>
          <w:sz w:val="22"/>
        </w:rPr>
        <w:t>.</w:t>
      </w:r>
    </w:p>
    <w:p w:rsidR="00ED2C4F" w:rsidRDefault="007A73B9" w:rsidP="00722CCA">
      <w:pPr>
        <w:widowControl w:val="0"/>
        <w:autoSpaceDE w:val="0"/>
        <w:autoSpaceDN w:val="0"/>
        <w:adjustRightInd w:val="0"/>
        <w:spacing w:line="264" w:lineRule="auto"/>
        <w:jc w:val="both"/>
        <w:rPr>
          <w:rFonts w:ascii="Arial" w:eastAsia="MS Mincho" w:hAnsi="Arial" w:cs="Arial"/>
          <w:sz w:val="22"/>
        </w:rPr>
      </w:pPr>
      <w:r>
        <w:rPr>
          <w:rFonts w:ascii="Arial" w:eastAsia="MS Mincho" w:hAnsi="Arial" w:cs="Arial"/>
          <w:sz w:val="22"/>
        </w:rPr>
        <w:t xml:space="preserve"> </w:t>
      </w:r>
    </w:p>
    <w:p w:rsidR="00ED2C4F" w:rsidRDefault="00ED2C4F" w:rsidP="00722CCA">
      <w:pPr>
        <w:widowControl w:val="0"/>
        <w:autoSpaceDE w:val="0"/>
        <w:autoSpaceDN w:val="0"/>
        <w:adjustRightInd w:val="0"/>
        <w:spacing w:line="264" w:lineRule="auto"/>
        <w:jc w:val="both"/>
        <w:rPr>
          <w:rFonts w:ascii="Arial" w:eastAsia="MS Mincho" w:hAnsi="Arial" w:cs="Arial"/>
          <w:sz w:val="22"/>
        </w:rPr>
      </w:pPr>
      <w:r w:rsidRPr="00AF1E06">
        <w:rPr>
          <w:rFonts w:ascii="Arial" w:eastAsia="MS Mincho" w:hAnsi="Arial" w:cs="Arial"/>
          <w:b/>
          <w:sz w:val="22"/>
        </w:rPr>
        <w:t xml:space="preserve">Roma, </w:t>
      </w:r>
      <w:r w:rsidR="005C48DF">
        <w:rPr>
          <w:rFonts w:ascii="Arial" w:eastAsia="MS Mincho" w:hAnsi="Arial" w:cs="Arial"/>
          <w:b/>
          <w:sz w:val="22"/>
        </w:rPr>
        <w:t>18</w:t>
      </w:r>
      <w:r w:rsidRPr="00AF1E06">
        <w:rPr>
          <w:rFonts w:ascii="Arial" w:eastAsia="MS Mincho" w:hAnsi="Arial" w:cs="Arial"/>
          <w:b/>
          <w:sz w:val="22"/>
        </w:rPr>
        <w:t xml:space="preserve"> dicembre 2018 -</w:t>
      </w:r>
      <w:r>
        <w:rPr>
          <w:rFonts w:ascii="Arial" w:eastAsia="MS Mincho" w:hAnsi="Arial" w:cs="Arial"/>
          <w:sz w:val="22"/>
        </w:rPr>
        <w:t xml:space="preserve"> </w:t>
      </w:r>
      <w:r w:rsidR="00E4335D" w:rsidRPr="00E4335D">
        <w:rPr>
          <w:rFonts w:ascii="Arial" w:eastAsia="MS Mincho" w:hAnsi="Arial" w:cs="Arial"/>
          <w:sz w:val="22"/>
        </w:rPr>
        <w:t xml:space="preserve">Le </w:t>
      </w:r>
      <w:r w:rsidR="00E4335D" w:rsidRPr="00AF1E06">
        <w:rPr>
          <w:rFonts w:ascii="Arial" w:eastAsia="MS Mincho" w:hAnsi="Arial" w:cs="Arial"/>
          <w:b/>
          <w:sz w:val="22"/>
        </w:rPr>
        <w:t>malattie cardiovascolari (MCV)</w:t>
      </w:r>
      <w:r w:rsidR="00E4335D" w:rsidRPr="00E4335D">
        <w:rPr>
          <w:rFonts w:ascii="Arial" w:eastAsia="MS Mincho" w:hAnsi="Arial" w:cs="Arial"/>
          <w:sz w:val="22"/>
        </w:rPr>
        <w:t xml:space="preserve"> rappresentano la </w:t>
      </w:r>
      <w:r w:rsidR="00E4335D" w:rsidRPr="00AF1E06">
        <w:rPr>
          <w:rFonts w:ascii="Arial" w:eastAsia="MS Mincho" w:hAnsi="Arial" w:cs="Arial"/>
          <w:b/>
          <w:sz w:val="22"/>
        </w:rPr>
        <w:t>principale causa</w:t>
      </w:r>
      <w:r w:rsidR="00E4335D" w:rsidRPr="00E4335D">
        <w:rPr>
          <w:rFonts w:ascii="Arial" w:eastAsia="MS Mincho" w:hAnsi="Arial" w:cs="Arial"/>
          <w:sz w:val="22"/>
        </w:rPr>
        <w:t xml:space="preserve"> </w:t>
      </w:r>
      <w:r w:rsidR="00E4335D" w:rsidRPr="00AF1E06">
        <w:rPr>
          <w:rFonts w:ascii="Arial" w:eastAsia="MS Mincho" w:hAnsi="Arial" w:cs="Arial"/>
          <w:b/>
          <w:sz w:val="22"/>
        </w:rPr>
        <w:t xml:space="preserve">di morbilità e mortalità fra </w:t>
      </w:r>
      <w:r w:rsidR="0033791F" w:rsidRPr="00AF1E06">
        <w:rPr>
          <w:rFonts w:ascii="Arial" w:eastAsia="MS Mincho" w:hAnsi="Arial" w:cs="Arial"/>
          <w:b/>
          <w:sz w:val="22"/>
        </w:rPr>
        <w:t>i diabetici</w:t>
      </w:r>
      <w:r w:rsidR="00E4335D" w:rsidRPr="00E4335D">
        <w:rPr>
          <w:rFonts w:ascii="Arial" w:eastAsia="MS Mincho" w:hAnsi="Arial" w:cs="Arial"/>
          <w:sz w:val="22"/>
        </w:rPr>
        <w:t xml:space="preserve">: </w:t>
      </w:r>
      <w:r w:rsidR="0033791F">
        <w:rPr>
          <w:rFonts w:ascii="Arial" w:eastAsia="MS Mincho" w:hAnsi="Arial" w:cs="Arial"/>
          <w:sz w:val="22"/>
        </w:rPr>
        <w:t xml:space="preserve">in questi pazienti, </w:t>
      </w:r>
      <w:r w:rsidR="00E4335D" w:rsidRPr="00E4335D">
        <w:rPr>
          <w:rFonts w:ascii="Arial" w:eastAsia="MS Mincho" w:hAnsi="Arial" w:cs="Arial"/>
          <w:sz w:val="22"/>
        </w:rPr>
        <w:t xml:space="preserve">rispetto alla popolazione </w:t>
      </w:r>
      <w:r w:rsidR="0033791F">
        <w:rPr>
          <w:rFonts w:ascii="Arial" w:eastAsia="MS Mincho" w:hAnsi="Arial" w:cs="Arial"/>
          <w:sz w:val="22"/>
        </w:rPr>
        <w:t>sana</w:t>
      </w:r>
      <w:r w:rsidR="00E4335D">
        <w:rPr>
          <w:rFonts w:ascii="Arial" w:eastAsia="MS Mincho" w:hAnsi="Arial" w:cs="Arial"/>
          <w:sz w:val="22"/>
        </w:rPr>
        <w:t>,</w:t>
      </w:r>
      <w:r w:rsidR="00E4335D" w:rsidRPr="00E4335D">
        <w:rPr>
          <w:rFonts w:ascii="Arial" w:eastAsia="MS Mincho" w:hAnsi="Arial" w:cs="Arial"/>
          <w:sz w:val="22"/>
        </w:rPr>
        <w:t xml:space="preserve"> il rischio di morte per </w:t>
      </w:r>
      <w:r w:rsidR="00E4335D">
        <w:rPr>
          <w:rFonts w:ascii="Arial" w:eastAsia="MS Mincho" w:hAnsi="Arial" w:cs="Arial"/>
          <w:sz w:val="22"/>
        </w:rPr>
        <w:t>MCV</w:t>
      </w:r>
      <w:r w:rsidR="00E4335D" w:rsidRPr="00E4335D">
        <w:rPr>
          <w:rFonts w:ascii="Arial" w:eastAsia="MS Mincho" w:hAnsi="Arial" w:cs="Arial"/>
          <w:sz w:val="22"/>
        </w:rPr>
        <w:t xml:space="preserve"> aumenta di oltre 2 volte, </w:t>
      </w:r>
      <w:r w:rsidR="00E4335D">
        <w:rPr>
          <w:rFonts w:ascii="Arial" w:eastAsia="MS Mincho" w:hAnsi="Arial" w:cs="Arial"/>
          <w:sz w:val="22"/>
        </w:rPr>
        <w:t>quello</w:t>
      </w:r>
      <w:r w:rsidR="00E4335D" w:rsidRPr="00E4335D">
        <w:rPr>
          <w:rFonts w:ascii="Arial" w:eastAsia="MS Mincho" w:hAnsi="Arial" w:cs="Arial"/>
          <w:sz w:val="22"/>
        </w:rPr>
        <w:t xml:space="preserve"> di infarto e ictus </w:t>
      </w:r>
      <w:r w:rsidR="00E4335D">
        <w:rPr>
          <w:rFonts w:ascii="Arial" w:eastAsia="MS Mincho" w:hAnsi="Arial" w:cs="Arial"/>
          <w:sz w:val="22"/>
        </w:rPr>
        <w:t>cresce</w:t>
      </w:r>
      <w:r w:rsidR="00E4335D" w:rsidRPr="00E4335D">
        <w:rPr>
          <w:rFonts w:ascii="Arial" w:eastAsia="MS Mincho" w:hAnsi="Arial" w:cs="Arial"/>
          <w:sz w:val="22"/>
        </w:rPr>
        <w:t xml:space="preserve"> fino a 4 volte</w:t>
      </w:r>
      <w:r w:rsidR="00E4335D">
        <w:rPr>
          <w:rFonts w:ascii="Arial" w:eastAsia="MS Mincho" w:hAnsi="Arial" w:cs="Arial"/>
          <w:sz w:val="22"/>
        </w:rPr>
        <w:t>.</w:t>
      </w:r>
      <w:r w:rsidR="00E4335D" w:rsidRPr="00E4335D">
        <w:rPr>
          <w:rFonts w:ascii="Arial" w:eastAsia="MS Mincho" w:hAnsi="Arial" w:cs="Arial"/>
          <w:sz w:val="22"/>
        </w:rPr>
        <w:t xml:space="preserve"> </w:t>
      </w:r>
      <w:r w:rsidR="0033791F">
        <w:rPr>
          <w:rFonts w:ascii="Arial" w:eastAsia="MS Mincho" w:hAnsi="Arial" w:cs="Arial"/>
          <w:sz w:val="22"/>
        </w:rPr>
        <w:t>L</w:t>
      </w:r>
      <w:r w:rsidR="00E4335D" w:rsidRPr="00E4335D">
        <w:rPr>
          <w:rFonts w:ascii="Arial" w:eastAsia="MS Mincho" w:hAnsi="Arial" w:cs="Arial"/>
          <w:sz w:val="22"/>
        </w:rPr>
        <w:t xml:space="preserve">e complicanze </w:t>
      </w:r>
      <w:proofErr w:type="spellStart"/>
      <w:r w:rsidR="00E4335D" w:rsidRPr="00E4335D">
        <w:rPr>
          <w:rFonts w:ascii="Arial" w:eastAsia="MS Mincho" w:hAnsi="Arial" w:cs="Arial"/>
          <w:sz w:val="22"/>
        </w:rPr>
        <w:t>macrovascolari</w:t>
      </w:r>
      <w:proofErr w:type="spellEnd"/>
      <w:r w:rsidR="00E4335D" w:rsidRPr="00E4335D">
        <w:rPr>
          <w:rFonts w:ascii="Arial" w:eastAsia="MS Mincho" w:hAnsi="Arial" w:cs="Arial"/>
          <w:sz w:val="22"/>
        </w:rPr>
        <w:t xml:space="preserve"> rappresenta</w:t>
      </w:r>
      <w:r w:rsidR="00E4335D">
        <w:rPr>
          <w:rFonts w:ascii="Arial" w:eastAsia="MS Mincho" w:hAnsi="Arial" w:cs="Arial"/>
          <w:sz w:val="22"/>
        </w:rPr>
        <w:t>no</w:t>
      </w:r>
      <w:r w:rsidR="00E4335D" w:rsidRPr="00E4335D">
        <w:rPr>
          <w:rFonts w:ascii="Arial" w:eastAsia="MS Mincho" w:hAnsi="Arial" w:cs="Arial"/>
          <w:sz w:val="22"/>
        </w:rPr>
        <w:t xml:space="preserve"> anche </w:t>
      </w:r>
      <w:r w:rsidR="00E4335D">
        <w:rPr>
          <w:rFonts w:ascii="Arial" w:eastAsia="MS Mincho" w:hAnsi="Arial" w:cs="Arial"/>
          <w:sz w:val="22"/>
        </w:rPr>
        <w:t xml:space="preserve">la </w:t>
      </w:r>
      <w:r w:rsidR="00E4335D" w:rsidRPr="00AF1E06">
        <w:rPr>
          <w:rFonts w:ascii="Arial" w:eastAsia="MS Mincho" w:hAnsi="Arial" w:cs="Arial"/>
          <w:b/>
          <w:sz w:val="22"/>
        </w:rPr>
        <w:t>maggior voce di spesa</w:t>
      </w:r>
      <w:r w:rsidR="0033791F">
        <w:rPr>
          <w:rFonts w:ascii="Arial" w:eastAsia="MS Mincho" w:hAnsi="Arial" w:cs="Arial"/>
          <w:sz w:val="22"/>
        </w:rPr>
        <w:t>:</w:t>
      </w:r>
      <w:r w:rsidR="00E4335D" w:rsidRPr="00E4335D">
        <w:rPr>
          <w:rFonts w:ascii="Arial" w:eastAsia="MS Mincho" w:hAnsi="Arial" w:cs="Arial"/>
          <w:sz w:val="22"/>
        </w:rPr>
        <w:t xml:space="preserve"> </w:t>
      </w:r>
      <w:r w:rsidR="0033791F">
        <w:rPr>
          <w:rFonts w:ascii="Arial" w:eastAsia="MS Mincho" w:hAnsi="Arial" w:cs="Arial"/>
          <w:sz w:val="22"/>
        </w:rPr>
        <w:t>solo quella</w:t>
      </w:r>
      <w:r w:rsidR="00E4335D" w:rsidRPr="00E4335D">
        <w:rPr>
          <w:rFonts w:ascii="Arial" w:eastAsia="MS Mincho" w:hAnsi="Arial" w:cs="Arial"/>
          <w:sz w:val="22"/>
        </w:rPr>
        <w:t xml:space="preserve"> ospedaliera e farmacologica</w:t>
      </w:r>
      <w:r w:rsidR="002E5F96">
        <w:rPr>
          <w:rFonts w:ascii="Arial" w:eastAsia="MS Mincho" w:hAnsi="Arial" w:cs="Arial"/>
          <w:sz w:val="22"/>
        </w:rPr>
        <w:t>,</w:t>
      </w:r>
      <w:r w:rsidR="0033791F">
        <w:rPr>
          <w:rFonts w:ascii="Arial" w:eastAsia="MS Mincho" w:hAnsi="Arial" w:cs="Arial"/>
          <w:sz w:val="22"/>
        </w:rPr>
        <w:t xml:space="preserve"> </w:t>
      </w:r>
      <w:r w:rsidR="002E5F96">
        <w:rPr>
          <w:rFonts w:ascii="Arial" w:eastAsia="MS Mincho" w:hAnsi="Arial" w:cs="Arial"/>
          <w:sz w:val="22"/>
        </w:rPr>
        <w:t xml:space="preserve">imputabile a tali complicanze, </w:t>
      </w:r>
      <w:r w:rsidR="0033791F">
        <w:rPr>
          <w:rFonts w:ascii="Arial" w:eastAsia="MS Mincho" w:hAnsi="Arial" w:cs="Arial"/>
          <w:sz w:val="22"/>
        </w:rPr>
        <w:t xml:space="preserve">ammonta a </w:t>
      </w:r>
      <w:r w:rsidR="00E4335D" w:rsidRPr="00AF1E06">
        <w:rPr>
          <w:rFonts w:ascii="Arial" w:eastAsia="MS Mincho" w:hAnsi="Arial" w:cs="Arial"/>
          <w:b/>
          <w:sz w:val="22"/>
        </w:rPr>
        <w:t xml:space="preserve">2,6 miliardi </w:t>
      </w:r>
      <w:r w:rsidR="0033791F" w:rsidRPr="00AF1E06">
        <w:rPr>
          <w:rFonts w:ascii="Arial" w:eastAsia="MS Mincho" w:hAnsi="Arial" w:cs="Arial"/>
          <w:b/>
          <w:sz w:val="22"/>
        </w:rPr>
        <w:t xml:space="preserve">di euro </w:t>
      </w:r>
      <w:r w:rsidR="00E4335D" w:rsidRPr="00AF1E06">
        <w:rPr>
          <w:rFonts w:ascii="Arial" w:eastAsia="MS Mincho" w:hAnsi="Arial" w:cs="Arial"/>
          <w:b/>
          <w:sz w:val="22"/>
        </w:rPr>
        <w:t>all’anno</w:t>
      </w:r>
      <w:r w:rsidR="00E4335D" w:rsidRPr="00E4335D">
        <w:rPr>
          <w:rFonts w:ascii="Arial" w:eastAsia="MS Mincho" w:hAnsi="Arial" w:cs="Arial"/>
          <w:sz w:val="22"/>
        </w:rPr>
        <w:t xml:space="preserve">, </w:t>
      </w:r>
      <w:r w:rsidR="0033791F">
        <w:rPr>
          <w:rFonts w:ascii="Arial" w:eastAsia="MS Mincho" w:hAnsi="Arial" w:cs="Arial"/>
          <w:sz w:val="22"/>
        </w:rPr>
        <w:t xml:space="preserve">circa </w:t>
      </w:r>
      <w:r w:rsidR="00E4335D" w:rsidRPr="00E4335D">
        <w:rPr>
          <w:rFonts w:ascii="Arial" w:eastAsia="MS Mincho" w:hAnsi="Arial" w:cs="Arial"/>
          <w:sz w:val="22"/>
        </w:rPr>
        <w:t>un terzo (29</w:t>
      </w:r>
      <w:r w:rsidR="00E4335D">
        <w:rPr>
          <w:rFonts w:ascii="Arial" w:eastAsia="MS Mincho" w:hAnsi="Arial" w:cs="Arial"/>
          <w:sz w:val="22"/>
        </w:rPr>
        <w:t>,</w:t>
      </w:r>
      <w:r w:rsidR="00E4335D" w:rsidRPr="00E4335D">
        <w:rPr>
          <w:rFonts w:ascii="Arial" w:eastAsia="MS Mincho" w:hAnsi="Arial" w:cs="Arial"/>
          <w:sz w:val="22"/>
        </w:rPr>
        <w:t xml:space="preserve">8%) dei costi diretti </w:t>
      </w:r>
      <w:r w:rsidR="00E4335D">
        <w:rPr>
          <w:rFonts w:ascii="Arial" w:eastAsia="MS Mincho" w:hAnsi="Arial" w:cs="Arial"/>
          <w:sz w:val="22"/>
        </w:rPr>
        <w:t>d</w:t>
      </w:r>
      <w:r w:rsidR="0033791F">
        <w:rPr>
          <w:rFonts w:ascii="Arial" w:eastAsia="MS Mincho" w:hAnsi="Arial" w:cs="Arial"/>
          <w:sz w:val="22"/>
        </w:rPr>
        <w:t>ella patologia diabetica</w:t>
      </w:r>
      <w:r w:rsidR="00E4335D" w:rsidRPr="00E4335D">
        <w:rPr>
          <w:rFonts w:ascii="Arial" w:eastAsia="MS Mincho" w:hAnsi="Arial" w:cs="Arial"/>
          <w:sz w:val="22"/>
        </w:rPr>
        <w:t>.</w:t>
      </w:r>
      <w:r w:rsidR="0033791F" w:rsidRPr="0033791F">
        <w:t xml:space="preserve"> </w:t>
      </w:r>
      <w:r w:rsidR="002E5F96">
        <w:rPr>
          <w:rFonts w:ascii="Arial" w:eastAsia="MS Mincho" w:hAnsi="Arial" w:cs="Arial"/>
          <w:sz w:val="22"/>
        </w:rPr>
        <w:t>I</w:t>
      </w:r>
      <w:r w:rsidR="0033791F" w:rsidRPr="0033791F">
        <w:rPr>
          <w:rFonts w:ascii="Arial" w:eastAsia="MS Mincho" w:hAnsi="Arial" w:cs="Arial"/>
          <w:sz w:val="22"/>
        </w:rPr>
        <w:t xml:space="preserve"> principali Trials Clinici di </w:t>
      </w:r>
      <w:proofErr w:type="spellStart"/>
      <w:r w:rsidR="0033791F" w:rsidRPr="0033791F">
        <w:rPr>
          <w:rFonts w:ascii="Arial" w:eastAsia="MS Mincho" w:hAnsi="Arial" w:cs="Arial"/>
          <w:sz w:val="22"/>
        </w:rPr>
        <w:t>Outcome</w:t>
      </w:r>
      <w:proofErr w:type="spellEnd"/>
      <w:r w:rsidR="0033791F" w:rsidRPr="0033791F">
        <w:rPr>
          <w:rFonts w:ascii="Arial" w:eastAsia="MS Mincho" w:hAnsi="Arial" w:cs="Arial"/>
          <w:sz w:val="22"/>
        </w:rPr>
        <w:t xml:space="preserve"> Cardiovascolare (</w:t>
      </w:r>
      <w:proofErr w:type="spellStart"/>
      <w:r w:rsidR="0033791F" w:rsidRPr="0033791F">
        <w:rPr>
          <w:rFonts w:ascii="Arial" w:eastAsia="MS Mincho" w:hAnsi="Arial" w:cs="Arial"/>
          <w:sz w:val="22"/>
        </w:rPr>
        <w:t>CVOTs</w:t>
      </w:r>
      <w:proofErr w:type="spellEnd"/>
      <w:r w:rsidR="0033791F" w:rsidRPr="0033791F">
        <w:rPr>
          <w:rFonts w:ascii="Arial" w:eastAsia="MS Mincho" w:hAnsi="Arial" w:cs="Arial"/>
          <w:sz w:val="22"/>
        </w:rPr>
        <w:t>) su</w:t>
      </w:r>
      <w:r w:rsidR="008A019A">
        <w:rPr>
          <w:rFonts w:ascii="Arial" w:eastAsia="MS Mincho" w:hAnsi="Arial" w:cs="Arial"/>
          <w:sz w:val="22"/>
        </w:rPr>
        <w:t xml:space="preserve">gli </w:t>
      </w:r>
      <w:r w:rsidR="0033791F" w:rsidRPr="0033791F">
        <w:rPr>
          <w:rFonts w:ascii="Arial" w:eastAsia="MS Mincho" w:hAnsi="Arial" w:cs="Arial"/>
          <w:sz w:val="22"/>
        </w:rPr>
        <w:t xml:space="preserve">inibitori del co-trasportatore di sodio glucosio 2 (SGLT2i) e </w:t>
      </w:r>
      <w:r w:rsidR="008A019A">
        <w:rPr>
          <w:rFonts w:ascii="Arial" w:eastAsia="MS Mincho" w:hAnsi="Arial" w:cs="Arial"/>
          <w:sz w:val="22"/>
        </w:rPr>
        <w:t xml:space="preserve">gli </w:t>
      </w:r>
      <w:r w:rsidR="0033791F" w:rsidRPr="0033791F">
        <w:rPr>
          <w:rFonts w:ascii="Arial" w:eastAsia="MS Mincho" w:hAnsi="Arial" w:cs="Arial"/>
          <w:sz w:val="22"/>
        </w:rPr>
        <w:t xml:space="preserve">agonisti recettoriali del </w:t>
      </w:r>
      <w:proofErr w:type="spellStart"/>
      <w:r w:rsidR="0033791F" w:rsidRPr="0033791F">
        <w:rPr>
          <w:rFonts w:ascii="Arial" w:eastAsia="MS Mincho" w:hAnsi="Arial" w:cs="Arial"/>
          <w:sz w:val="22"/>
        </w:rPr>
        <w:t>glucagon</w:t>
      </w:r>
      <w:proofErr w:type="spellEnd"/>
      <w:r w:rsidR="0033791F" w:rsidRPr="0033791F">
        <w:rPr>
          <w:rFonts w:ascii="Arial" w:eastAsia="MS Mincho" w:hAnsi="Arial" w:cs="Arial"/>
          <w:sz w:val="22"/>
        </w:rPr>
        <w:t>-like peptide (GLP-1 RA) documentano</w:t>
      </w:r>
      <w:r w:rsidR="002E5F96">
        <w:rPr>
          <w:rFonts w:ascii="Arial" w:eastAsia="MS Mincho" w:hAnsi="Arial" w:cs="Arial"/>
          <w:sz w:val="22"/>
        </w:rPr>
        <w:t>,</w:t>
      </w:r>
      <w:r w:rsidR="0033791F" w:rsidRPr="0033791F">
        <w:rPr>
          <w:rFonts w:ascii="Arial" w:eastAsia="MS Mincho" w:hAnsi="Arial" w:cs="Arial"/>
          <w:sz w:val="22"/>
        </w:rPr>
        <w:t xml:space="preserve"> per alcune molecole</w:t>
      </w:r>
      <w:r w:rsidR="002E5F96">
        <w:rPr>
          <w:rFonts w:ascii="Arial" w:eastAsia="MS Mincho" w:hAnsi="Arial" w:cs="Arial"/>
          <w:sz w:val="22"/>
        </w:rPr>
        <w:t>,</w:t>
      </w:r>
      <w:r w:rsidR="0033791F" w:rsidRPr="0033791F">
        <w:rPr>
          <w:rFonts w:ascii="Arial" w:eastAsia="MS Mincho" w:hAnsi="Arial" w:cs="Arial"/>
          <w:sz w:val="22"/>
        </w:rPr>
        <w:t xml:space="preserve"> una riduzione degli eventi </w:t>
      </w:r>
      <w:r w:rsidR="002E5F96">
        <w:rPr>
          <w:rFonts w:ascii="Arial" w:eastAsia="MS Mincho" w:hAnsi="Arial" w:cs="Arial"/>
          <w:sz w:val="22"/>
        </w:rPr>
        <w:t xml:space="preserve">e della mortalità </w:t>
      </w:r>
      <w:r w:rsidR="0033791F" w:rsidRPr="0033791F">
        <w:rPr>
          <w:rFonts w:ascii="Arial" w:eastAsia="MS Mincho" w:hAnsi="Arial" w:cs="Arial"/>
          <w:sz w:val="22"/>
        </w:rPr>
        <w:t>cardiovascolari.</w:t>
      </w:r>
      <w:r w:rsidR="002E5F96">
        <w:rPr>
          <w:rFonts w:ascii="Arial" w:eastAsia="MS Mincho" w:hAnsi="Arial" w:cs="Arial"/>
          <w:sz w:val="22"/>
        </w:rPr>
        <w:t xml:space="preserve"> La </w:t>
      </w:r>
      <w:r w:rsidR="002E5F96" w:rsidRPr="00AF1E06">
        <w:rPr>
          <w:rFonts w:ascii="Arial" w:eastAsia="MS Mincho" w:hAnsi="Arial" w:cs="Arial"/>
          <w:b/>
          <w:sz w:val="22"/>
        </w:rPr>
        <w:t>nuova monografia</w:t>
      </w:r>
      <w:r w:rsidR="002E5F96">
        <w:rPr>
          <w:rFonts w:ascii="Arial" w:eastAsia="MS Mincho" w:hAnsi="Arial" w:cs="Arial"/>
          <w:sz w:val="22"/>
        </w:rPr>
        <w:t xml:space="preserve"> degli </w:t>
      </w:r>
      <w:r w:rsidR="002E5F96" w:rsidRPr="00AF1E06">
        <w:rPr>
          <w:rFonts w:ascii="Arial" w:eastAsia="MS Mincho" w:hAnsi="Arial" w:cs="Arial"/>
          <w:b/>
          <w:sz w:val="22"/>
        </w:rPr>
        <w:t>Annali AMD</w:t>
      </w:r>
      <w:r w:rsidR="002E5F96">
        <w:rPr>
          <w:rFonts w:ascii="Arial" w:eastAsia="MS Mincho" w:hAnsi="Arial" w:cs="Arial"/>
          <w:sz w:val="22"/>
        </w:rPr>
        <w:t xml:space="preserve"> </w:t>
      </w:r>
      <w:r w:rsidR="002E5F96" w:rsidRPr="00AF1E06">
        <w:rPr>
          <w:rFonts w:ascii="Arial" w:eastAsia="MS Mincho" w:hAnsi="Arial" w:cs="Arial"/>
          <w:b/>
          <w:i/>
          <w:sz w:val="22"/>
        </w:rPr>
        <w:t>“Diabete, obesità e malattia cardiovascolare: lo scenario italiano”</w:t>
      </w:r>
      <w:r w:rsidR="005A2F48">
        <w:rPr>
          <w:rFonts w:ascii="Arial" w:eastAsia="MS Mincho" w:hAnsi="Arial" w:cs="Arial"/>
          <w:sz w:val="22"/>
        </w:rPr>
        <w:t xml:space="preserve">, </w:t>
      </w:r>
      <w:r w:rsidR="005A2F48" w:rsidRPr="009A6B27">
        <w:rPr>
          <w:rFonts w:ascii="Arial" w:eastAsia="MS Mincho" w:hAnsi="Arial" w:cs="Arial"/>
          <w:sz w:val="22"/>
        </w:rPr>
        <w:t xml:space="preserve">realizzata con il contributo non condizionante di </w:t>
      </w:r>
      <w:r w:rsidR="005A2F48" w:rsidRPr="009A6B27">
        <w:rPr>
          <w:rFonts w:ascii="Arial" w:eastAsia="MS Mincho" w:hAnsi="Arial" w:cs="Arial"/>
          <w:b/>
          <w:sz w:val="22"/>
        </w:rPr>
        <w:t xml:space="preserve">Novo </w:t>
      </w:r>
      <w:proofErr w:type="spellStart"/>
      <w:r w:rsidR="005A2F48" w:rsidRPr="009A6B27">
        <w:rPr>
          <w:rFonts w:ascii="Arial" w:eastAsia="MS Mincho" w:hAnsi="Arial" w:cs="Arial"/>
          <w:b/>
          <w:sz w:val="22"/>
        </w:rPr>
        <w:t>Nordisk</w:t>
      </w:r>
      <w:proofErr w:type="spellEnd"/>
      <w:r w:rsidR="005A2F48" w:rsidRPr="009A6B27">
        <w:rPr>
          <w:rFonts w:ascii="Arial" w:eastAsia="MS Mincho" w:hAnsi="Arial" w:cs="Arial"/>
          <w:sz w:val="22"/>
        </w:rPr>
        <w:t>,</w:t>
      </w:r>
      <w:r w:rsidR="002E5F96">
        <w:rPr>
          <w:rFonts w:ascii="Arial" w:eastAsia="MS Mincho" w:hAnsi="Arial" w:cs="Arial"/>
          <w:sz w:val="22"/>
        </w:rPr>
        <w:t xml:space="preserve"> ha </w:t>
      </w:r>
      <w:r w:rsidR="002E5F96" w:rsidRPr="002E5F96">
        <w:rPr>
          <w:rFonts w:ascii="Arial" w:eastAsia="MS Mincho" w:hAnsi="Arial" w:cs="Arial"/>
          <w:sz w:val="22"/>
        </w:rPr>
        <w:t>quantific</w:t>
      </w:r>
      <w:r w:rsidR="002E5F96">
        <w:rPr>
          <w:rFonts w:ascii="Arial" w:eastAsia="MS Mincho" w:hAnsi="Arial" w:cs="Arial"/>
          <w:sz w:val="22"/>
        </w:rPr>
        <w:t>ato</w:t>
      </w:r>
      <w:r w:rsidR="002E5F96" w:rsidRPr="002E5F96">
        <w:rPr>
          <w:rFonts w:ascii="Arial" w:eastAsia="MS Mincho" w:hAnsi="Arial" w:cs="Arial"/>
          <w:sz w:val="22"/>
        </w:rPr>
        <w:t xml:space="preserve"> </w:t>
      </w:r>
      <w:r w:rsidR="002E5F96">
        <w:rPr>
          <w:rFonts w:ascii="Arial" w:eastAsia="MS Mincho" w:hAnsi="Arial" w:cs="Arial"/>
          <w:sz w:val="22"/>
        </w:rPr>
        <w:t>i</w:t>
      </w:r>
      <w:r w:rsidR="002E5F96" w:rsidRPr="002E5F96">
        <w:rPr>
          <w:rFonts w:ascii="Arial" w:eastAsia="MS Mincho" w:hAnsi="Arial" w:cs="Arial"/>
          <w:sz w:val="22"/>
        </w:rPr>
        <w:t xml:space="preserve"> pazienti </w:t>
      </w:r>
      <w:r w:rsidR="007A73B9">
        <w:rPr>
          <w:rFonts w:ascii="Arial" w:eastAsia="MS Mincho" w:hAnsi="Arial" w:cs="Arial"/>
          <w:sz w:val="22"/>
        </w:rPr>
        <w:t xml:space="preserve">italiani </w:t>
      </w:r>
      <w:r w:rsidR="00AF1E06">
        <w:rPr>
          <w:rFonts w:ascii="Arial" w:eastAsia="MS Mincho" w:hAnsi="Arial" w:cs="Arial"/>
          <w:sz w:val="22"/>
        </w:rPr>
        <w:t xml:space="preserve">che potrebbero essere trattati </w:t>
      </w:r>
      <w:r w:rsidR="00AF1E06" w:rsidRPr="002E5F96">
        <w:rPr>
          <w:rFonts w:ascii="Arial" w:eastAsia="MS Mincho" w:hAnsi="Arial" w:cs="Arial"/>
          <w:sz w:val="22"/>
        </w:rPr>
        <w:t>con SGLT2</w:t>
      </w:r>
      <w:r w:rsidR="007A73B9">
        <w:rPr>
          <w:rFonts w:ascii="Arial" w:eastAsia="MS Mincho" w:hAnsi="Arial" w:cs="Arial"/>
          <w:sz w:val="22"/>
        </w:rPr>
        <w:t>i</w:t>
      </w:r>
      <w:r w:rsidR="00AF1E06" w:rsidRPr="002E5F96">
        <w:rPr>
          <w:rFonts w:ascii="Arial" w:eastAsia="MS Mincho" w:hAnsi="Arial" w:cs="Arial"/>
          <w:sz w:val="22"/>
        </w:rPr>
        <w:t xml:space="preserve"> e GLP1 RA</w:t>
      </w:r>
      <w:r w:rsidR="002E5F96" w:rsidRPr="002E5F96">
        <w:rPr>
          <w:rFonts w:ascii="Arial" w:eastAsia="MS Mincho" w:hAnsi="Arial" w:cs="Arial"/>
          <w:sz w:val="22"/>
        </w:rPr>
        <w:t xml:space="preserve">, le percentuali di </w:t>
      </w:r>
      <w:r w:rsidR="00954F90">
        <w:rPr>
          <w:rFonts w:ascii="Arial" w:eastAsia="MS Mincho" w:hAnsi="Arial" w:cs="Arial"/>
          <w:sz w:val="22"/>
        </w:rPr>
        <w:t>quelli</w:t>
      </w:r>
      <w:r w:rsidR="002E5F96" w:rsidRPr="002E5F96">
        <w:rPr>
          <w:rFonts w:ascii="Arial" w:eastAsia="MS Mincho" w:hAnsi="Arial" w:cs="Arial"/>
          <w:sz w:val="22"/>
        </w:rPr>
        <w:t xml:space="preserve"> </w:t>
      </w:r>
      <w:r w:rsidR="00AF1E06">
        <w:rPr>
          <w:rFonts w:ascii="Arial" w:eastAsia="MS Mincho" w:hAnsi="Arial" w:cs="Arial"/>
          <w:sz w:val="22"/>
        </w:rPr>
        <w:t>già</w:t>
      </w:r>
      <w:r w:rsidR="002E5F96" w:rsidRPr="002E5F96">
        <w:rPr>
          <w:rFonts w:ascii="Arial" w:eastAsia="MS Mincho" w:hAnsi="Arial" w:cs="Arial"/>
          <w:sz w:val="22"/>
        </w:rPr>
        <w:t xml:space="preserve"> in terapia, e il potenziale impatto derivante dall’utilizzo di questi </w:t>
      </w:r>
      <w:r w:rsidR="00AF1E06">
        <w:rPr>
          <w:rFonts w:ascii="Arial" w:eastAsia="MS Mincho" w:hAnsi="Arial" w:cs="Arial"/>
          <w:sz w:val="22"/>
        </w:rPr>
        <w:t>farmaci</w:t>
      </w:r>
      <w:r w:rsidR="002E5F96" w:rsidRPr="002E5F96">
        <w:rPr>
          <w:rFonts w:ascii="Arial" w:eastAsia="MS Mincho" w:hAnsi="Arial" w:cs="Arial"/>
          <w:sz w:val="22"/>
        </w:rPr>
        <w:t xml:space="preserve"> in tutti i </w:t>
      </w:r>
      <w:r w:rsidR="00954F90">
        <w:rPr>
          <w:rFonts w:ascii="Arial" w:eastAsia="MS Mincho" w:hAnsi="Arial" w:cs="Arial"/>
          <w:sz w:val="22"/>
        </w:rPr>
        <w:t>soggett</w:t>
      </w:r>
      <w:r w:rsidR="002E5F96" w:rsidRPr="002E5F96">
        <w:rPr>
          <w:rFonts w:ascii="Arial" w:eastAsia="MS Mincho" w:hAnsi="Arial" w:cs="Arial"/>
          <w:sz w:val="22"/>
        </w:rPr>
        <w:t>i eleggibili.</w:t>
      </w:r>
    </w:p>
    <w:p w:rsidR="00AF1E06" w:rsidRDefault="00AF1E06" w:rsidP="00722CCA">
      <w:pPr>
        <w:widowControl w:val="0"/>
        <w:autoSpaceDE w:val="0"/>
        <w:autoSpaceDN w:val="0"/>
        <w:adjustRightInd w:val="0"/>
        <w:spacing w:line="264" w:lineRule="auto"/>
        <w:jc w:val="both"/>
        <w:rPr>
          <w:rFonts w:ascii="Arial" w:eastAsia="MS Mincho" w:hAnsi="Arial" w:cs="Arial"/>
          <w:sz w:val="22"/>
        </w:rPr>
      </w:pPr>
    </w:p>
    <w:p w:rsidR="00AF1E06" w:rsidRDefault="00AF1E06" w:rsidP="00722CCA">
      <w:pPr>
        <w:widowControl w:val="0"/>
        <w:autoSpaceDE w:val="0"/>
        <w:autoSpaceDN w:val="0"/>
        <w:adjustRightInd w:val="0"/>
        <w:spacing w:line="264" w:lineRule="auto"/>
        <w:jc w:val="both"/>
        <w:rPr>
          <w:rFonts w:ascii="Arial" w:eastAsia="MS Mincho" w:hAnsi="Arial" w:cs="Arial"/>
          <w:i/>
          <w:sz w:val="22"/>
        </w:rPr>
      </w:pPr>
      <w:r>
        <w:rPr>
          <w:rFonts w:ascii="Arial" w:eastAsia="MS Mincho" w:hAnsi="Arial" w:cs="Arial"/>
          <w:i/>
          <w:sz w:val="22"/>
        </w:rPr>
        <w:t>“</w:t>
      </w:r>
      <w:r w:rsidR="00EB4DF3">
        <w:rPr>
          <w:rFonts w:ascii="Arial" w:eastAsia="MS Mincho" w:hAnsi="Arial" w:cs="Arial"/>
          <w:i/>
          <w:sz w:val="22"/>
        </w:rPr>
        <w:t>L</w:t>
      </w:r>
      <w:r w:rsidR="0018024A">
        <w:rPr>
          <w:rFonts w:ascii="Arial" w:eastAsia="MS Mincho" w:hAnsi="Arial" w:cs="Arial"/>
          <w:i/>
          <w:sz w:val="22"/>
        </w:rPr>
        <w:t xml:space="preserve">a nostra analisi ha </w:t>
      </w:r>
      <w:r w:rsidR="00D50316">
        <w:rPr>
          <w:rFonts w:ascii="Arial" w:eastAsia="MS Mincho" w:hAnsi="Arial" w:cs="Arial"/>
          <w:i/>
          <w:sz w:val="22"/>
        </w:rPr>
        <w:t>evidenziato come</w:t>
      </w:r>
      <w:r w:rsidR="008513C3">
        <w:rPr>
          <w:rFonts w:ascii="Arial" w:eastAsia="MS Mincho" w:hAnsi="Arial" w:cs="Arial"/>
          <w:i/>
          <w:sz w:val="22"/>
        </w:rPr>
        <w:t>,</w:t>
      </w:r>
      <w:r w:rsidR="00D50316">
        <w:rPr>
          <w:rFonts w:ascii="Arial" w:eastAsia="MS Mincho" w:hAnsi="Arial" w:cs="Arial"/>
          <w:i/>
          <w:sz w:val="22"/>
        </w:rPr>
        <w:t xml:space="preserve"> su un totale di </w:t>
      </w:r>
      <w:bookmarkStart w:id="0" w:name="_GoBack"/>
      <w:bookmarkEnd w:id="0"/>
      <w:r w:rsidR="00D50316" w:rsidRPr="00D50316">
        <w:rPr>
          <w:rFonts w:ascii="Arial" w:eastAsia="MS Mincho" w:hAnsi="Arial" w:cs="Arial"/>
          <w:i/>
          <w:sz w:val="22"/>
        </w:rPr>
        <w:t xml:space="preserve">468.940 pazienti registrati nel database </w:t>
      </w:r>
      <w:r w:rsidR="008513C3">
        <w:rPr>
          <w:rFonts w:ascii="Arial" w:eastAsia="MS Mincho" w:hAnsi="Arial" w:cs="Arial"/>
          <w:i/>
          <w:sz w:val="22"/>
        </w:rPr>
        <w:t xml:space="preserve">degli </w:t>
      </w:r>
      <w:r w:rsidR="00D50316" w:rsidRPr="00D50316">
        <w:rPr>
          <w:rFonts w:ascii="Arial" w:eastAsia="MS Mincho" w:hAnsi="Arial" w:cs="Arial"/>
          <w:i/>
          <w:sz w:val="22"/>
        </w:rPr>
        <w:t>Annali</w:t>
      </w:r>
      <w:r w:rsidR="00D50316">
        <w:rPr>
          <w:rFonts w:ascii="Arial" w:eastAsia="MS Mincho" w:hAnsi="Arial" w:cs="Arial"/>
          <w:i/>
          <w:sz w:val="22"/>
        </w:rPr>
        <w:t xml:space="preserve">, </w:t>
      </w:r>
      <w:r w:rsidR="00D50316" w:rsidRPr="00D50316">
        <w:rPr>
          <w:rFonts w:ascii="Arial" w:eastAsia="MS Mincho" w:hAnsi="Arial" w:cs="Arial"/>
          <w:i/>
          <w:sz w:val="22"/>
        </w:rPr>
        <w:t xml:space="preserve">41.715 sono risultati eleggibili </w:t>
      </w:r>
      <w:r w:rsidR="00D50316">
        <w:rPr>
          <w:rFonts w:ascii="Arial" w:eastAsia="MS Mincho" w:hAnsi="Arial" w:cs="Arial"/>
          <w:i/>
          <w:sz w:val="22"/>
        </w:rPr>
        <w:t>all</w:t>
      </w:r>
      <w:r w:rsidR="00D50316" w:rsidRPr="00D50316">
        <w:rPr>
          <w:rFonts w:ascii="Arial" w:eastAsia="MS Mincho" w:hAnsi="Arial" w:cs="Arial"/>
          <w:i/>
          <w:sz w:val="22"/>
        </w:rPr>
        <w:t>o studio EMPA-REG OUTCOME</w:t>
      </w:r>
      <w:r w:rsidR="00A9245A">
        <w:rPr>
          <w:rStyle w:val="Rimandonotaapidipagina"/>
          <w:rFonts w:ascii="Arial" w:eastAsia="MS Mincho" w:hAnsi="Arial" w:cs="Arial"/>
          <w:i/>
          <w:sz w:val="22"/>
        </w:rPr>
        <w:footnoteReference w:id="1"/>
      </w:r>
      <w:r w:rsidR="00D50316">
        <w:rPr>
          <w:rFonts w:ascii="Arial" w:eastAsia="MS Mincho" w:hAnsi="Arial" w:cs="Arial"/>
          <w:i/>
          <w:sz w:val="22"/>
        </w:rPr>
        <w:t xml:space="preserve"> (quindi all’impiego di </w:t>
      </w:r>
      <w:proofErr w:type="spellStart"/>
      <w:r w:rsidR="00D50316" w:rsidRPr="00D50316">
        <w:rPr>
          <w:rFonts w:ascii="Arial" w:eastAsia="MS Mincho" w:hAnsi="Arial" w:cs="Arial"/>
          <w:i/>
          <w:sz w:val="22"/>
        </w:rPr>
        <w:t>empagliflozin</w:t>
      </w:r>
      <w:proofErr w:type="spellEnd"/>
      <w:r w:rsidR="00D50316">
        <w:rPr>
          <w:rFonts w:ascii="Arial" w:eastAsia="MS Mincho" w:hAnsi="Arial" w:cs="Arial"/>
          <w:i/>
          <w:sz w:val="22"/>
        </w:rPr>
        <w:t>)</w:t>
      </w:r>
      <w:r w:rsidR="00D50316" w:rsidRPr="00D50316">
        <w:rPr>
          <w:rFonts w:ascii="Arial" w:eastAsia="MS Mincho" w:hAnsi="Arial" w:cs="Arial"/>
          <w:i/>
          <w:sz w:val="22"/>
        </w:rPr>
        <w:t xml:space="preserve"> e</w:t>
      </w:r>
      <w:r w:rsidR="008513C3">
        <w:rPr>
          <w:rFonts w:ascii="Arial" w:eastAsia="MS Mincho" w:hAnsi="Arial" w:cs="Arial"/>
          <w:i/>
          <w:sz w:val="22"/>
        </w:rPr>
        <w:t>,</w:t>
      </w:r>
      <w:r w:rsidR="00D50316" w:rsidRPr="00D50316">
        <w:rPr>
          <w:rFonts w:ascii="Arial" w:eastAsia="MS Mincho" w:hAnsi="Arial" w:cs="Arial"/>
          <w:i/>
          <w:sz w:val="22"/>
        </w:rPr>
        <w:t xml:space="preserve"> di questi</w:t>
      </w:r>
      <w:r w:rsidR="008513C3">
        <w:rPr>
          <w:rFonts w:ascii="Arial" w:eastAsia="MS Mincho" w:hAnsi="Arial" w:cs="Arial"/>
          <w:i/>
          <w:sz w:val="22"/>
        </w:rPr>
        <w:t>,</w:t>
      </w:r>
      <w:r w:rsidR="00D50316" w:rsidRPr="00D50316">
        <w:rPr>
          <w:rFonts w:ascii="Arial" w:eastAsia="MS Mincho" w:hAnsi="Arial" w:cs="Arial"/>
          <w:i/>
          <w:sz w:val="22"/>
        </w:rPr>
        <w:t xml:space="preserve"> </w:t>
      </w:r>
      <w:r w:rsidR="00CF4C29">
        <w:rPr>
          <w:rFonts w:ascii="Arial" w:eastAsia="MS Mincho" w:hAnsi="Arial" w:cs="Arial"/>
          <w:i/>
          <w:sz w:val="22"/>
        </w:rPr>
        <w:t xml:space="preserve">solo </w:t>
      </w:r>
      <w:r w:rsidR="00D50316" w:rsidRPr="00D50316">
        <w:rPr>
          <w:rFonts w:ascii="Arial" w:eastAsia="MS Mincho" w:hAnsi="Arial" w:cs="Arial"/>
          <w:i/>
          <w:sz w:val="22"/>
        </w:rPr>
        <w:t xml:space="preserve">2.161 </w:t>
      </w:r>
      <w:r w:rsidR="00CF4C29">
        <w:rPr>
          <w:rFonts w:ascii="Arial" w:eastAsia="MS Mincho" w:hAnsi="Arial" w:cs="Arial"/>
          <w:i/>
          <w:sz w:val="22"/>
        </w:rPr>
        <w:t xml:space="preserve">(5%) </w:t>
      </w:r>
      <w:r w:rsidR="00D50316" w:rsidRPr="00D50316">
        <w:rPr>
          <w:rFonts w:ascii="Arial" w:eastAsia="MS Mincho" w:hAnsi="Arial" w:cs="Arial"/>
          <w:i/>
          <w:sz w:val="22"/>
        </w:rPr>
        <w:t xml:space="preserve">erano </w:t>
      </w:r>
      <w:r w:rsidR="00D50316">
        <w:rPr>
          <w:rFonts w:ascii="Arial" w:eastAsia="MS Mincho" w:hAnsi="Arial" w:cs="Arial"/>
          <w:i/>
          <w:sz w:val="22"/>
        </w:rPr>
        <w:t xml:space="preserve">effettivamente </w:t>
      </w:r>
      <w:r w:rsidR="00D50316" w:rsidRPr="00D50316">
        <w:rPr>
          <w:rFonts w:ascii="Arial" w:eastAsia="MS Mincho" w:hAnsi="Arial" w:cs="Arial"/>
          <w:i/>
          <w:sz w:val="22"/>
        </w:rPr>
        <w:t>trattati con SGLT</w:t>
      </w:r>
      <w:r w:rsidR="002D2487">
        <w:rPr>
          <w:rFonts w:ascii="Arial" w:eastAsia="MS Mincho" w:hAnsi="Arial" w:cs="Arial"/>
          <w:i/>
          <w:sz w:val="22"/>
        </w:rPr>
        <w:t>2</w:t>
      </w:r>
      <w:r w:rsidR="00D50316" w:rsidRPr="00D50316">
        <w:rPr>
          <w:rFonts w:ascii="Arial" w:eastAsia="MS Mincho" w:hAnsi="Arial" w:cs="Arial"/>
          <w:i/>
          <w:sz w:val="22"/>
        </w:rPr>
        <w:t>i nell’anno 2016</w:t>
      </w:r>
      <w:r w:rsidR="00D50316">
        <w:rPr>
          <w:rFonts w:ascii="Arial" w:eastAsia="MS Mincho" w:hAnsi="Arial" w:cs="Arial"/>
          <w:i/>
          <w:sz w:val="22"/>
        </w:rPr>
        <w:t xml:space="preserve">; </w:t>
      </w:r>
      <w:r w:rsidR="00D50316" w:rsidRPr="00D50316">
        <w:rPr>
          <w:rFonts w:ascii="Arial" w:eastAsia="MS Mincho" w:hAnsi="Arial" w:cs="Arial"/>
          <w:i/>
          <w:sz w:val="22"/>
        </w:rPr>
        <w:t>139.637 soggetti</w:t>
      </w:r>
      <w:r w:rsidR="00D50316">
        <w:rPr>
          <w:rFonts w:ascii="Arial" w:eastAsia="MS Mincho" w:hAnsi="Arial" w:cs="Arial"/>
          <w:i/>
          <w:sz w:val="22"/>
        </w:rPr>
        <w:t>,</w:t>
      </w:r>
      <w:r w:rsidR="00D50316" w:rsidRPr="00D50316">
        <w:rPr>
          <w:rFonts w:ascii="Arial" w:eastAsia="MS Mincho" w:hAnsi="Arial" w:cs="Arial"/>
          <w:i/>
          <w:sz w:val="22"/>
        </w:rPr>
        <w:t xml:space="preserve"> </w:t>
      </w:r>
      <w:r w:rsidR="00D50316">
        <w:rPr>
          <w:rFonts w:ascii="Arial" w:eastAsia="MS Mincho" w:hAnsi="Arial" w:cs="Arial"/>
          <w:i/>
          <w:sz w:val="22"/>
        </w:rPr>
        <w:t>invece,</w:t>
      </w:r>
      <w:r w:rsidR="00D50316" w:rsidRPr="00D50316">
        <w:rPr>
          <w:rFonts w:ascii="Arial" w:eastAsia="MS Mincho" w:hAnsi="Arial" w:cs="Arial"/>
          <w:i/>
          <w:sz w:val="22"/>
        </w:rPr>
        <w:t xml:space="preserve"> sono risultati potenzialmente eleggibili </w:t>
      </w:r>
      <w:r w:rsidR="00D50316">
        <w:rPr>
          <w:rFonts w:ascii="Arial" w:eastAsia="MS Mincho" w:hAnsi="Arial" w:cs="Arial"/>
          <w:i/>
          <w:sz w:val="22"/>
        </w:rPr>
        <w:t>all</w:t>
      </w:r>
      <w:r w:rsidR="00D50316" w:rsidRPr="00D50316">
        <w:rPr>
          <w:rFonts w:ascii="Arial" w:eastAsia="MS Mincho" w:hAnsi="Arial" w:cs="Arial"/>
          <w:i/>
          <w:sz w:val="22"/>
        </w:rPr>
        <w:t>o studio LEADER</w:t>
      </w:r>
      <w:r w:rsidR="00A9245A">
        <w:rPr>
          <w:rStyle w:val="Rimandonotaapidipagina"/>
          <w:rFonts w:ascii="Arial" w:eastAsia="MS Mincho" w:hAnsi="Arial" w:cs="Arial"/>
          <w:i/>
          <w:sz w:val="22"/>
        </w:rPr>
        <w:footnoteReference w:id="2"/>
      </w:r>
      <w:r w:rsidR="00D50316">
        <w:rPr>
          <w:rFonts w:ascii="Arial" w:eastAsia="MS Mincho" w:hAnsi="Arial" w:cs="Arial"/>
          <w:i/>
          <w:sz w:val="22"/>
        </w:rPr>
        <w:t xml:space="preserve"> (</w:t>
      </w:r>
      <w:r w:rsidR="00CF4C29">
        <w:rPr>
          <w:rFonts w:ascii="Arial" w:eastAsia="MS Mincho" w:hAnsi="Arial" w:cs="Arial"/>
          <w:i/>
          <w:sz w:val="22"/>
        </w:rPr>
        <w:t xml:space="preserve">quindi </w:t>
      </w:r>
      <w:r w:rsidR="00D50316">
        <w:rPr>
          <w:rFonts w:ascii="Arial" w:eastAsia="MS Mincho" w:hAnsi="Arial" w:cs="Arial"/>
          <w:i/>
          <w:sz w:val="22"/>
        </w:rPr>
        <w:t xml:space="preserve">all’utilizzo di </w:t>
      </w:r>
      <w:proofErr w:type="spellStart"/>
      <w:r w:rsidR="00D50316" w:rsidRPr="00D50316">
        <w:rPr>
          <w:rFonts w:ascii="Arial" w:eastAsia="MS Mincho" w:hAnsi="Arial" w:cs="Arial"/>
          <w:i/>
          <w:sz w:val="22"/>
        </w:rPr>
        <w:t>liraglutide</w:t>
      </w:r>
      <w:proofErr w:type="spellEnd"/>
      <w:r w:rsidR="00D50316">
        <w:rPr>
          <w:rFonts w:ascii="Arial" w:eastAsia="MS Mincho" w:hAnsi="Arial" w:cs="Arial"/>
          <w:i/>
          <w:sz w:val="22"/>
        </w:rPr>
        <w:t>)</w:t>
      </w:r>
      <w:r w:rsidR="00CF4C29">
        <w:rPr>
          <w:rFonts w:ascii="Arial" w:eastAsia="MS Mincho" w:hAnsi="Arial" w:cs="Arial"/>
          <w:i/>
          <w:sz w:val="22"/>
        </w:rPr>
        <w:t>,</w:t>
      </w:r>
      <w:r w:rsidR="00D50316" w:rsidRPr="00D50316">
        <w:rPr>
          <w:rFonts w:ascii="Arial" w:eastAsia="MS Mincho" w:hAnsi="Arial" w:cs="Arial"/>
          <w:i/>
          <w:sz w:val="22"/>
        </w:rPr>
        <w:t xml:space="preserve"> </w:t>
      </w:r>
      <w:r w:rsidR="00CF4C29">
        <w:rPr>
          <w:rFonts w:ascii="Arial" w:eastAsia="MS Mincho" w:hAnsi="Arial" w:cs="Arial"/>
          <w:i/>
          <w:sz w:val="22"/>
        </w:rPr>
        <w:t>ma</w:t>
      </w:r>
      <w:r w:rsidR="00D50316" w:rsidRPr="00D50316">
        <w:rPr>
          <w:rFonts w:ascii="Arial" w:eastAsia="MS Mincho" w:hAnsi="Arial" w:cs="Arial"/>
          <w:i/>
          <w:sz w:val="22"/>
        </w:rPr>
        <w:t xml:space="preserve"> di questi </w:t>
      </w:r>
      <w:r w:rsidR="00CF4C29">
        <w:rPr>
          <w:rFonts w:ascii="Arial" w:eastAsia="MS Mincho" w:hAnsi="Arial" w:cs="Arial"/>
          <w:i/>
          <w:sz w:val="22"/>
        </w:rPr>
        <w:t xml:space="preserve">appena </w:t>
      </w:r>
      <w:r w:rsidR="00D50316" w:rsidRPr="00D50316">
        <w:rPr>
          <w:rFonts w:ascii="Arial" w:eastAsia="MS Mincho" w:hAnsi="Arial" w:cs="Arial"/>
          <w:i/>
          <w:sz w:val="22"/>
        </w:rPr>
        <w:t>4.823</w:t>
      </w:r>
      <w:r w:rsidR="00CF4C29">
        <w:rPr>
          <w:rFonts w:ascii="Arial" w:eastAsia="MS Mincho" w:hAnsi="Arial" w:cs="Arial"/>
          <w:i/>
          <w:sz w:val="22"/>
        </w:rPr>
        <w:t xml:space="preserve"> (3,5%)</w:t>
      </w:r>
      <w:r w:rsidR="00D50316" w:rsidRPr="00D50316">
        <w:rPr>
          <w:rFonts w:ascii="Arial" w:eastAsia="MS Mincho" w:hAnsi="Arial" w:cs="Arial"/>
          <w:i/>
          <w:sz w:val="22"/>
        </w:rPr>
        <w:t xml:space="preserve"> risultavano trattati con GLP-1 RA</w:t>
      </w:r>
      <w:r w:rsidR="00D50316">
        <w:rPr>
          <w:rFonts w:ascii="Arial" w:eastAsia="MS Mincho" w:hAnsi="Arial" w:cs="Arial"/>
          <w:i/>
          <w:sz w:val="22"/>
        </w:rPr>
        <w:t xml:space="preserve">”, </w:t>
      </w:r>
      <w:r w:rsidR="00D50316">
        <w:rPr>
          <w:rFonts w:ascii="Arial" w:eastAsia="MS Mincho" w:hAnsi="Arial" w:cs="Arial"/>
          <w:sz w:val="22"/>
        </w:rPr>
        <w:t xml:space="preserve">illustra </w:t>
      </w:r>
      <w:r w:rsidR="00D50316" w:rsidRPr="00EB4DF3">
        <w:rPr>
          <w:rFonts w:ascii="Arial" w:eastAsia="MS Mincho" w:hAnsi="Arial" w:cs="Arial"/>
          <w:b/>
          <w:sz w:val="22"/>
        </w:rPr>
        <w:t>Domenico Mannino</w:t>
      </w:r>
      <w:r w:rsidR="00D50316">
        <w:rPr>
          <w:rFonts w:ascii="Arial" w:eastAsia="MS Mincho" w:hAnsi="Arial" w:cs="Arial"/>
          <w:sz w:val="22"/>
        </w:rPr>
        <w:t xml:space="preserve">, Presidente AMD. </w:t>
      </w:r>
      <w:r w:rsidR="00CF4C29">
        <w:rPr>
          <w:rFonts w:ascii="Arial" w:eastAsia="MS Mincho" w:hAnsi="Arial" w:cs="Arial"/>
          <w:sz w:val="22"/>
        </w:rPr>
        <w:t>“</w:t>
      </w:r>
      <w:r w:rsidR="00CF4C29" w:rsidRPr="002D2487">
        <w:rPr>
          <w:rFonts w:ascii="Arial" w:eastAsia="MS Mincho" w:hAnsi="Arial" w:cs="Arial"/>
          <w:i/>
          <w:sz w:val="22"/>
        </w:rPr>
        <w:t>Se tutti i pazienti eleggibili per gli studi EMPA-REG OUTCOME e LEADER fossero trattati rispettivamente con SGLT2i e GLP-1 RA</w:t>
      </w:r>
      <w:r w:rsidR="00CF4C29" w:rsidRPr="00CF4C29">
        <w:rPr>
          <w:rFonts w:ascii="Arial" w:eastAsia="MS Mincho" w:hAnsi="Arial" w:cs="Arial"/>
          <w:i/>
          <w:sz w:val="22"/>
        </w:rPr>
        <w:t xml:space="preserve">, </w:t>
      </w:r>
      <w:r w:rsidR="00263FC7" w:rsidRPr="00263FC7">
        <w:rPr>
          <w:rFonts w:ascii="Arial" w:eastAsia="MS Mincho" w:hAnsi="Arial" w:cs="Arial"/>
          <w:i/>
          <w:sz w:val="22"/>
        </w:rPr>
        <w:t xml:space="preserve">applicando </w:t>
      </w:r>
      <w:r w:rsidR="008513C3" w:rsidRPr="00263FC7">
        <w:rPr>
          <w:rFonts w:ascii="Arial" w:eastAsia="MS Mincho" w:hAnsi="Arial" w:cs="Arial"/>
          <w:i/>
          <w:sz w:val="22"/>
        </w:rPr>
        <w:t xml:space="preserve">al </w:t>
      </w:r>
      <w:proofErr w:type="spellStart"/>
      <w:r w:rsidR="008513C3" w:rsidRPr="00263FC7">
        <w:rPr>
          <w:rFonts w:ascii="Arial" w:eastAsia="MS Mincho" w:hAnsi="Arial" w:cs="Arial"/>
          <w:i/>
          <w:sz w:val="22"/>
        </w:rPr>
        <w:t>real</w:t>
      </w:r>
      <w:proofErr w:type="spellEnd"/>
      <w:r w:rsidR="008513C3" w:rsidRPr="00263FC7">
        <w:rPr>
          <w:rFonts w:ascii="Arial" w:eastAsia="MS Mincho" w:hAnsi="Arial" w:cs="Arial"/>
          <w:i/>
          <w:sz w:val="22"/>
        </w:rPr>
        <w:t xml:space="preserve">-world </w:t>
      </w:r>
      <w:r w:rsidR="00263FC7" w:rsidRPr="00263FC7">
        <w:rPr>
          <w:rFonts w:ascii="Arial" w:eastAsia="MS Mincho" w:hAnsi="Arial" w:cs="Arial"/>
          <w:i/>
          <w:sz w:val="22"/>
        </w:rPr>
        <w:t xml:space="preserve">il tasso di eventi evidenziato nei trial, </w:t>
      </w:r>
      <w:r w:rsidR="00CF4C29" w:rsidRPr="00CF4C29">
        <w:rPr>
          <w:rFonts w:ascii="Arial" w:eastAsia="MS Mincho" w:hAnsi="Arial" w:cs="Arial"/>
          <w:i/>
          <w:sz w:val="22"/>
        </w:rPr>
        <w:t>il beneficio cardiovascolare imputabile ai farmaci in studio si tradurrebbe in un numero consistente di eventi evitati</w:t>
      </w:r>
      <w:r w:rsidR="00EB4DF3">
        <w:rPr>
          <w:rFonts w:ascii="Arial" w:eastAsia="MS Mincho" w:hAnsi="Arial" w:cs="Arial"/>
          <w:i/>
          <w:sz w:val="22"/>
        </w:rPr>
        <w:t xml:space="preserve">. Nello specifico, </w:t>
      </w:r>
      <w:r w:rsidR="00EB4DF3" w:rsidRPr="002D2487">
        <w:rPr>
          <w:rFonts w:ascii="Arial" w:eastAsia="MS Mincho" w:hAnsi="Arial" w:cs="Arial"/>
          <w:b/>
          <w:i/>
          <w:sz w:val="22"/>
        </w:rPr>
        <w:t>c</w:t>
      </w:r>
      <w:r w:rsidR="00CF4C29" w:rsidRPr="002D2487">
        <w:rPr>
          <w:rFonts w:ascii="Arial" w:eastAsia="MS Mincho" w:hAnsi="Arial" w:cs="Arial"/>
          <w:b/>
          <w:i/>
          <w:sz w:val="22"/>
        </w:rPr>
        <w:t xml:space="preserve">on gli SGLT2i </w:t>
      </w:r>
      <w:r w:rsidR="002D2487" w:rsidRPr="002D2487">
        <w:rPr>
          <w:rFonts w:ascii="Arial" w:eastAsia="MS Mincho" w:hAnsi="Arial" w:cs="Arial"/>
          <w:i/>
          <w:sz w:val="22"/>
        </w:rPr>
        <w:t xml:space="preserve">verrebbero </w:t>
      </w:r>
      <w:r w:rsidR="00A9245A">
        <w:rPr>
          <w:rFonts w:ascii="Arial" w:eastAsia="MS Mincho" w:hAnsi="Arial" w:cs="Arial"/>
          <w:b/>
          <w:i/>
          <w:sz w:val="22"/>
        </w:rPr>
        <w:t>scongiurate</w:t>
      </w:r>
      <w:r w:rsidR="002D2487" w:rsidRPr="002D2487">
        <w:rPr>
          <w:rFonts w:ascii="Arial" w:eastAsia="MS Mincho" w:hAnsi="Arial" w:cs="Arial"/>
          <w:b/>
          <w:i/>
          <w:sz w:val="22"/>
        </w:rPr>
        <w:t xml:space="preserve"> </w:t>
      </w:r>
      <w:r w:rsidR="00EB4DF3" w:rsidRPr="002D2487">
        <w:rPr>
          <w:rFonts w:ascii="Arial" w:eastAsia="MS Mincho" w:hAnsi="Arial" w:cs="Arial"/>
          <w:b/>
          <w:i/>
          <w:sz w:val="22"/>
        </w:rPr>
        <w:t xml:space="preserve">annualmente </w:t>
      </w:r>
      <w:r w:rsidR="002D2487" w:rsidRPr="002D2487">
        <w:rPr>
          <w:rFonts w:ascii="Arial" w:eastAsia="MS Mincho" w:hAnsi="Arial" w:cs="Arial"/>
          <w:b/>
          <w:i/>
          <w:sz w:val="22"/>
        </w:rPr>
        <w:t>363</w:t>
      </w:r>
      <w:r w:rsidR="00CF4C29" w:rsidRPr="002D2487">
        <w:rPr>
          <w:rFonts w:ascii="Arial" w:eastAsia="MS Mincho" w:hAnsi="Arial" w:cs="Arial"/>
          <w:b/>
          <w:i/>
          <w:sz w:val="22"/>
        </w:rPr>
        <w:t xml:space="preserve"> morti </w:t>
      </w:r>
      <w:r w:rsidR="00CF4C29" w:rsidRPr="002D2487">
        <w:rPr>
          <w:rFonts w:ascii="Arial" w:eastAsia="MS Mincho" w:hAnsi="Arial" w:cs="Arial"/>
          <w:i/>
          <w:sz w:val="22"/>
        </w:rPr>
        <w:t>per tutte le cause</w:t>
      </w:r>
      <w:r w:rsidR="00CF4C29" w:rsidRPr="00CF4C29">
        <w:rPr>
          <w:rFonts w:ascii="Arial" w:eastAsia="MS Mincho" w:hAnsi="Arial" w:cs="Arial"/>
          <w:i/>
          <w:sz w:val="22"/>
        </w:rPr>
        <w:t xml:space="preserve"> </w:t>
      </w:r>
      <w:r w:rsidR="00CF4C29">
        <w:rPr>
          <w:rFonts w:ascii="Arial" w:eastAsia="MS Mincho" w:hAnsi="Arial" w:cs="Arial"/>
          <w:i/>
          <w:sz w:val="22"/>
        </w:rPr>
        <w:t xml:space="preserve">(di cui </w:t>
      </w:r>
      <w:r w:rsidR="002D2487">
        <w:rPr>
          <w:rFonts w:ascii="Arial" w:eastAsia="MS Mincho" w:hAnsi="Arial" w:cs="Arial"/>
          <w:i/>
          <w:sz w:val="22"/>
        </w:rPr>
        <w:t>307</w:t>
      </w:r>
      <w:r w:rsidR="00CF4C29" w:rsidRPr="00CF4C29">
        <w:rPr>
          <w:rFonts w:ascii="Arial" w:eastAsia="MS Mincho" w:hAnsi="Arial" w:cs="Arial"/>
          <w:i/>
          <w:sz w:val="22"/>
        </w:rPr>
        <w:t xml:space="preserve"> per cause cardiovascolari</w:t>
      </w:r>
      <w:r w:rsidR="00CF4C29">
        <w:rPr>
          <w:rFonts w:ascii="Arial" w:eastAsia="MS Mincho" w:hAnsi="Arial" w:cs="Arial"/>
          <w:i/>
          <w:sz w:val="22"/>
        </w:rPr>
        <w:t xml:space="preserve">) e </w:t>
      </w:r>
      <w:r w:rsidR="002D2487" w:rsidRPr="002D2487">
        <w:rPr>
          <w:rFonts w:ascii="Arial" w:eastAsia="MS Mincho" w:hAnsi="Arial" w:cs="Arial"/>
          <w:b/>
          <w:i/>
          <w:sz w:val="22"/>
        </w:rPr>
        <w:t>201</w:t>
      </w:r>
      <w:r w:rsidR="00CF4C29" w:rsidRPr="002D2487">
        <w:rPr>
          <w:rFonts w:ascii="Arial" w:eastAsia="MS Mincho" w:hAnsi="Arial" w:cs="Arial"/>
          <w:b/>
          <w:i/>
          <w:sz w:val="22"/>
        </w:rPr>
        <w:t xml:space="preserve"> ospedalizzazioni</w:t>
      </w:r>
      <w:r w:rsidR="00CF4C29" w:rsidRPr="00CF4C29">
        <w:rPr>
          <w:rFonts w:ascii="Arial" w:eastAsia="MS Mincho" w:hAnsi="Arial" w:cs="Arial"/>
          <w:i/>
          <w:sz w:val="22"/>
        </w:rPr>
        <w:t xml:space="preserve"> per scompenso</w:t>
      </w:r>
      <w:r w:rsidR="002D2487">
        <w:rPr>
          <w:rFonts w:ascii="Arial" w:eastAsia="MS Mincho" w:hAnsi="Arial" w:cs="Arial"/>
          <w:i/>
          <w:sz w:val="22"/>
        </w:rPr>
        <w:t>,</w:t>
      </w:r>
      <w:r w:rsidR="00EB4DF3">
        <w:rPr>
          <w:rFonts w:ascii="Arial" w:eastAsia="MS Mincho" w:hAnsi="Arial" w:cs="Arial"/>
          <w:i/>
          <w:sz w:val="22"/>
        </w:rPr>
        <w:t xml:space="preserve"> </w:t>
      </w:r>
      <w:r w:rsidR="00EB4DF3" w:rsidRPr="002D2487">
        <w:rPr>
          <w:rFonts w:ascii="Arial" w:eastAsia="MS Mincho" w:hAnsi="Arial" w:cs="Arial"/>
          <w:b/>
          <w:i/>
          <w:sz w:val="22"/>
        </w:rPr>
        <w:t>c</w:t>
      </w:r>
      <w:r w:rsidR="00CF4C29" w:rsidRPr="002D2487">
        <w:rPr>
          <w:rFonts w:ascii="Arial" w:eastAsia="MS Mincho" w:hAnsi="Arial" w:cs="Arial"/>
          <w:b/>
          <w:i/>
          <w:sz w:val="22"/>
        </w:rPr>
        <w:t>on i GLP-1 RA</w:t>
      </w:r>
      <w:r w:rsidR="00EB4DF3" w:rsidRPr="002D2487">
        <w:rPr>
          <w:rFonts w:ascii="Arial" w:eastAsia="MS Mincho" w:hAnsi="Arial" w:cs="Arial"/>
          <w:b/>
          <w:i/>
          <w:sz w:val="22"/>
        </w:rPr>
        <w:t>,</w:t>
      </w:r>
      <w:r w:rsidR="00CF4C29" w:rsidRPr="002D2487">
        <w:rPr>
          <w:rFonts w:ascii="Arial" w:eastAsia="MS Mincho" w:hAnsi="Arial" w:cs="Arial"/>
          <w:b/>
          <w:i/>
          <w:sz w:val="22"/>
        </w:rPr>
        <w:t xml:space="preserve"> </w:t>
      </w:r>
      <w:r w:rsidR="002D2487" w:rsidRPr="002D2487">
        <w:rPr>
          <w:rFonts w:ascii="Arial" w:eastAsia="MS Mincho" w:hAnsi="Arial" w:cs="Arial"/>
          <w:b/>
          <w:i/>
          <w:sz w:val="22"/>
        </w:rPr>
        <w:t>539</w:t>
      </w:r>
      <w:r w:rsidR="00CF4C29" w:rsidRPr="002D2487">
        <w:rPr>
          <w:rFonts w:ascii="Arial" w:eastAsia="MS Mincho" w:hAnsi="Arial" w:cs="Arial"/>
          <w:b/>
          <w:i/>
          <w:sz w:val="22"/>
        </w:rPr>
        <w:t xml:space="preserve"> morti e </w:t>
      </w:r>
      <w:r w:rsidR="002D2487" w:rsidRPr="002D2487">
        <w:rPr>
          <w:rFonts w:ascii="Arial" w:eastAsia="MS Mincho" w:hAnsi="Arial" w:cs="Arial"/>
          <w:b/>
          <w:i/>
          <w:sz w:val="22"/>
        </w:rPr>
        <w:t>404</w:t>
      </w:r>
      <w:r w:rsidR="00CF4C29" w:rsidRPr="002D2487">
        <w:rPr>
          <w:rFonts w:ascii="Arial" w:eastAsia="MS Mincho" w:hAnsi="Arial" w:cs="Arial"/>
          <w:b/>
          <w:i/>
          <w:sz w:val="22"/>
        </w:rPr>
        <w:t xml:space="preserve"> ospedalizzazioni</w:t>
      </w:r>
      <w:r w:rsidR="00EB4DF3">
        <w:rPr>
          <w:rFonts w:ascii="Arial" w:eastAsia="MS Mincho" w:hAnsi="Arial" w:cs="Arial"/>
          <w:i/>
          <w:sz w:val="22"/>
        </w:rPr>
        <w:t>”.</w:t>
      </w:r>
    </w:p>
    <w:p w:rsidR="00722CCA" w:rsidRDefault="00722CCA" w:rsidP="00722CCA">
      <w:pPr>
        <w:widowControl w:val="0"/>
        <w:autoSpaceDE w:val="0"/>
        <w:autoSpaceDN w:val="0"/>
        <w:adjustRightInd w:val="0"/>
        <w:spacing w:line="264" w:lineRule="auto"/>
        <w:jc w:val="both"/>
        <w:rPr>
          <w:rFonts w:ascii="Arial" w:eastAsia="MS Mincho" w:hAnsi="Arial" w:cs="Arial"/>
          <w:i/>
          <w:sz w:val="22"/>
        </w:rPr>
      </w:pPr>
    </w:p>
    <w:p w:rsidR="00722CCA" w:rsidRDefault="00722CCA" w:rsidP="00541700">
      <w:pPr>
        <w:widowControl w:val="0"/>
        <w:autoSpaceDE w:val="0"/>
        <w:autoSpaceDN w:val="0"/>
        <w:adjustRightInd w:val="0"/>
        <w:spacing w:line="264" w:lineRule="auto"/>
        <w:jc w:val="both"/>
        <w:rPr>
          <w:rFonts w:ascii="Arial" w:eastAsia="MS Mincho" w:hAnsi="Arial" w:cs="Arial"/>
          <w:sz w:val="22"/>
        </w:rPr>
      </w:pPr>
      <w:r w:rsidRPr="00722CCA">
        <w:rPr>
          <w:rFonts w:ascii="Arial" w:eastAsia="MS Mincho" w:hAnsi="Arial" w:cs="Arial"/>
          <w:sz w:val="22"/>
        </w:rPr>
        <w:t xml:space="preserve">Alla luce </w:t>
      </w:r>
      <w:r>
        <w:rPr>
          <w:rFonts w:ascii="Arial" w:eastAsia="MS Mincho" w:hAnsi="Arial" w:cs="Arial"/>
          <w:sz w:val="22"/>
        </w:rPr>
        <w:t>del pesante</w:t>
      </w:r>
      <w:r w:rsidRPr="00722CCA">
        <w:rPr>
          <w:rFonts w:ascii="Arial" w:eastAsia="MS Mincho" w:hAnsi="Arial" w:cs="Arial"/>
          <w:sz w:val="22"/>
        </w:rPr>
        <w:t xml:space="preserve"> impatto delle </w:t>
      </w:r>
      <w:r w:rsidR="003D74C5">
        <w:rPr>
          <w:rFonts w:ascii="Arial" w:eastAsia="MS Mincho" w:hAnsi="Arial" w:cs="Arial"/>
          <w:sz w:val="22"/>
        </w:rPr>
        <w:t>MCV</w:t>
      </w:r>
      <w:r w:rsidRPr="00722CCA">
        <w:rPr>
          <w:rFonts w:ascii="Arial" w:eastAsia="MS Mincho" w:hAnsi="Arial" w:cs="Arial"/>
          <w:sz w:val="22"/>
        </w:rPr>
        <w:t xml:space="preserve"> nel </w:t>
      </w:r>
      <w:r>
        <w:rPr>
          <w:rFonts w:ascii="Arial" w:eastAsia="MS Mincho" w:hAnsi="Arial" w:cs="Arial"/>
          <w:sz w:val="22"/>
        </w:rPr>
        <w:t>diabete</w:t>
      </w:r>
      <w:r w:rsidRPr="00722CCA">
        <w:rPr>
          <w:rFonts w:ascii="Arial" w:eastAsia="MS Mincho" w:hAnsi="Arial" w:cs="Arial"/>
          <w:sz w:val="22"/>
        </w:rPr>
        <w:t xml:space="preserve">, i risultati dei trial di safety cardiovascolare riguardanti gli SGLT2i e i GLP1 RA suggeriscono un cambio di paradigma, passando dalla riduzione della sola </w:t>
      </w:r>
      <w:r w:rsidR="008513C3">
        <w:rPr>
          <w:rFonts w:ascii="Arial" w:eastAsia="MS Mincho" w:hAnsi="Arial" w:cs="Arial"/>
          <w:sz w:val="22"/>
        </w:rPr>
        <w:t xml:space="preserve">emoglobina </w:t>
      </w:r>
      <w:proofErr w:type="spellStart"/>
      <w:r w:rsidR="008513C3">
        <w:rPr>
          <w:rFonts w:ascii="Arial" w:eastAsia="MS Mincho" w:hAnsi="Arial" w:cs="Arial"/>
          <w:sz w:val="22"/>
        </w:rPr>
        <w:t>glicata</w:t>
      </w:r>
      <w:proofErr w:type="spellEnd"/>
      <w:r w:rsidR="008513C3">
        <w:rPr>
          <w:rFonts w:ascii="Arial" w:eastAsia="MS Mincho" w:hAnsi="Arial" w:cs="Arial"/>
          <w:sz w:val="22"/>
        </w:rPr>
        <w:t xml:space="preserve"> (</w:t>
      </w:r>
      <w:r w:rsidRPr="00722CCA">
        <w:rPr>
          <w:rFonts w:ascii="Arial" w:eastAsia="MS Mincho" w:hAnsi="Arial" w:cs="Arial"/>
          <w:sz w:val="22"/>
        </w:rPr>
        <w:t>HbA1c</w:t>
      </w:r>
      <w:r w:rsidR="008513C3">
        <w:rPr>
          <w:rFonts w:ascii="Arial" w:eastAsia="MS Mincho" w:hAnsi="Arial" w:cs="Arial"/>
          <w:sz w:val="22"/>
        </w:rPr>
        <w:t>)</w:t>
      </w:r>
      <w:r w:rsidRPr="00722CCA">
        <w:rPr>
          <w:rFonts w:ascii="Arial" w:eastAsia="MS Mincho" w:hAnsi="Arial" w:cs="Arial"/>
          <w:sz w:val="22"/>
        </w:rPr>
        <w:t xml:space="preserve"> a un focus più ampio sulla riduzione del rischio cardiovascolare. </w:t>
      </w:r>
      <w:r w:rsidR="003D74C5">
        <w:rPr>
          <w:rFonts w:ascii="Arial" w:eastAsia="MS Mincho" w:hAnsi="Arial" w:cs="Arial"/>
          <w:sz w:val="22"/>
        </w:rPr>
        <w:t xml:space="preserve">L’analisi condotta dall’Associazione Medici Diabetologi, grazie alla disponibilità del database </w:t>
      </w:r>
      <w:r w:rsidR="00EC7508">
        <w:rPr>
          <w:rFonts w:ascii="Arial" w:eastAsia="MS Mincho" w:hAnsi="Arial" w:cs="Arial"/>
          <w:sz w:val="22"/>
        </w:rPr>
        <w:t xml:space="preserve">degli </w:t>
      </w:r>
      <w:r w:rsidR="003D74C5">
        <w:rPr>
          <w:rFonts w:ascii="Arial" w:eastAsia="MS Mincho" w:hAnsi="Arial" w:cs="Arial"/>
          <w:sz w:val="22"/>
        </w:rPr>
        <w:t xml:space="preserve">Annali, </w:t>
      </w:r>
      <w:r w:rsidR="003D74C5" w:rsidRPr="003D74C5">
        <w:rPr>
          <w:rFonts w:ascii="Arial" w:eastAsia="MS Mincho" w:hAnsi="Arial" w:cs="Arial"/>
          <w:sz w:val="22"/>
        </w:rPr>
        <w:t xml:space="preserve">rappresentativo </w:t>
      </w:r>
      <w:r w:rsidR="003D74C5">
        <w:rPr>
          <w:rFonts w:ascii="Arial" w:eastAsia="MS Mincho" w:hAnsi="Arial" w:cs="Arial"/>
          <w:sz w:val="22"/>
        </w:rPr>
        <w:t xml:space="preserve">di ciò che avviene </w:t>
      </w:r>
      <w:r w:rsidR="00CB0D3D">
        <w:rPr>
          <w:rFonts w:ascii="Arial" w:eastAsia="MS Mincho" w:hAnsi="Arial" w:cs="Arial"/>
          <w:sz w:val="22"/>
        </w:rPr>
        <w:t>in “</w:t>
      </w:r>
      <w:proofErr w:type="spellStart"/>
      <w:r w:rsidR="00CB0D3D">
        <w:rPr>
          <w:rFonts w:ascii="Arial" w:eastAsia="MS Mincho" w:hAnsi="Arial" w:cs="Arial"/>
          <w:sz w:val="22"/>
        </w:rPr>
        <w:t>real</w:t>
      </w:r>
      <w:proofErr w:type="spellEnd"/>
      <w:r w:rsidR="00CB0D3D">
        <w:rPr>
          <w:rFonts w:ascii="Arial" w:eastAsia="MS Mincho" w:hAnsi="Arial" w:cs="Arial"/>
          <w:sz w:val="22"/>
        </w:rPr>
        <w:t>-</w:t>
      </w:r>
      <w:r w:rsidR="0021609C">
        <w:rPr>
          <w:rFonts w:ascii="Arial" w:eastAsia="MS Mincho" w:hAnsi="Arial" w:cs="Arial"/>
          <w:sz w:val="22"/>
        </w:rPr>
        <w:t>world</w:t>
      </w:r>
      <w:r w:rsidR="00CB0D3D">
        <w:rPr>
          <w:rFonts w:ascii="Arial" w:eastAsia="MS Mincho" w:hAnsi="Arial" w:cs="Arial"/>
          <w:sz w:val="22"/>
        </w:rPr>
        <w:t xml:space="preserve">” </w:t>
      </w:r>
      <w:r w:rsidR="003D74C5">
        <w:rPr>
          <w:rFonts w:ascii="Arial" w:eastAsia="MS Mincho" w:hAnsi="Arial" w:cs="Arial"/>
          <w:sz w:val="22"/>
        </w:rPr>
        <w:t>nei centri diabetologici</w:t>
      </w:r>
      <w:r w:rsidR="003D74C5" w:rsidRPr="003D74C5">
        <w:rPr>
          <w:rFonts w:ascii="Arial" w:eastAsia="MS Mincho" w:hAnsi="Arial" w:cs="Arial"/>
          <w:sz w:val="22"/>
        </w:rPr>
        <w:t xml:space="preserve"> </w:t>
      </w:r>
      <w:r w:rsidR="003D74C5">
        <w:rPr>
          <w:rFonts w:ascii="Arial" w:eastAsia="MS Mincho" w:hAnsi="Arial" w:cs="Arial"/>
          <w:sz w:val="22"/>
        </w:rPr>
        <w:t>d</w:t>
      </w:r>
      <w:r w:rsidR="003D74C5" w:rsidRPr="003D74C5">
        <w:rPr>
          <w:rFonts w:ascii="Arial" w:eastAsia="MS Mincho" w:hAnsi="Arial" w:cs="Arial"/>
          <w:sz w:val="22"/>
        </w:rPr>
        <w:t>el nostro Paese</w:t>
      </w:r>
      <w:r w:rsidR="003D74C5">
        <w:rPr>
          <w:rFonts w:ascii="Arial" w:eastAsia="MS Mincho" w:hAnsi="Arial" w:cs="Arial"/>
          <w:sz w:val="22"/>
        </w:rPr>
        <w:t>, ha permesso di quantificare</w:t>
      </w:r>
      <w:r w:rsidRPr="00722CCA">
        <w:rPr>
          <w:rFonts w:ascii="Arial" w:eastAsia="MS Mincho" w:hAnsi="Arial" w:cs="Arial"/>
          <w:sz w:val="22"/>
        </w:rPr>
        <w:t xml:space="preserve"> l’impatto nel mondo reale di questi trial e l’applicabilità </w:t>
      </w:r>
      <w:r w:rsidRPr="00722CCA">
        <w:rPr>
          <w:rFonts w:ascii="Arial" w:eastAsia="MS Mincho" w:hAnsi="Arial" w:cs="Arial"/>
          <w:sz w:val="22"/>
        </w:rPr>
        <w:lastRenderedPageBreak/>
        <w:t>dei loro risultati a una vasta popolazione in condizioni di normale pratica clinica.</w:t>
      </w:r>
      <w:r w:rsidR="003D74C5">
        <w:rPr>
          <w:rFonts w:ascii="Arial" w:eastAsia="MS Mincho" w:hAnsi="Arial" w:cs="Arial"/>
          <w:sz w:val="22"/>
        </w:rPr>
        <w:t xml:space="preserve"> </w:t>
      </w:r>
      <w:r w:rsidR="00541700">
        <w:rPr>
          <w:rFonts w:ascii="Arial" w:eastAsia="MS Mincho" w:hAnsi="Arial" w:cs="Arial"/>
          <w:sz w:val="22"/>
        </w:rPr>
        <w:t xml:space="preserve">Con l’obiettivo di rendere i diabetologi italiani sempre più “abili” nell’impiego appropriato di queste nuove classi di antidiabetici, AMD ha anche avviato il </w:t>
      </w:r>
      <w:r w:rsidR="00541700" w:rsidRPr="00A9245A">
        <w:rPr>
          <w:rFonts w:ascii="Arial" w:eastAsia="MS Mincho" w:hAnsi="Arial" w:cs="Arial"/>
          <w:b/>
          <w:sz w:val="22"/>
        </w:rPr>
        <w:t>nuovo progetto formativo</w:t>
      </w:r>
      <w:r w:rsidR="00541700">
        <w:rPr>
          <w:rFonts w:ascii="Arial" w:eastAsia="MS Mincho" w:hAnsi="Arial" w:cs="Arial"/>
          <w:sz w:val="22"/>
        </w:rPr>
        <w:t xml:space="preserve"> </w:t>
      </w:r>
      <w:r w:rsidR="007A73B9" w:rsidRPr="00A9245A">
        <w:rPr>
          <w:rFonts w:ascii="Arial" w:eastAsia="MS Mincho" w:hAnsi="Arial" w:cs="Arial"/>
          <w:b/>
          <w:i/>
          <w:sz w:val="22"/>
        </w:rPr>
        <w:t xml:space="preserve">“Dai </w:t>
      </w:r>
      <w:r w:rsidR="00541700" w:rsidRPr="00A9245A">
        <w:rPr>
          <w:rFonts w:ascii="Arial" w:eastAsia="MS Mincho" w:hAnsi="Arial" w:cs="Arial"/>
          <w:b/>
          <w:i/>
          <w:sz w:val="22"/>
        </w:rPr>
        <w:t>CVOT</w:t>
      </w:r>
      <w:r w:rsidR="007A73B9" w:rsidRPr="00A9245A">
        <w:rPr>
          <w:rFonts w:ascii="Arial" w:eastAsia="MS Mincho" w:hAnsi="Arial" w:cs="Arial"/>
          <w:b/>
          <w:i/>
          <w:sz w:val="22"/>
        </w:rPr>
        <w:t xml:space="preserve"> ai </w:t>
      </w:r>
      <w:r w:rsidR="00541700" w:rsidRPr="00A9245A">
        <w:rPr>
          <w:rFonts w:ascii="Arial" w:eastAsia="MS Mincho" w:hAnsi="Arial" w:cs="Arial"/>
          <w:b/>
          <w:i/>
          <w:sz w:val="22"/>
        </w:rPr>
        <w:t>PDTA</w:t>
      </w:r>
      <w:r w:rsidR="007A73B9" w:rsidRPr="00A9245A">
        <w:rPr>
          <w:rFonts w:ascii="Arial" w:eastAsia="MS Mincho" w:hAnsi="Arial" w:cs="Arial"/>
          <w:b/>
          <w:i/>
          <w:sz w:val="22"/>
        </w:rPr>
        <w:t xml:space="preserve">. </w:t>
      </w:r>
      <w:r w:rsidR="00541700" w:rsidRPr="00A9245A">
        <w:rPr>
          <w:rFonts w:ascii="Arial" w:eastAsia="MS Mincho" w:hAnsi="Arial" w:cs="Arial"/>
          <w:b/>
          <w:i/>
          <w:sz w:val="22"/>
        </w:rPr>
        <w:t>L</w:t>
      </w:r>
      <w:r w:rsidR="007A73B9" w:rsidRPr="00A9245A">
        <w:rPr>
          <w:rFonts w:ascii="Arial" w:eastAsia="MS Mincho" w:hAnsi="Arial" w:cs="Arial"/>
          <w:b/>
          <w:i/>
          <w:sz w:val="22"/>
        </w:rPr>
        <w:t>a</w:t>
      </w:r>
      <w:r w:rsidR="00541700" w:rsidRPr="00A9245A">
        <w:rPr>
          <w:rFonts w:ascii="Arial" w:eastAsia="MS Mincho" w:hAnsi="Arial" w:cs="Arial"/>
          <w:b/>
          <w:i/>
          <w:sz w:val="22"/>
        </w:rPr>
        <w:t xml:space="preserve"> </w:t>
      </w:r>
      <w:r w:rsidR="007A73B9" w:rsidRPr="00A9245A">
        <w:rPr>
          <w:rFonts w:ascii="Arial" w:eastAsia="MS Mincho" w:hAnsi="Arial" w:cs="Arial"/>
          <w:b/>
          <w:i/>
          <w:sz w:val="22"/>
        </w:rPr>
        <w:t xml:space="preserve">traduzione in pratica clinica delle linee guida </w:t>
      </w:r>
      <w:proofErr w:type="spellStart"/>
      <w:r w:rsidR="007A73B9" w:rsidRPr="00A9245A">
        <w:rPr>
          <w:rFonts w:ascii="Arial" w:eastAsia="MS Mincho" w:hAnsi="Arial" w:cs="Arial"/>
          <w:b/>
          <w:i/>
          <w:sz w:val="22"/>
        </w:rPr>
        <w:t>cardiometaboliche</w:t>
      </w:r>
      <w:proofErr w:type="spellEnd"/>
      <w:r w:rsidR="007A73B9" w:rsidRPr="00A9245A">
        <w:rPr>
          <w:rFonts w:ascii="Arial" w:eastAsia="MS Mincho" w:hAnsi="Arial" w:cs="Arial"/>
          <w:b/>
          <w:i/>
          <w:sz w:val="22"/>
        </w:rPr>
        <w:t>”</w:t>
      </w:r>
      <w:r w:rsidR="007A73B9">
        <w:rPr>
          <w:rFonts w:ascii="Arial" w:eastAsia="MS Mincho" w:hAnsi="Arial" w:cs="Arial"/>
          <w:i/>
          <w:sz w:val="22"/>
        </w:rPr>
        <w:t>.</w:t>
      </w:r>
    </w:p>
    <w:p w:rsidR="003D74C5" w:rsidRDefault="003D74C5" w:rsidP="00722CCA">
      <w:pPr>
        <w:widowControl w:val="0"/>
        <w:autoSpaceDE w:val="0"/>
        <w:autoSpaceDN w:val="0"/>
        <w:adjustRightInd w:val="0"/>
        <w:spacing w:line="264" w:lineRule="auto"/>
        <w:jc w:val="both"/>
        <w:rPr>
          <w:rFonts w:ascii="Arial" w:eastAsia="MS Mincho" w:hAnsi="Arial" w:cs="Arial"/>
          <w:sz w:val="22"/>
        </w:rPr>
      </w:pPr>
    </w:p>
    <w:p w:rsidR="00722CCA" w:rsidRPr="00722CCA" w:rsidRDefault="00722CCA" w:rsidP="00722CCA">
      <w:pPr>
        <w:spacing w:line="264" w:lineRule="auto"/>
        <w:jc w:val="both"/>
        <w:rPr>
          <w:rFonts w:ascii="Arial" w:hAnsi="Arial" w:cs="Arial"/>
          <w:i/>
          <w:sz w:val="22"/>
        </w:rPr>
      </w:pPr>
      <w:r w:rsidRPr="00722CCA">
        <w:rPr>
          <w:rFonts w:ascii="Arial" w:hAnsi="Arial" w:cs="Arial"/>
          <w:i/>
          <w:sz w:val="22"/>
        </w:rPr>
        <w:t xml:space="preserve">“Molti soggetti con diabete di tipo 2 </w:t>
      </w:r>
      <w:r w:rsidRPr="00722CCA">
        <w:rPr>
          <w:rFonts w:ascii="Arial" w:hAnsi="Arial" w:cs="Arial"/>
          <w:sz w:val="22"/>
        </w:rPr>
        <w:t xml:space="preserve">– conclude Mannino – </w:t>
      </w:r>
      <w:r w:rsidRPr="00722CCA">
        <w:rPr>
          <w:rFonts w:ascii="Arial" w:hAnsi="Arial" w:cs="Arial"/>
          <w:i/>
          <w:sz w:val="22"/>
        </w:rPr>
        <w:t xml:space="preserve">potrebbero beneficiare di trattamenti che nei trial clinici hanno documentato effetti positivi sugli eventi cardiovascolari. Oggi solo una minima quota di tali pazienti risulta effettivamente in trattamento, mentre un uso diffuso di queste molecole porterebbe a evitare ogni anno un numero sostanziale di decessi e di ospedalizzazioni per scompenso cardiaco. </w:t>
      </w:r>
      <w:bookmarkStart w:id="1" w:name="_Hlk532296691"/>
      <w:r w:rsidRPr="00722CCA">
        <w:rPr>
          <w:rFonts w:ascii="Arial" w:hAnsi="Arial" w:cs="Arial"/>
          <w:i/>
          <w:sz w:val="22"/>
        </w:rPr>
        <w:t>È auspicabile che nel prossimo futuro l’uso appropriato di SGLT2i e GLP1 RA, in accordo con le più recenti linee guida italiane e internazionali, possa allargarsi a tutti i pazienti potenzialmente eleggibili</w:t>
      </w:r>
      <w:bookmarkEnd w:id="1"/>
      <w:r w:rsidRPr="00722CCA">
        <w:rPr>
          <w:rFonts w:ascii="Arial" w:hAnsi="Arial" w:cs="Arial"/>
          <w:i/>
          <w:sz w:val="22"/>
        </w:rPr>
        <w:t>, contribuendo a ridurre l’impatto clinico, sociale ed economico delle malattie cardiovascolari nelle persone con diabete di tipo 2”.</w:t>
      </w:r>
    </w:p>
    <w:p w:rsidR="00722CCA" w:rsidRPr="00CF4C29" w:rsidRDefault="00722CCA" w:rsidP="00722CCA">
      <w:pPr>
        <w:widowControl w:val="0"/>
        <w:autoSpaceDE w:val="0"/>
        <w:autoSpaceDN w:val="0"/>
        <w:adjustRightInd w:val="0"/>
        <w:spacing w:line="264" w:lineRule="auto"/>
        <w:jc w:val="both"/>
        <w:rPr>
          <w:rFonts w:ascii="Arial" w:eastAsia="MS Mincho" w:hAnsi="Arial" w:cs="Arial"/>
          <w:i/>
          <w:sz w:val="22"/>
        </w:rPr>
      </w:pPr>
    </w:p>
    <w:p w:rsidR="00F916B5" w:rsidRDefault="00F916B5" w:rsidP="002C2E1E">
      <w:pPr>
        <w:widowControl w:val="0"/>
        <w:autoSpaceDE w:val="0"/>
        <w:autoSpaceDN w:val="0"/>
        <w:adjustRightInd w:val="0"/>
        <w:spacing w:line="264" w:lineRule="auto"/>
        <w:rPr>
          <w:rFonts w:ascii="Arial" w:eastAsia="MS Mincho" w:hAnsi="Arial" w:cs="Arial"/>
          <w:b/>
          <w:sz w:val="28"/>
        </w:rPr>
      </w:pPr>
    </w:p>
    <w:p w:rsidR="00287ADC" w:rsidRPr="00342CA7" w:rsidRDefault="00287ADC" w:rsidP="00722CCA">
      <w:pPr>
        <w:spacing w:line="264" w:lineRule="auto"/>
        <w:jc w:val="center"/>
        <w:rPr>
          <w:rFonts w:ascii="Arial" w:hAnsi="Arial" w:cs="Arial"/>
          <w:b/>
        </w:rPr>
      </w:pPr>
    </w:p>
    <w:p w:rsidR="00C613BC" w:rsidRDefault="00C613BC" w:rsidP="00722CCA">
      <w:pPr>
        <w:spacing w:line="264" w:lineRule="auto"/>
        <w:jc w:val="both"/>
        <w:rPr>
          <w:rFonts w:ascii="Arial" w:hAnsi="Arial" w:cs="Arial"/>
          <w:i/>
          <w:sz w:val="22"/>
          <w:szCs w:val="22"/>
        </w:rPr>
      </w:pPr>
    </w:p>
    <w:p w:rsidR="00C613BC" w:rsidRPr="00214F7C" w:rsidRDefault="00C613BC" w:rsidP="00722CCA">
      <w:pPr>
        <w:autoSpaceDE w:val="0"/>
        <w:autoSpaceDN w:val="0"/>
        <w:adjustRightInd w:val="0"/>
        <w:spacing w:line="264" w:lineRule="auto"/>
        <w:rPr>
          <w:rFonts w:ascii="Arial" w:hAnsi="Arial" w:cs="Arial"/>
          <w:b/>
          <w:sz w:val="20"/>
          <w:szCs w:val="21"/>
        </w:rPr>
      </w:pPr>
      <w:r w:rsidRPr="00214F7C">
        <w:rPr>
          <w:rFonts w:ascii="Arial" w:hAnsi="Arial" w:cs="Arial"/>
          <w:b/>
          <w:sz w:val="20"/>
          <w:szCs w:val="21"/>
        </w:rPr>
        <w:t>Ufficio stampa</w:t>
      </w:r>
    </w:p>
    <w:p w:rsidR="00C613BC" w:rsidRPr="00214F7C" w:rsidRDefault="00C613BC" w:rsidP="00722CCA">
      <w:pPr>
        <w:autoSpaceDE w:val="0"/>
        <w:autoSpaceDN w:val="0"/>
        <w:adjustRightInd w:val="0"/>
        <w:spacing w:line="264" w:lineRule="auto"/>
        <w:rPr>
          <w:rFonts w:ascii="Arial" w:hAnsi="Arial" w:cs="Arial"/>
          <w:b/>
          <w:sz w:val="20"/>
          <w:szCs w:val="21"/>
        </w:rPr>
      </w:pPr>
      <w:r w:rsidRPr="00214F7C">
        <w:rPr>
          <w:rFonts w:ascii="Arial" w:hAnsi="Arial" w:cs="Arial"/>
          <w:b/>
          <w:noProof/>
          <w:sz w:val="20"/>
          <w:szCs w:val="21"/>
        </w:rPr>
        <w:drawing>
          <wp:inline distT="0" distB="0" distL="0" distR="0">
            <wp:extent cx="1544955" cy="173355"/>
            <wp:effectExtent l="0" t="0" r="0" b="0"/>
            <wp:docPr id="1" name="Immagine 1" descr="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173355"/>
                    </a:xfrm>
                    <a:prstGeom prst="rect">
                      <a:avLst/>
                    </a:prstGeom>
                    <a:noFill/>
                    <a:ln>
                      <a:noFill/>
                    </a:ln>
                  </pic:spPr>
                </pic:pic>
              </a:graphicData>
            </a:graphic>
          </wp:inline>
        </w:drawing>
      </w:r>
    </w:p>
    <w:p w:rsidR="00C613BC" w:rsidRPr="00C26579" w:rsidRDefault="00C613BC" w:rsidP="00722CCA">
      <w:pPr>
        <w:spacing w:line="264" w:lineRule="auto"/>
        <w:rPr>
          <w:rFonts w:ascii="Arial" w:hAnsi="Arial" w:cs="Arial"/>
          <w:sz w:val="20"/>
          <w:szCs w:val="21"/>
        </w:rPr>
      </w:pPr>
      <w:r w:rsidRPr="00214F7C">
        <w:rPr>
          <w:rFonts w:ascii="Arial" w:hAnsi="Arial" w:cs="Arial"/>
          <w:sz w:val="20"/>
          <w:szCs w:val="21"/>
        </w:rPr>
        <w:t xml:space="preserve">Antonella Martucci, tel. 02.20424925, </w:t>
      </w:r>
      <w:proofErr w:type="spellStart"/>
      <w:r w:rsidRPr="00214F7C">
        <w:rPr>
          <w:rFonts w:ascii="Arial" w:hAnsi="Arial" w:cs="Arial"/>
          <w:sz w:val="20"/>
          <w:szCs w:val="21"/>
        </w:rPr>
        <w:t>cell</w:t>
      </w:r>
      <w:proofErr w:type="spellEnd"/>
      <w:r w:rsidRPr="00214F7C">
        <w:rPr>
          <w:rFonts w:ascii="Arial" w:hAnsi="Arial" w:cs="Arial"/>
          <w:sz w:val="20"/>
          <w:szCs w:val="21"/>
        </w:rPr>
        <w:t xml:space="preserve">. 340.6775463, </w:t>
      </w:r>
      <w:hyperlink r:id="rId9" w:history="1">
        <w:r w:rsidRPr="00214F7C">
          <w:rPr>
            <w:rStyle w:val="Collegamentoipertestuale"/>
            <w:rFonts w:ascii="Arial" w:hAnsi="Arial" w:cs="Arial"/>
            <w:sz w:val="20"/>
            <w:szCs w:val="21"/>
          </w:rPr>
          <w:t>a.martucci@vrelations.it</w:t>
        </w:r>
      </w:hyperlink>
    </w:p>
    <w:p w:rsidR="00C613BC" w:rsidRPr="00F93827" w:rsidRDefault="00C613BC" w:rsidP="00722CCA">
      <w:pPr>
        <w:spacing w:line="264" w:lineRule="auto"/>
        <w:jc w:val="both"/>
        <w:rPr>
          <w:rFonts w:ascii="Arial" w:hAnsi="Arial" w:cs="Arial"/>
          <w:i/>
          <w:sz w:val="22"/>
          <w:szCs w:val="22"/>
        </w:rPr>
      </w:pPr>
    </w:p>
    <w:p w:rsidR="005D5FA5" w:rsidRPr="00F93827" w:rsidRDefault="005D5FA5" w:rsidP="00722CCA">
      <w:pPr>
        <w:spacing w:line="264" w:lineRule="auto"/>
        <w:jc w:val="both"/>
        <w:rPr>
          <w:rFonts w:ascii="Arial" w:hAnsi="Arial" w:cs="Arial"/>
          <w:i/>
          <w:sz w:val="22"/>
        </w:rPr>
      </w:pPr>
    </w:p>
    <w:p w:rsidR="005D5FA5" w:rsidRPr="005D5FA5" w:rsidRDefault="005D5FA5" w:rsidP="00722CCA">
      <w:pPr>
        <w:spacing w:line="264" w:lineRule="auto"/>
        <w:jc w:val="both"/>
        <w:rPr>
          <w:rFonts w:ascii="Arial" w:hAnsi="Arial" w:cs="Arial"/>
          <w:b/>
          <w:sz w:val="22"/>
        </w:rPr>
      </w:pPr>
    </w:p>
    <w:p w:rsidR="001B5135" w:rsidRDefault="001B5135" w:rsidP="00722CCA">
      <w:pPr>
        <w:spacing w:line="264" w:lineRule="auto"/>
        <w:jc w:val="center"/>
        <w:rPr>
          <w:rFonts w:ascii="Arial" w:hAnsi="Arial" w:cs="Arial"/>
          <w:i/>
        </w:rPr>
      </w:pPr>
    </w:p>
    <w:p w:rsidR="00005A5C" w:rsidRPr="00005A5C" w:rsidRDefault="00005A5C" w:rsidP="00722CCA">
      <w:pPr>
        <w:spacing w:line="264" w:lineRule="auto"/>
        <w:rPr>
          <w:rFonts w:ascii="Arial" w:hAnsi="Arial" w:cs="Arial"/>
        </w:rPr>
      </w:pPr>
    </w:p>
    <w:sectPr w:rsidR="00005A5C" w:rsidRPr="00005A5C" w:rsidSect="0042432A">
      <w:headerReference w:type="default" r:id="rId10"/>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697" w:rsidRDefault="005E2697" w:rsidP="00287ADC">
      <w:r>
        <w:separator/>
      </w:r>
    </w:p>
  </w:endnote>
  <w:endnote w:type="continuationSeparator" w:id="0">
    <w:p w:rsidR="005E2697" w:rsidRDefault="005E2697"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697" w:rsidRDefault="005E2697" w:rsidP="00287ADC">
      <w:r>
        <w:separator/>
      </w:r>
    </w:p>
  </w:footnote>
  <w:footnote w:type="continuationSeparator" w:id="0">
    <w:p w:rsidR="005E2697" w:rsidRDefault="005E2697" w:rsidP="00287ADC">
      <w:r>
        <w:continuationSeparator/>
      </w:r>
    </w:p>
  </w:footnote>
  <w:footnote w:id="1">
    <w:p w:rsidR="00A9245A" w:rsidRPr="00A9245A" w:rsidRDefault="00A9245A" w:rsidP="00A9245A">
      <w:pPr>
        <w:pStyle w:val="Testonotaapidipagina"/>
        <w:spacing w:after="120"/>
        <w:jc w:val="both"/>
        <w:rPr>
          <w:rFonts w:ascii="Arial" w:hAnsi="Arial" w:cs="Arial"/>
        </w:rPr>
      </w:pPr>
      <w:r w:rsidRPr="00A9245A">
        <w:rPr>
          <w:rStyle w:val="Rimandonotaapidipagina"/>
          <w:rFonts w:ascii="Arial" w:hAnsi="Arial" w:cs="Arial"/>
          <w:sz w:val="18"/>
        </w:rPr>
        <w:footnoteRef/>
      </w:r>
      <w:r w:rsidRPr="00A9245A">
        <w:rPr>
          <w:rFonts w:ascii="Arial" w:hAnsi="Arial" w:cs="Arial"/>
          <w:sz w:val="18"/>
        </w:rPr>
        <w:t xml:space="preserve"> Nello studio EMPA-REG OUTCOME (N </w:t>
      </w:r>
      <w:proofErr w:type="spellStart"/>
      <w:r w:rsidRPr="00A9245A">
        <w:rPr>
          <w:rFonts w:ascii="Arial" w:hAnsi="Arial" w:cs="Arial"/>
          <w:sz w:val="18"/>
        </w:rPr>
        <w:t>Engl</w:t>
      </w:r>
      <w:proofErr w:type="spellEnd"/>
      <w:r w:rsidRPr="00A9245A">
        <w:rPr>
          <w:rFonts w:ascii="Arial" w:hAnsi="Arial" w:cs="Arial"/>
          <w:sz w:val="18"/>
        </w:rPr>
        <w:t xml:space="preserve"> J </w:t>
      </w:r>
      <w:proofErr w:type="spellStart"/>
      <w:r w:rsidRPr="00A9245A">
        <w:rPr>
          <w:rFonts w:ascii="Arial" w:hAnsi="Arial" w:cs="Arial"/>
          <w:sz w:val="18"/>
        </w:rPr>
        <w:t>Med</w:t>
      </w:r>
      <w:proofErr w:type="spellEnd"/>
      <w:r w:rsidRPr="00A9245A">
        <w:rPr>
          <w:rFonts w:ascii="Arial" w:hAnsi="Arial" w:cs="Arial"/>
          <w:sz w:val="18"/>
        </w:rPr>
        <w:t xml:space="preserve"> 2015; 373: 2117–2128), 7</w:t>
      </w:r>
      <w:r>
        <w:rPr>
          <w:rFonts w:ascii="Arial" w:hAnsi="Arial" w:cs="Arial"/>
          <w:sz w:val="18"/>
        </w:rPr>
        <w:t>.</w:t>
      </w:r>
      <w:r w:rsidRPr="00A9245A">
        <w:rPr>
          <w:rFonts w:ascii="Arial" w:hAnsi="Arial" w:cs="Arial"/>
          <w:sz w:val="18"/>
        </w:rPr>
        <w:t xml:space="preserve">020 pazienti con DM2 e malattia cardiovascolare arruolati in 590 centri sono stati randomizzati a </w:t>
      </w:r>
      <w:proofErr w:type="spellStart"/>
      <w:r w:rsidRPr="00A9245A">
        <w:rPr>
          <w:rFonts w:ascii="Arial" w:hAnsi="Arial" w:cs="Arial"/>
          <w:sz w:val="18"/>
        </w:rPr>
        <w:t>empagliflozin</w:t>
      </w:r>
      <w:proofErr w:type="spellEnd"/>
      <w:r w:rsidRPr="00A9245A">
        <w:rPr>
          <w:rFonts w:ascii="Arial" w:hAnsi="Arial" w:cs="Arial"/>
          <w:sz w:val="18"/>
        </w:rPr>
        <w:t xml:space="preserve"> o placebo tra il 2010 e il 2013.</w:t>
      </w:r>
    </w:p>
  </w:footnote>
  <w:footnote w:id="2">
    <w:p w:rsidR="00A9245A" w:rsidRDefault="00A9245A">
      <w:pPr>
        <w:pStyle w:val="Testonotaapidipagina"/>
      </w:pPr>
      <w:r>
        <w:rPr>
          <w:rStyle w:val="Rimandonotaapidipagina"/>
        </w:rPr>
        <w:footnoteRef/>
      </w:r>
      <w:r>
        <w:t xml:space="preserve"> </w:t>
      </w:r>
      <w:r w:rsidRPr="00A9245A">
        <w:rPr>
          <w:rFonts w:ascii="Arial" w:hAnsi="Arial" w:cs="Arial"/>
          <w:sz w:val="18"/>
        </w:rPr>
        <w:t xml:space="preserve">Nello studio LEADER (N </w:t>
      </w:r>
      <w:proofErr w:type="spellStart"/>
      <w:r w:rsidRPr="00A9245A">
        <w:rPr>
          <w:rFonts w:ascii="Arial" w:hAnsi="Arial" w:cs="Arial"/>
          <w:sz w:val="18"/>
        </w:rPr>
        <w:t>Engl</w:t>
      </w:r>
      <w:proofErr w:type="spellEnd"/>
      <w:r w:rsidRPr="00A9245A">
        <w:rPr>
          <w:rFonts w:ascii="Arial" w:hAnsi="Arial" w:cs="Arial"/>
          <w:sz w:val="18"/>
        </w:rPr>
        <w:t xml:space="preserve"> J </w:t>
      </w:r>
      <w:proofErr w:type="spellStart"/>
      <w:r w:rsidRPr="00A9245A">
        <w:rPr>
          <w:rFonts w:ascii="Arial" w:hAnsi="Arial" w:cs="Arial"/>
          <w:sz w:val="18"/>
        </w:rPr>
        <w:t>Med</w:t>
      </w:r>
      <w:proofErr w:type="spellEnd"/>
      <w:r w:rsidRPr="00A9245A">
        <w:rPr>
          <w:rFonts w:ascii="Arial" w:hAnsi="Arial" w:cs="Arial"/>
          <w:sz w:val="18"/>
        </w:rPr>
        <w:t xml:space="preserve"> 2016; 375: 311–322), 9</w:t>
      </w:r>
      <w:r>
        <w:rPr>
          <w:rFonts w:ascii="Arial" w:hAnsi="Arial" w:cs="Arial"/>
          <w:sz w:val="18"/>
        </w:rPr>
        <w:t>.</w:t>
      </w:r>
      <w:r w:rsidRPr="00A9245A">
        <w:rPr>
          <w:rFonts w:ascii="Arial" w:hAnsi="Arial" w:cs="Arial"/>
          <w:sz w:val="18"/>
        </w:rPr>
        <w:t xml:space="preserve">340 pazienti con DM2 e malattia cardiovascolare arruolati in 410 centri sono stati randomizzati a </w:t>
      </w:r>
      <w:proofErr w:type="spellStart"/>
      <w:r w:rsidRPr="00A9245A">
        <w:rPr>
          <w:rFonts w:ascii="Arial" w:hAnsi="Arial" w:cs="Arial"/>
          <w:sz w:val="18"/>
        </w:rPr>
        <w:t>liraglutide</w:t>
      </w:r>
      <w:proofErr w:type="spellEnd"/>
      <w:r w:rsidRPr="00A9245A">
        <w:rPr>
          <w:rFonts w:ascii="Arial" w:hAnsi="Arial" w:cs="Arial"/>
          <w:sz w:val="18"/>
        </w:rPr>
        <w:t xml:space="preserve"> o placebo tra il 2010 e il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DC" w:rsidRDefault="00287ADC" w:rsidP="00287ADC">
    <w:pPr>
      <w:pStyle w:val="Intestazione"/>
      <w:jc w:val="center"/>
    </w:pPr>
    <w:r w:rsidRPr="00287ADC">
      <w:rPr>
        <w:rFonts w:ascii="Calibri" w:eastAsia="Calibri" w:hAnsi="Calibri"/>
        <w:noProof/>
        <w:sz w:val="22"/>
        <w:szCs w:val="22"/>
      </w:rPr>
      <w:drawing>
        <wp:inline distT="0" distB="0" distL="0" distR="0">
          <wp:extent cx="1333500" cy="922020"/>
          <wp:effectExtent l="0" t="0" r="0" b="0"/>
          <wp:docPr id="23" name="Immagine 23" descr="AMD - Associazione medici e diabet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MD - Associazione medici e diabetolo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2020"/>
                  </a:xfrm>
                  <a:prstGeom prst="rect">
                    <a:avLst/>
                  </a:prstGeom>
                  <a:noFill/>
                  <a:ln>
                    <a:noFill/>
                  </a:ln>
                </pic:spPr>
              </pic:pic>
            </a:graphicData>
          </a:graphic>
        </wp:inline>
      </w:drawing>
    </w:r>
  </w:p>
  <w:p w:rsidR="00133EBB" w:rsidRPr="00287ADC" w:rsidRDefault="00133EBB" w:rsidP="00287AD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167E9"/>
    <w:multiLevelType w:val="hybridMultilevel"/>
    <w:tmpl w:val="2788F1BC"/>
    <w:lvl w:ilvl="0" w:tplc="44B8B7A0">
      <w:start w:val="1"/>
      <w:numFmt w:val="decimal"/>
      <w:lvlText w:val="%1."/>
      <w:lvlJc w:val="left"/>
      <w:pPr>
        <w:ind w:left="0" w:hanging="360"/>
      </w:pPr>
      <w:rPr>
        <w:rFonts w:hint="default"/>
      </w:rPr>
    </w:lvl>
    <w:lvl w:ilvl="1" w:tplc="04100019">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48"/>
    <w:rsid w:val="0000569C"/>
    <w:rsid w:val="00005A5C"/>
    <w:rsid w:val="00040059"/>
    <w:rsid w:val="00040D3E"/>
    <w:rsid w:val="00044E76"/>
    <w:rsid w:val="000469BC"/>
    <w:rsid w:val="00064E5F"/>
    <w:rsid w:val="00080F59"/>
    <w:rsid w:val="000830C1"/>
    <w:rsid w:val="00093D9D"/>
    <w:rsid w:val="0009714B"/>
    <w:rsid w:val="000A4E7C"/>
    <w:rsid w:val="000E167E"/>
    <w:rsid w:val="000E68AF"/>
    <w:rsid w:val="00107D81"/>
    <w:rsid w:val="00116BFF"/>
    <w:rsid w:val="00133EBB"/>
    <w:rsid w:val="001403D3"/>
    <w:rsid w:val="0015269A"/>
    <w:rsid w:val="001547FD"/>
    <w:rsid w:val="001600E4"/>
    <w:rsid w:val="00164F83"/>
    <w:rsid w:val="0017794A"/>
    <w:rsid w:val="0018024A"/>
    <w:rsid w:val="00187388"/>
    <w:rsid w:val="00197E24"/>
    <w:rsid w:val="001A2660"/>
    <w:rsid w:val="001A3472"/>
    <w:rsid w:val="001B5135"/>
    <w:rsid w:val="001D1885"/>
    <w:rsid w:val="001D7B79"/>
    <w:rsid w:val="001F7853"/>
    <w:rsid w:val="0021609C"/>
    <w:rsid w:val="0023039B"/>
    <w:rsid w:val="00231386"/>
    <w:rsid w:val="00234C62"/>
    <w:rsid w:val="002350FE"/>
    <w:rsid w:val="00241A2E"/>
    <w:rsid w:val="00263FC7"/>
    <w:rsid w:val="002831FD"/>
    <w:rsid w:val="00284DA3"/>
    <w:rsid w:val="00287ADC"/>
    <w:rsid w:val="002B29EB"/>
    <w:rsid w:val="002C2E1E"/>
    <w:rsid w:val="002C4BA6"/>
    <w:rsid w:val="002D2487"/>
    <w:rsid w:val="002D515B"/>
    <w:rsid w:val="002E4FB5"/>
    <w:rsid w:val="002E5F96"/>
    <w:rsid w:val="002F160F"/>
    <w:rsid w:val="003271F3"/>
    <w:rsid w:val="0033791F"/>
    <w:rsid w:val="00346583"/>
    <w:rsid w:val="00363409"/>
    <w:rsid w:val="003972EA"/>
    <w:rsid w:val="003A4807"/>
    <w:rsid w:val="003B7972"/>
    <w:rsid w:val="003D0A7E"/>
    <w:rsid w:val="003D74C5"/>
    <w:rsid w:val="003D7A91"/>
    <w:rsid w:val="003E011D"/>
    <w:rsid w:val="003F02D5"/>
    <w:rsid w:val="003F5BC8"/>
    <w:rsid w:val="004032AE"/>
    <w:rsid w:val="004235B1"/>
    <w:rsid w:val="0042432A"/>
    <w:rsid w:val="00442F2B"/>
    <w:rsid w:val="0045485D"/>
    <w:rsid w:val="00473F00"/>
    <w:rsid w:val="00482207"/>
    <w:rsid w:val="004828E7"/>
    <w:rsid w:val="00483738"/>
    <w:rsid w:val="004B0DA8"/>
    <w:rsid w:val="00501C48"/>
    <w:rsid w:val="00503157"/>
    <w:rsid w:val="00507990"/>
    <w:rsid w:val="005114A3"/>
    <w:rsid w:val="00511686"/>
    <w:rsid w:val="00512245"/>
    <w:rsid w:val="005155DF"/>
    <w:rsid w:val="0052223C"/>
    <w:rsid w:val="00541700"/>
    <w:rsid w:val="005700EF"/>
    <w:rsid w:val="00570BBE"/>
    <w:rsid w:val="00580269"/>
    <w:rsid w:val="00587B79"/>
    <w:rsid w:val="005A2F48"/>
    <w:rsid w:val="005C48DF"/>
    <w:rsid w:val="005D5FA5"/>
    <w:rsid w:val="005E2697"/>
    <w:rsid w:val="005F16A5"/>
    <w:rsid w:val="0060098C"/>
    <w:rsid w:val="00653F87"/>
    <w:rsid w:val="0066384E"/>
    <w:rsid w:val="00672989"/>
    <w:rsid w:val="006853EA"/>
    <w:rsid w:val="00692D4B"/>
    <w:rsid w:val="006A45B9"/>
    <w:rsid w:val="006B6F01"/>
    <w:rsid w:val="006B7540"/>
    <w:rsid w:val="006D69BC"/>
    <w:rsid w:val="006F0CB1"/>
    <w:rsid w:val="006F3E52"/>
    <w:rsid w:val="00722CCA"/>
    <w:rsid w:val="00736366"/>
    <w:rsid w:val="007533A4"/>
    <w:rsid w:val="0077086F"/>
    <w:rsid w:val="00783508"/>
    <w:rsid w:val="00794D9C"/>
    <w:rsid w:val="00797CB2"/>
    <w:rsid w:val="007A73B9"/>
    <w:rsid w:val="007C343F"/>
    <w:rsid w:val="007C42DE"/>
    <w:rsid w:val="007D6FEC"/>
    <w:rsid w:val="007E03EE"/>
    <w:rsid w:val="00800952"/>
    <w:rsid w:val="00823576"/>
    <w:rsid w:val="008417BB"/>
    <w:rsid w:val="008452F6"/>
    <w:rsid w:val="0084712C"/>
    <w:rsid w:val="008513C3"/>
    <w:rsid w:val="008642DC"/>
    <w:rsid w:val="00866419"/>
    <w:rsid w:val="00871B85"/>
    <w:rsid w:val="00875E4D"/>
    <w:rsid w:val="00886402"/>
    <w:rsid w:val="008A019A"/>
    <w:rsid w:val="008D3E7B"/>
    <w:rsid w:val="0091327F"/>
    <w:rsid w:val="009175B3"/>
    <w:rsid w:val="00923A8F"/>
    <w:rsid w:val="00931FC5"/>
    <w:rsid w:val="00954F90"/>
    <w:rsid w:val="0095520E"/>
    <w:rsid w:val="009832E5"/>
    <w:rsid w:val="00993448"/>
    <w:rsid w:val="009A6B27"/>
    <w:rsid w:val="009A7692"/>
    <w:rsid w:val="009D5D95"/>
    <w:rsid w:val="009E3676"/>
    <w:rsid w:val="00A003C8"/>
    <w:rsid w:val="00A011C9"/>
    <w:rsid w:val="00A01BB0"/>
    <w:rsid w:val="00A04CD6"/>
    <w:rsid w:val="00A20349"/>
    <w:rsid w:val="00A20562"/>
    <w:rsid w:val="00A26929"/>
    <w:rsid w:val="00A8715B"/>
    <w:rsid w:val="00A9245A"/>
    <w:rsid w:val="00A9424B"/>
    <w:rsid w:val="00AC564E"/>
    <w:rsid w:val="00AE58F9"/>
    <w:rsid w:val="00AF1E06"/>
    <w:rsid w:val="00AF2E03"/>
    <w:rsid w:val="00AF6139"/>
    <w:rsid w:val="00B02BC3"/>
    <w:rsid w:val="00B112ED"/>
    <w:rsid w:val="00B2209B"/>
    <w:rsid w:val="00B24A83"/>
    <w:rsid w:val="00B320E0"/>
    <w:rsid w:val="00B37F5E"/>
    <w:rsid w:val="00B92670"/>
    <w:rsid w:val="00B97CF5"/>
    <w:rsid w:val="00BA031B"/>
    <w:rsid w:val="00BB496F"/>
    <w:rsid w:val="00C219BD"/>
    <w:rsid w:val="00C32884"/>
    <w:rsid w:val="00C375FB"/>
    <w:rsid w:val="00C419A5"/>
    <w:rsid w:val="00C4795D"/>
    <w:rsid w:val="00C548B8"/>
    <w:rsid w:val="00C613BC"/>
    <w:rsid w:val="00C81F72"/>
    <w:rsid w:val="00CA375D"/>
    <w:rsid w:val="00CB0D3D"/>
    <w:rsid w:val="00CC709E"/>
    <w:rsid w:val="00CD41E3"/>
    <w:rsid w:val="00CE7E3C"/>
    <w:rsid w:val="00CF3897"/>
    <w:rsid w:val="00CF4C29"/>
    <w:rsid w:val="00D04F44"/>
    <w:rsid w:val="00D05BC1"/>
    <w:rsid w:val="00D373E8"/>
    <w:rsid w:val="00D37F40"/>
    <w:rsid w:val="00D46D4A"/>
    <w:rsid w:val="00D50316"/>
    <w:rsid w:val="00D544F6"/>
    <w:rsid w:val="00D7566B"/>
    <w:rsid w:val="00D77EA6"/>
    <w:rsid w:val="00D86572"/>
    <w:rsid w:val="00D902B1"/>
    <w:rsid w:val="00D92F2C"/>
    <w:rsid w:val="00DA3545"/>
    <w:rsid w:val="00E25B9F"/>
    <w:rsid w:val="00E25FC1"/>
    <w:rsid w:val="00E3266F"/>
    <w:rsid w:val="00E4335D"/>
    <w:rsid w:val="00E44A89"/>
    <w:rsid w:val="00E476DF"/>
    <w:rsid w:val="00E57BD7"/>
    <w:rsid w:val="00E6016C"/>
    <w:rsid w:val="00EA40CB"/>
    <w:rsid w:val="00EB4DF3"/>
    <w:rsid w:val="00EC241F"/>
    <w:rsid w:val="00EC7508"/>
    <w:rsid w:val="00ED012E"/>
    <w:rsid w:val="00ED2C4F"/>
    <w:rsid w:val="00EE3650"/>
    <w:rsid w:val="00EF3050"/>
    <w:rsid w:val="00F10288"/>
    <w:rsid w:val="00F21CF6"/>
    <w:rsid w:val="00F22C74"/>
    <w:rsid w:val="00F638AE"/>
    <w:rsid w:val="00F908B9"/>
    <w:rsid w:val="00F916B5"/>
    <w:rsid w:val="00F93827"/>
    <w:rsid w:val="00FA12B8"/>
    <w:rsid w:val="00FA5CC9"/>
    <w:rsid w:val="00FD5E50"/>
    <w:rsid w:val="00FD5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8A003C2-8467-44EE-816C-F5B52A52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8B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C48"/>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287AD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87ADC"/>
    <w:rPr>
      <w:rFonts w:asciiTheme="minorHAnsi" w:eastAsiaTheme="minorHAnsi" w:hAnsiTheme="minorHAnsi" w:cstheme="minorBidi"/>
      <w:lang w:val="it-IT"/>
    </w:rPr>
  </w:style>
  <w:style w:type="character" w:styleId="Rimandonotaapidipagina">
    <w:name w:val="footnote reference"/>
    <w:basedOn w:val="Carpredefinitoparagrafo"/>
    <w:uiPriority w:val="99"/>
    <w:semiHidden/>
    <w:unhideWhenUsed/>
    <w:rsid w:val="00287ADC"/>
    <w:rPr>
      <w:vertAlign w:val="superscript"/>
    </w:rPr>
  </w:style>
  <w:style w:type="paragraph" w:styleId="Intestazione">
    <w:name w:val="header"/>
    <w:basedOn w:val="Normale"/>
    <w:link w:val="IntestazioneCarattere"/>
    <w:uiPriority w:val="99"/>
    <w:unhideWhenUsed/>
    <w:rsid w:val="00287ADC"/>
    <w:pPr>
      <w:tabs>
        <w:tab w:val="center" w:pos="4819"/>
        <w:tab w:val="right" w:pos="9638"/>
      </w:tabs>
    </w:pPr>
  </w:style>
  <w:style w:type="character" w:customStyle="1" w:styleId="IntestazioneCarattere">
    <w:name w:val="Intestazione Carattere"/>
    <w:basedOn w:val="Carpredefinitoparagrafo"/>
    <w:link w:val="Intestazione"/>
    <w:uiPriority w:val="99"/>
    <w:rsid w:val="00287ADC"/>
    <w:rPr>
      <w:sz w:val="24"/>
      <w:szCs w:val="24"/>
      <w:lang w:val="it-IT" w:eastAsia="it-IT"/>
    </w:rPr>
  </w:style>
  <w:style w:type="paragraph" w:styleId="Pidipagina">
    <w:name w:val="footer"/>
    <w:basedOn w:val="Normale"/>
    <w:link w:val="PidipaginaCarattere"/>
    <w:uiPriority w:val="99"/>
    <w:unhideWhenUsed/>
    <w:rsid w:val="00287ADC"/>
    <w:pPr>
      <w:tabs>
        <w:tab w:val="center" w:pos="4819"/>
        <w:tab w:val="right" w:pos="9638"/>
      </w:tabs>
    </w:pPr>
  </w:style>
  <w:style w:type="character" w:customStyle="1" w:styleId="PidipaginaCarattere">
    <w:name w:val="Piè di pagina Carattere"/>
    <w:basedOn w:val="Carpredefinitoparagrafo"/>
    <w:link w:val="Pidipagina"/>
    <w:uiPriority w:val="99"/>
    <w:rsid w:val="00287ADC"/>
    <w:rPr>
      <w:sz w:val="24"/>
      <w:szCs w:val="24"/>
      <w:lang w:val="it-IT" w:eastAsia="it-IT"/>
    </w:rPr>
  </w:style>
  <w:style w:type="paragraph" w:styleId="Testofumetto">
    <w:name w:val="Balloon Text"/>
    <w:basedOn w:val="Normale"/>
    <w:link w:val="TestofumettoCarattere"/>
    <w:uiPriority w:val="99"/>
    <w:semiHidden/>
    <w:unhideWhenUsed/>
    <w:rsid w:val="00D92F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F2C"/>
    <w:rPr>
      <w:rFonts w:ascii="Tahoma" w:hAnsi="Tahoma" w:cs="Tahoma"/>
      <w:sz w:val="16"/>
      <w:szCs w:val="16"/>
      <w:lang w:val="it-IT" w:eastAsia="it-IT"/>
    </w:rPr>
  </w:style>
  <w:style w:type="character" w:styleId="Collegamentoipertestuale">
    <w:name w:val="Hyperlink"/>
    <w:basedOn w:val="Carpredefinitoparagrafo"/>
    <w:uiPriority w:val="99"/>
    <w:unhideWhenUsed/>
    <w:rsid w:val="00197E24"/>
    <w:rPr>
      <w:color w:val="0000FF" w:themeColor="hyperlink"/>
      <w:u w:val="single"/>
    </w:rPr>
  </w:style>
  <w:style w:type="character" w:customStyle="1" w:styleId="Menzionenonrisolta1">
    <w:name w:val="Menzione non risolta1"/>
    <w:basedOn w:val="Carpredefinitoparagrafo"/>
    <w:uiPriority w:val="99"/>
    <w:semiHidden/>
    <w:unhideWhenUsed/>
    <w:rsid w:val="00005A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7501">
      <w:bodyDiv w:val="1"/>
      <w:marLeft w:val="0"/>
      <w:marRight w:val="0"/>
      <w:marTop w:val="0"/>
      <w:marBottom w:val="0"/>
      <w:divBdr>
        <w:top w:val="none" w:sz="0" w:space="0" w:color="auto"/>
        <w:left w:val="none" w:sz="0" w:space="0" w:color="auto"/>
        <w:bottom w:val="none" w:sz="0" w:space="0" w:color="auto"/>
        <w:right w:val="none" w:sz="0" w:space="0" w:color="auto"/>
      </w:divBdr>
      <w:divsChild>
        <w:div w:id="1716389255">
          <w:marLeft w:val="0"/>
          <w:marRight w:val="0"/>
          <w:marTop w:val="0"/>
          <w:marBottom w:val="0"/>
          <w:divBdr>
            <w:top w:val="none" w:sz="0" w:space="0" w:color="auto"/>
            <w:left w:val="none" w:sz="0" w:space="0" w:color="auto"/>
            <w:bottom w:val="none" w:sz="0" w:space="0" w:color="auto"/>
            <w:right w:val="none" w:sz="0" w:space="0" w:color="auto"/>
          </w:divBdr>
        </w:div>
      </w:divsChild>
    </w:div>
    <w:div w:id="852232584">
      <w:bodyDiv w:val="1"/>
      <w:marLeft w:val="0"/>
      <w:marRight w:val="0"/>
      <w:marTop w:val="0"/>
      <w:marBottom w:val="0"/>
      <w:divBdr>
        <w:top w:val="none" w:sz="0" w:space="0" w:color="auto"/>
        <w:left w:val="none" w:sz="0" w:space="0" w:color="auto"/>
        <w:bottom w:val="none" w:sz="0" w:space="0" w:color="auto"/>
        <w:right w:val="none" w:sz="0" w:space="0" w:color="auto"/>
      </w:divBdr>
    </w:div>
    <w:div w:id="10165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2CE1-CBE1-443F-BB2B-0D91B1AC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692</Words>
  <Characters>3950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Eleonora Cossa</cp:lastModifiedBy>
  <cp:revision>8</cp:revision>
  <dcterms:created xsi:type="dcterms:W3CDTF">2018-12-11T11:40:00Z</dcterms:created>
  <dcterms:modified xsi:type="dcterms:W3CDTF">2018-12-18T10:01:00Z</dcterms:modified>
</cp:coreProperties>
</file>