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B213" w14:textId="38F6531E" w:rsidR="00FB4109" w:rsidRDefault="007C3C01" w:rsidP="007C3C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r w:rsidR="00FB4109">
        <w:rPr>
          <w:rFonts w:ascii="Arial" w:hAnsi="Arial" w:cs="Arial"/>
          <w:b/>
        </w:rPr>
        <w:t>DISBIOSI INTESTINAL</w:t>
      </w:r>
      <w:r w:rsidR="008114FC">
        <w:rPr>
          <w:rFonts w:ascii="Arial" w:hAnsi="Arial" w:cs="Arial"/>
          <w:b/>
        </w:rPr>
        <w:t>E</w:t>
      </w:r>
    </w:p>
    <w:p w14:paraId="6A8543D6" w14:textId="51D91F1F" w:rsidR="007C3C01" w:rsidRDefault="00FB4109" w:rsidP="00BD3597">
      <w:pPr>
        <w:spacing w:line="260" w:lineRule="exact"/>
        <w:jc w:val="center"/>
        <w:rPr>
          <w:rFonts w:ascii="Arial" w:eastAsia="Calibri" w:hAnsi="Arial" w:cs="Arial"/>
          <w:color w:val="000000"/>
          <w:szCs w:val="21"/>
        </w:rPr>
      </w:pPr>
      <w:r>
        <w:rPr>
          <w:rFonts w:ascii="Arial" w:eastAsia="Calibri" w:hAnsi="Arial" w:cs="Arial"/>
          <w:b/>
          <w:color w:val="000000"/>
          <w:szCs w:val="21"/>
        </w:rPr>
        <w:t>Dott</w:t>
      </w:r>
      <w:r w:rsidR="007C3C01">
        <w:rPr>
          <w:rFonts w:ascii="Arial" w:eastAsia="Calibri" w:hAnsi="Arial" w:cs="Arial"/>
          <w:b/>
          <w:color w:val="000000"/>
          <w:szCs w:val="21"/>
        </w:rPr>
        <w:t xml:space="preserve">. </w:t>
      </w:r>
      <w:r>
        <w:rPr>
          <w:rFonts w:ascii="Arial" w:eastAsia="Calibri" w:hAnsi="Arial" w:cs="Arial"/>
          <w:b/>
          <w:color w:val="000000"/>
          <w:szCs w:val="21"/>
        </w:rPr>
        <w:t>Luigi Pasquale</w:t>
      </w:r>
    </w:p>
    <w:p w14:paraId="29171CC4" w14:textId="2D68C532" w:rsidR="007C3C01" w:rsidRPr="00C9473E" w:rsidRDefault="00FB4109" w:rsidP="00BD3597">
      <w:pPr>
        <w:spacing w:line="260" w:lineRule="exact"/>
        <w:jc w:val="center"/>
        <w:rPr>
          <w:rFonts w:ascii="Arial" w:eastAsia="Calibri" w:hAnsi="Arial" w:cs="Arial"/>
          <w:i/>
          <w:color w:val="000000"/>
          <w:szCs w:val="21"/>
        </w:rPr>
      </w:pPr>
      <w:bookmarkStart w:id="0" w:name="_GoBack"/>
      <w:bookmarkEnd w:id="0"/>
      <w:r>
        <w:rPr>
          <w:rFonts w:ascii="Arial" w:eastAsia="Calibri" w:hAnsi="Arial" w:cs="Arial"/>
          <w:i/>
          <w:color w:val="000000"/>
          <w:szCs w:val="21"/>
        </w:rPr>
        <w:t>Presidente della Società Italiana di Endoscopia Digestiva (</w:t>
      </w:r>
      <w:proofErr w:type="spellStart"/>
      <w:r>
        <w:rPr>
          <w:rFonts w:ascii="Arial" w:eastAsia="Calibri" w:hAnsi="Arial" w:cs="Arial"/>
          <w:i/>
          <w:color w:val="000000"/>
          <w:szCs w:val="21"/>
        </w:rPr>
        <w:t>Sied</w:t>
      </w:r>
      <w:proofErr w:type="spellEnd"/>
      <w:r>
        <w:rPr>
          <w:rFonts w:ascii="Arial" w:eastAsia="Calibri" w:hAnsi="Arial" w:cs="Arial"/>
          <w:i/>
          <w:color w:val="000000"/>
          <w:szCs w:val="21"/>
        </w:rPr>
        <w:t>)</w:t>
      </w:r>
    </w:p>
    <w:p w14:paraId="76B747AB" w14:textId="77777777" w:rsidR="00575CFA" w:rsidRPr="007C3C01" w:rsidRDefault="00BD3597" w:rsidP="007C3C01">
      <w:pPr>
        <w:rPr>
          <w:rFonts w:ascii="Arial" w:hAnsi="Arial" w:cs="Arial"/>
          <w:sz w:val="22"/>
          <w:szCs w:val="22"/>
        </w:rPr>
      </w:pPr>
    </w:p>
    <w:p w14:paraId="70455B5C" w14:textId="77777777" w:rsidR="007C3C01" w:rsidRPr="007C3C01" w:rsidRDefault="007C3C01" w:rsidP="007C3C01">
      <w:pPr>
        <w:rPr>
          <w:rFonts w:ascii="Arial" w:hAnsi="Arial" w:cs="Arial"/>
          <w:sz w:val="22"/>
          <w:szCs w:val="22"/>
        </w:rPr>
      </w:pPr>
    </w:p>
    <w:p w14:paraId="6A86882D" w14:textId="46230A9A" w:rsidR="00FB4109" w:rsidRDefault="00FB4109" w:rsidP="00AD274A">
      <w:pPr>
        <w:jc w:val="both"/>
        <w:rPr>
          <w:rFonts w:ascii="Arial" w:hAnsi="Arial" w:cs="Arial"/>
          <w:sz w:val="22"/>
          <w:szCs w:val="22"/>
        </w:rPr>
      </w:pPr>
    </w:p>
    <w:p w14:paraId="635847CE" w14:textId="43DAEE73" w:rsidR="00FB4109" w:rsidRPr="00FB4109" w:rsidRDefault="00A477C5" w:rsidP="00FB4109">
      <w:pPr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 CAUSE DEL PROBLEMA</w:t>
      </w:r>
    </w:p>
    <w:p w14:paraId="60115E8F" w14:textId="60AE7C1D" w:rsid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>Il microbiota intestinale è l’insieme di tutti microrganismi che vivono in simbiosi con l’organismo umano popolando il nostro intestino, con reciproco guadagno. A livello intestinale</w:t>
      </w:r>
      <w:r w:rsid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la presenza di questa “flora batterica” è responsabile di molteplici funzioni benefiche sull’uomo: digestive, immunostimolanti/</w:t>
      </w:r>
      <w:r w:rsidR="00A53AF3">
        <w:rPr>
          <w:rFonts w:ascii="Arial" w:hAnsi="Arial" w:cs="Arial"/>
          <w:sz w:val="22"/>
          <w:szCs w:val="22"/>
        </w:rPr>
        <w:t xml:space="preserve"> </w:t>
      </w:r>
      <w:r w:rsidRPr="00FB4109">
        <w:rPr>
          <w:rFonts w:ascii="Arial" w:hAnsi="Arial" w:cs="Arial"/>
          <w:sz w:val="22"/>
          <w:szCs w:val="22"/>
        </w:rPr>
        <w:t xml:space="preserve">immunomodulatrici e di barriera nei confronti di pericolosi patogeni. </w:t>
      </w:r>
    </w:p>
    <w:p w14:paraId="77D34B13" w14:textId="77777777" w:rsidR="008114FC" w:rsidRPr="00FB4109" w:rsidRDefault="008114FC" w:rsidP="00FB4109">
      <w:pPr>
        <w:jc w:val="both"/>
        <w:rPr>
          <w:rFonts w:ascii="Arial" w:hAnsi="Arial" w:cs="Arial"/>
          <w:sz w:val="22"/>
          <w:szCs w:val="22"/>
        </w:rPr>
      </w:pPr>
    </w:p>
    <w:p w14:paraId="15658312" w14:textId="59DB74F1" w:rsid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B4109">
        <w:rPr>
          <w:rFonts w:ascii="Arial" w:hAnsi="Arial" w:cs="Arial"/>
          <w:b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consiste nell’</w:t>
      </w:r>
      <w:r w:rsidRPr="00FB4109">
        <w:rPr>
          <w:rFonts w:ascii="Arial" w:hAnsi="Arial" w:cs="Arial"/>
          <w:b/>
          <w:sz w:val="22"/>
          <w:szCs w:val="22"/>
        </w:rPr>
        <w:t>alterazione</w:t>
      </w:r>
      <w:r w:rsidRPr="00FB4109">
        <w:rPr>
          <w:rFonts w:ascii="Arial" w:hAnsi="Arial" w:cs="Arial"/>
          <w:sz w:val="22"/>
          <w:szCs w:val="22"/>
        </w:rPr>
        <w:t xml:space="preserve">, in termini non solo quantitativi ma anche di rapporto tra una famiglia e un’altra, della composizione </w:t>
      </w:r>
      <w:r w:rsidRPr="00FB4109">
        <w:rPr>
          <w:rFonts w:ascii="Arial" w:hAnsi="Arial" w:cs="Arial"/>
          <w:b/>
          <w:sz w:val="22"/>
          <w:szCs w:val="22"/>
        </w:rPr>
        <w:t>del microbiota intestinale</w:t>
      </w:r>
      <w:r w:rsidRPr="00FB4109">
        <w:rPr>
          <w:rFonts w:ascii="Arial" w:hAnsi="Arial" w:cs="Arial"/>
          <w:sz w:val="22"/>
          <w:szCs w:val="22"/>
        </w:rPr>
        <w:t xml:space="preserve">. Ciò può dipendere da numerosi e differenti fattori, primi tra tutti </w:t>
      </w:r>
      <w:r w:rsidRPr="00FB4109">
        <w:rPr>
          <w:rFonts w:ascii="Arial" w:hAnsi="Arial" w:cs="Arial"/>
          <w:b/>
          <w:sz w:val="22"/>
          <w:szCs w:val="22"/>
        </w:rPr>
        <w:t>patologie intestinali</w:t>
      </w:r>
      <w:r w:rsidRPr="00FB4109">
        <w:rPr>
          <w:rFonts w:ascii="Arial" w:hAnsi="Arial" w:cs="Arial"/>
          <w:sz w:val="22"/>
          <w:szCs w:val="22"/>
        </w:rPr>
        <w:t xml:space="preserve"> come la malattia diverticolare, le malattie infiammatorie croniche intestinali, le gastroenteriti acute infettive. Queste </w:t>
      </w:r>
      <w:r w:rsidR="00A53AF3">
        <w:rPr>
          <w:rFonts w:ascii="Arial" w:hAnsi="Arial" w:cs="Arial"/>
          <w:sz w:val="22"/>
          <w:szCs w:val="22"/>
        </w:rPr>
        <w:t>condizioni</w:t>
      </w:r>
      <w:r w:rsidRPr="00FB4109">
        <w:rPr>
          <w:rFonts w:ascii="Arial" w:hAnsi="Arial" w:cs="Arial"/>
          <w:sz w:val="22"/>
          <w:szCs w:val="22"/>
        </w:rPr>
        <w:t xml:space="preserve"> determinano un’aumentata espressione di citochine pro-infiammatorie (proteine che svolgono un ruolo importante nella difesa immunitaria), un’alterazione dell’habitat intestinale e una sostanziale modifica della flora intestinale</w:t>
      </w:r>
      <w:r w:rsid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con conseguente diarrea. </w:t>
      </w:r>
    </w:p>
    <w:p w14:paraId="74F28B31" w14:textId="77777777" w:rsidR="006E2065" w:rsidRPr="00FB4109" w:rsidRDefault="006E2065" w:rsidP="00FB4109">
      <w:pPr>
        <w:jc w:val="both"/>
        <w:rPr>
          <w:rFonts w:ascii="Arial" w:hAnsi="Arial" w:cs="Arial"/>
          <w:sz w:val="22"/>
          <w:szCs w:val="22"/>
        </w:rPr>
      </w:pPr>
    </w:p>
    <w:p w14:paraId="72620B53" w14:textId="1CFD6715" w:rsidR="00FB4109" w:rsidRP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può essere causata anche dall’utilizzo dei </w:t>
      </w:r>
      <w:r w:rsidRPr="00FB4109">
        <w:rPr>
          <w:rFonts w:ascii="Arial" w:hAnsi="Arial" w:cs="Arial"/>
          <w:b/>
          <w:sz w:val="22"/>
          <w:szCs w:val="22"/>
        </w:rPr>
        <w:t>farmaci</w:t>
      </w:r>
      <w:r w:rsidRPr="00FB4109">
        <w:rPr>
          <w:rFonts w:ascii="Arial" w:hAnsi="Arial" w:cs="Arial"/>
          <w:sz w:val="22"/>
          <w:szCs w:val="22"/>
        </w:rPr>
        <w:t>. Ad esempio</w:t>
      </w:r>
      <w:r w:rsid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l’uso di </w:t>
      </w:r>
      <w:r w:rsidRPr="00FB4109">
        <w:rPr>
          <w:rFonts w:ascii="Arial" w:hAnsi="Arial" w:cs="Arial"/>
          <w:b/>
          <w:sz w:val="22"/>
          <w:szCs w:val="22"/>
        </w:rPr>
        <w:t>antibiotici</w:t>
      </w:r>
      <w:r w:rsidRPr="00FB4109">
        <w:rPr>
          <w:rFonts w:ascii="Arial" w:hAnsi="Arial" w:cs="Arial"/>
          <w:sz w:val="22"/>
          <w:szCs w:val="22"/>
        </w:rPr>
        <w:t xml:space="preserve"> a scopo profilattico o curativo </w:t>
      </w:r>
      <w:r w:rsidR="006E2065">
        <w:rPr>
          <w:rFonts w:ascii="Arial" w:hAnsi="Arial" w:cs="Arial"/>
          <w:sz w:val="22"/>
          <w:szCs w:val="22"/>
        </w:rPr>
        <w:t xml:space="preserve">di </w:t>
      </w:r>
      <w:r w:rsidRPr="00FB4109">
        <w:rPr>
          <w:rFonts w:ascii="Arial" w:hAnsi="Arial" w:cs="Arial"/>
          <w:sz w:val="22"/>
          <w:szCs w:val="22"/>
        </w:rPr>
        <w:t>infezioni, l’assunzione d</w:t>
      </w:r>
      <w:r w:rsidR="006E2065">
        <w:rPr>
          <w:rFonts w:ascii="Arial" w:hAnsi="Arial" w:cs="Arial"/>
          <w:sz w:val="22"/>
          <w:szCs w:val="22"/>
        </w:rPr>
        <w:t xml:space="preserve">i </w:t>
      </w:r>
      <w:r w:rsidRPr="00FB4109">
        <w:rPr>
          <w:rFonts w:ascii="Arial" w:hAnsi="Arial" w:cs="Arial"/>
          <w:b/>
          <w:sz w:val="22"/>
          <w:szCs w:val="22"/>
        </w:rPr>
        <w:t>immunosoppressori</w:t>
      </w:r>
      <w:r w:rsidRPr="00FB4109">
        <w:rPr>
          <w:rFonts w:ascii="Arial" w:hAnsi="Arial" w:cs="Arial"/>
          <w:sz w:val="22"/>
          <w:szCs w:val="22"/>
        </w:rPr>
        <w:t xml:space="preserve"> nelle patologie autoimmuni</w:t>
      </w:r>
      <w:r w:rsid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o di </w:t>
      </w:r>
      <w:r w:rsidRPr="00FB4109">
        <w:rPr>
          <w:rFonts w:ascii="Arial" w:hAnsi="Arial" w:cs="Arial"/>
          <w:b/>
          <w:sz w:val="22"/>
          <w:szCs w:val="22"/>
        </w:rPr>
        <w:t>chemioterapici</w:t>
      </w:r>
      <w:r w:rsidRPr="00FB4109">
        <w:rPr>
          <w:rFonts w:ascii="Arial" w:hAnsi="Arial" w:cs="Arial"/>
          <w:sz w:val="22"/>
          <w:szCs w:val="22"/>
        </w:rPr>
        <w:t xml:space="preserve"> nei tumori, può causare una debilitazione di tipo immunologico e un’alterazione della permeabilità a livello intestinale, ovvero una modifica a livello della tenuta della membrana delle cellule che tappezzano la parete del tubo digerente, con conseguente diarrea, che è alla base dello squilibrio del microbiota intestinale. </w:t>
      </w:r>
    </w:p>
    <w:p w14:paraId="36595B6D" w14:textId="05AA3A58" w:rsid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Se poi prendiamo in considerazione i pazienti sottoposti ad </w:t>
      </w:r>
      <w:r w:rsidRPr="00FB4109">
        <w:rPr>
          <w:rFonts w:ascii="Arial" w:hAnsi="Arial" w:cs="Arial"/>
          <w:b/>
          <w:sz w:val="22"/>
          <w:szCs w:val="22"/>
        </w:rPr>
        <w:t>interventi chirurgici gastro-intestinali</w:t>
      </w:r>
      <w:r w:rsidRPr="00FB4109">
        <w:rPr>
          <w:rFonts w:ascii="Arial" w:hAnsi="Arial" w:cs="Arial"/>
          <w:sz w:val="22"/>
          <w:szCs w:val="22"/>
        </w:rPr>
        <w:t xml:space="preserve">, ospedalizzati, in terapia con antibiotici e altri farmaci, magari a digiuno o sottoposti a diete non equilibrate, alle prese con le problematiche post-intervento come la </w:t>
      </w:r>
      <w:proofErr w:type="spellStart"/>
      <w:r w:rsidRPr="00FB4109">
        <w:rPr>
          <w:rFonts w:ascii="Arial" w:hAnsi="Arial" w:cs="Arial"/>
          <w:sz w:val="22"/>
          <w:szCs w:val="22"/>
        </w:rPr>
        <w:t>dismotilità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(nelle resezioni intestinali) o l’</w:t>
      </w:r>
      <w:proofErr w:type="spellStart"/>
      <w:r w:rsidRPr="00FB4109">
        <w:rPr>
          <w:rFonts w:ascii="Arial" w:hAnsi="Arial" w:cs="Arial"/>
          <w:sz w:val="22"/>
          <w:szCs w:val="22"/>
        </w:rPr>
        <w:t>ipocloridia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(nelle gastrectomie parziali e totali in cui la funzione sterilizzatrice dello stomaco</w:t>
      </w:r>
      <w:r w:rsid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a carico del succo gastrico</w:t>
      </w:r>
      <w:r w:rsid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viene meno), diventa notevolmente alto il rischio di andare incontro a una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intestinale marcata e cronica.</w:t>
      </w:r>
    </w:p>
    <w:p w14:paraId="2F89F269" w14:textId="3D8022AD" w:rsid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</w:p>
    <w:p w14:paraId="77BF1A8A" w14:textId="07A0DDC5" w:rsidR="00FB4109" w:rsidRPr="00FB4109" w:rsidRDefault="00A53AF3" w:rsidP="00FB41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D152A35" w14:textId="306BBB15" w:rsidR="00FB4109" w:rsidRPr="00FB4109" w:rsidRDefault="00FB4109" w:rsidP="00FB4109">
      <w:pPr>
        <w:spacing w:after="60"/>
        <w:jc w:val="both"/>
        <w:rPr>
          <w:rFonts w:ascii="Arial" w:hAnsi="Arial" w:cs="Arial"/>
          <w:b/>
          <w:sz w:val="22"/>
        </w:rPr>
      </w:pPr>
      <w:r w:rsidRPr="00FB4109">
        <w:rPr>
          <w:rFonts w:ascii="Arial" w:hAnsi="Arial" w:cs="Arial"/>
          <w:b/>
          <w:sz w:val="22"/>
        </w:rPr>
        <w:t>FOCUS SU UNA CAUSA POCO CONOSCIUTA E UTILIT</w:t>
      </w:r>
      <w:r w:rsidR="006E2065">
        <w:rPr>
          <w:rFonts w:ascii="Arial" w:hAnsi="Arial" w:cs="Arial"/>
          <w:b/>
          <w:sz w:val="22"/>
        </w:rPr>
        <w:t>À</w:t>
      </w:r>
      <w:r w:rsidRPr="00FB4109">
        <w:rPr>
          <w:rFonts w:ascii="Arial" w:hAnsi="Arial" w:cs="Arial"/>
          <w:b/>
          <w:sz w:val="22"/>
        </w:rPr>
        <w:t xml:space="preserve"> DEI PROBIOTICI</w:t>
      </w:r>
    </w:p>
    <w:p w14:paraId="50010347" w14:textId="4F10B4A4" w:rsidR="00FB4109" w:rsidRP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Una </w:t>
      </w:r>
      <w:r w:rsidRPr="00FB4109">
        <w:rPr>
          <w:rFonts w:ascii="Arial" w:hAnsi="Arial" w:cs="Arial"/>
          <w:b/>
          <w:sz w:val="22"/>
          <w:szCs w:val="22"/>
        </w:rPr>
        <w:t>causa poco nota</w:t>
      </w:r>
      <w:r w:rsidR="00A53AF3" w:rsidRP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e quindi trascurata</w:t>
      </w:r>
      <w:r w:rsidR="00A53AF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è la </w:t>
      </w:r>
      <w:r w:rsidRPr="00FB4109">
        <w:rPr>
          <w:rFonts w:ascii="Arial" w:hAnsi="Arial" w:cs="Arial"/>
          <w:b/>
          <w:sz w:val="22"/>
          <w:szCs w:val="22"/>
        </w:rPr>
        <w:t>preparazione intestinale</w:t>
      </w:r>
      <w:r w:rsidRPr="00FB4109">
        <w:rPr>
          <w:rFonts w:ascii="Arial" w:hAnsi="Arial" w:cs="Arial"/>
          <w:sz w:val="22"/>
          <w:szCs w:val="22"/>
        </w:rPr>
        <w:t xml:space="preserve">, ovvero il lavaggio a cui è sottoposto il colon prima di effettuare una colonscopia. Recentemente, un gruppo americano ha condotto uno </w:t>
      </w:r>
      <w:r w:rsidR="00A53AF3">
        <w:rPr>
          <w:rFonts w:ascii="Arial" w:hAnsi="Arial" w:cs="Arial"/>
          <w:sz w:val="22"/>
          <w:szCs w:val="22"/>
        </w:rPr>
        <w:t>s</w:t>
      </w:r>
      <w:r w:rsidR="006662BC" w:rsidRPr="00FB4109">
        <w:rPr>
          <w:rFonts w:ascii="Arial" w:hAnsi="Arial" w:cs="Arial"/>
          <w:sz w:val="22"/>
          <w:szCs w:val="22"/>
        </w:rPr>
        <w:t xml:space="preserve">tudio </w:t>
      </w:r>
      <w:r w:rsidRPr="00FB4109">
        <w:rPr>
          <w:rFonts w:ascii="Arial" w:hAnsi="Arial" w:cs="Arial"/>
          <w:sz w:val="22"/>
          <w:szCs w:val="22"/>
        </w:rPr>
        <w:t>osservazionale in cui si è identificato un alto tasso d’infezioni non solo a carico del sistema gastro-intestinale ma anche a livello polmonare nei giorni successivi fino a un mese dalla procedura endoscopica</w:t>
      </w:r>
      <w:r w:rsidR="00995340">
        <w:rPr>
          <w:rFonts w:ascii="Arial" w:hAnsi="Arial" w:cs="Arial"/>
          <w:sz w:val="22"/>
          <w:szCs w:val="22"/>
        </w:rPr>
        <w:t xml:space="preserve"> (1)</w:t>
      </w:r>
      <w:r w:rsidR="00A53AF3" w:rsidRPr="00A53AF3">
        <w:rPr>
          <w:rFonts w:ascii="Arial" w:hAnsi="Arial" w:cs="Arial"/>
          <w:sz w:val="22"/>
          <w:szCs w:val="22"/>
        </w:rPr>
        <w:t>.</w:t>
      </w:r>
      <w:r w:rsidRPr="00FB4109">
        <w:rPr>
          <w:rFonts w:ascii="Arial" w:hAnsi="Arial" w:cs="Arial"/>
          <w:sz w:val="22"/>
          <w:szCs w:val="22"/>
        </w:rPr>
        <w:t xml:space="preserve"> Parallelamente, in un altro </w:t>
      </w:r>
      <w:r w:rsidR="00A53AF3">
        <w:rPr>
          <w:rFonts w:ascii="Arial" w:hAnsi="Arial" w:cs="Arial"/>
          <w:sz w:val="22"/>
          <w:szCs w:val="22"/>
        </w:rPr>
        <w:t>s</w:t>
      </w:r>
      <w:r w:rsidR="006662BC" w:rsidRPr="00FB4109">
        <w:rPr>
          <w:rFonts w:ascii="Arial" w:hAnsi="Arial" w:cs="Arial"/>
          <w:sz w:val="22"/>
          <w:szCs w:val="22"/>
        </w:rPr>
        <w:t xml:space="preserve">tudio </w:t>
      </w:r>
      <w:r w:rsidRPr="00FB4109">
        <w:rPr>
          <w:rFonts w:ascii="Arial" w:hAnsi="Arial" w:cs="Arial"/>
          <w:sz w:val="22"/>
          <w:szCs w:val="22"/>
        </w:rPr>
        <w:t>condotto da un gruppo italiano, si evidenzia come la flora intestinale dopo il lavaggio intestinale subisc</w:t>
      </w:r>
      <w:r w:rsidR="00CC5D3A">
        <w:rPr>
          <w:rFonts w:ascii="Arial" w:hAnsi="Arial" w:cs="Arial"/>
          <w:sz w:val="22"/>
          <w:szCs w:val="22"/>
        </w:rPr>
        <w:t>a</w:t>
      </w:r>
      <w:r w:rsidRPr="00FB4109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con uno spiccato aumento di enterobatteri “cattivi” e</w:t>
      </w:r>
      <w:r w:rsidR="00CC5D3A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parallelamente</w:t>
      </w:r>
      <w:r w:rsidR="00CC5D3A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una consistente riduzione di lattobacilli “buoni”. In tale </w:t>
      </w:r>
      <w:r w:rsidR="002D4488">
        <w:rPr>
          <w:rFonts w:ascii="Arial" w:hAnsi="Arial" w:cs="Arial"/>
          <w:sz w:val="22"/>
          <w:szCs w:val="22"/>
        </w:rPr>
        <w:t>s</w:t>
      </w:r>
      <w:r w:rsidR="006662BC" w:rsidRPr="00FB4109">
        <w:rPr>
          <w:rFonts w:ascii="Arial" w:hAnsi="Arial" w:cs="Arial"/>
          <w:sz w:val="22"/>
          <w:szCs w:val="22"/>
        </w:rPr>
        <w:t xml:space="preserve">tudio </w:t>
      </w:r>
      <w:r w:rsidRPr="00FB4109">
        <w:rPr>
          <w:rFonts w:ascii="Arial" w:hAnsi="Arial" w:cs="Arial"/>
          <w:sz w:val="22"/>
          <w:szCs w:val="22"/>
        </w:rPr>
        <w:t>si evidenzia</w:t>
      </w:r>
      <w:r w:rsidR="006662BC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inoltre</w:t>
      </w:r>
      <w:r w:rsidR="006662BC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che lo squilibrio permane anche </w:t>
      </w:r>
      <w:r w:rsidR="002D4488">
        <w:rPr>
          <w:rFonts w:ascii="Arial" w:hAnsi="Arial" w:cs="Arial"/>
          <w:sz w:val="22"/>
          <w:szCs w:val="22"/>
        </w:rPr>
        <w:t xml:space="preserve">a </w:t>
      </w:r>
      <w:r w:rsidRPr="00FB4109">
        <w:rPr>
          <w:rFonts w:ascii="Arial" w:hAnsi="Arial" w:cs="Arial"/>
          <w:sz w:val="22"/>
          <w:szCs w:val="22"/>
        </w:rPr>
        <w:t>un mese dalla colonscopia e che quest</w:t>
      </w:r>
      <w:r w:rsidR="006662BC">
        <w:rPr>
          <w:rFonts w:ascii="Arial" w:hAnsi="Arial" w:cs="Arial"/>
          <w:sz w:val="22"/>
          <w:szCs w:val="22"/>
        </w:rPr>
        <w:t xml:space="preserve">a </w:t>
      </w:r>
      <w:r w:rsidRPr="00FB4109">
        <w:rPr>
          <w:rFonts w:ascii="Arial" w:hAnsi="Arial" w:cs="Arial"/>
          <w:sz w:val="22"/>
          <w:szCs w:val="22"/>
        </w:rPr>
        <w:t>alterazione favorisce l’insorgere di ceppi dannosi e resistenti</w:t>
      </w:r>
      <w:r w:rsidR="002D4488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come i </w:t>
      </w:r>
      <w:proofErr w:type="spellStart"/>
      <w:r w:rsidRPr="00FB4109">
        <w:rPr>
          <w:rFonts w:ascii="Arial" w:hAnsi="Arial" w:cs="Arial"/>
          <w:sz w:val="22"/>
          <w:szCs w:val="22"/>
        </w:rPr>
        <w:t>Proteobatteri</w:t>
      </w:r>
      <w:proofErr w:type="spellEnd"/>
      <w:r w:rsidRPr="00FB4109">
        <w:rPr>
          <w:rFonts w:ascii="Arial" w:hAnsi="Arial" w:cs="Arial"/>
          <w:sz w:val="22"/>
          <w:szCs w:val="22"/>
        </w:rPr>
        <w:t>, l</w:t>
      </w:r>
      <w:r w:rsidR="002D4488">
        <w:rPr>
          <w:rFonts w:ascii="Arial" w:hAnsi="Arial" w:cs="Arial"/>
          <w:sz w:val="22"/>
          <w:szCs w:val="22"/>
        </w:rPr>
        <w:t>e</w:t>
      </w:r>
      <w:r w:rsidRPr="00FB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sz w:val="22"/>
          <w:szCs w:val="22"/>
        </w:rPr>
        <w:t>Enterobacteriacee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e le </w:t>
      </w:r>
      <w:proofErr w:type="spellStart"/>
      <w:r w:rsidRPr="00FB4109">
        <w:rPr>
          <w:rFonts w:ascii="Arial" w:hAnsi="Arial" w:cs="Arial"/>
          <w:sz w:val="22"/>
          <w:szCs w:val="22"/>
        </w:rPr>
        <w:t>Streptococcacee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che sono responsabili di sindromi diarroiche antibiotico-resistenti</w:t>
      </w:r>
      <w:r w:rsidR="00995340">
        <w:rPr>
          <w:rFonts w:ascii="Arial" w:hAnsi="Arial" w:cs="Arial"/>
          <w:sz w:val="22"/>
          <w:szCs w:val="22"/>
        </w:rPr>
        <w:t xml:space="preserve"> (2)</w:t>
      </w:r>
      <w:r w:rsidR="008E405D">
        <w:rPr>
          <w:rFonts w:ascii="Arial" w:hAnsi="Arial" w:cs="Arial"/>
          <w:sz w:val="22"/>
          <w:szCs w:val="22"/>
        </w:rPr>
        <w:t>.</w:t>
      </w:r>
    </w:p>
    <w:p w14:paraId="51E79455" w14:textId="77777777" w:rsidR="00FB4109" w:rsidRP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</w:p>
    <w:p w14:paraId="3C325D0B" w14:textId="77777777" w:rsidR="00FB4109" w:rsidRP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Per </w:t>
      </w:r>
      <w:r w:rsidRPr="00FB4109">
        <w:rPr>
          <w:rFonts w:ascii="Arial" w:hAnsi="Arial" w:cs="Arial"/>
          <w:b/>
          <w:sz w:val="22"/>
          <w:szCs w:val="22"/>
        </w:rPr>
        <w:t xml:space="preserve">contrastare il determinarsi della </w:t>
      </w:r>
      <w:proofErr w:type="spellStart"/>
      <w:r w:rsidRPr="00FB4109">
        <w:rPr>
          <w:rFonts w:ascii="Arial" w:hAnsi="Arial" w:cs="Arial"/>
          <w:b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, è necessario che sia ripristinato in tempi rapidi il livello dei lattobacilli che sono alla base di un rinforzamento immunitario, della normalizzazione della permeabilità intestinale e del riequilibrio della flora batterica nell’intestino. </w:t>
      </w:r>
    </w:p>
    <w:p w14:paraId="73283281" w14:textId="796A1C36" w:rsid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</w:p>
    <w:p w14:paraId="76C93C06" w14:textId="77777777" w:rsidR="00FB4109" w:rsidRP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</w:p>
    <w:p w14:paraId="682671F3" w14:textId="302C26BA" w:rsidR="00FB4109" w:rsidRPr="00FB4109" w:rsidRDefault="00E61357" w:rsidP="00FB4109">
      <w:pPr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UNA </w:t>
      </w:r>
      <w:r w:rsidR="00FB4109" w:rsidRPr="00FB4109">
        <w:rPr>
          <w:rFonts w:ascii="Arial" w:hAnsi="Arial" w:cs="Arial"/>
          <w:b/>
          <w:sz w:val="22"/>
        </w:rPr>
        <w:t>NUOVA ARMA A N</w:t>
      </w:r>
      <w:r w:rsidR="00FB4109">
        <w:rPr>
          <w:rFonts w:ascii="Arial" w:hAnsi="Arial" w:cs="Arial"/>
          <w:b/>
          <w:sz w:val="22"/>
        </w:rPr>
        <w:t>OSTRA</w:t>
      </w:r>
      <w:r w:rsidR="00FB4109" w:rsidRPr="00FB4109">
        <w:rPr>
          <w:rFonts w:ascii="Arial" w:hAnsi="Arial" w:cs="Arial"/>
          <w:b/>
          <w:sz w:val="22"/>
        </w:rPr>
        <w:t xml:space="preserve"> DISPOSIZIONE</w:t>
      </w:r>
    </w:p>
    <w:p w14:paraId="2E6D5DC1" w14:textId="0170B81F" w:rsidR="007D04B4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Nasce quindi </w:t>
      </w:r>
      <w:proofErr w:type="spellStart"/>
      <w:r w:rsidRPr="00FB4109">
        <w:rPr>
          <w:rFonts w:ascii="Arial" w:hAnsi="Arial" w:cs="Arial"/>
          <w:b/>
          <w:sz w:val="22"/>
          <w:szCs w:val="22"/>
        </w:rPr>
        <w:t>Abincol</w:t>
      </w:r>
      <w:proofErr w:type="spellEnd"/>
      <w:r w:rsidRPr="00FB4109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FB4109">
        <w:rPr>
          <w:rFonts w:ascii="Arial" w:hAnsi="Arial" w:cs="Arial"/>
          <w:sz w:val="22"/>
          <w:szCs w:val="22"/>
        </w:rPr>
        <w:t xml:space="preserve">, </w:t>
      </w:r>
      <w:r w:rsidRPr="00FB4109">
        <w:rPr>
          <w:rFonts w:ascii="Arial" w:hAnsi="Arial" w:cs="Arial"/>
          <w:i/>
          <w:sz w:val="22"/>
          <w:szCs w:val="22"/>
        </w:rPr>
        <w:t>integratore di fermenti lattici probiotici</w:t>
      </w:r>
      <w:r w:rsidRPr="00FB4109">
        <w:rPr>
          <w:rFonts w:ascii="Arial" w:hAnsi="Arial" w:cs="Arial"/>
          <w:sz w:val="22"/>
          <w:szCs w:val="22"/>
        </w:rPr>
        <w:t xml:space="preserve"> che agisce in maniera mirata sul colon, studiato proprio per fronteggiare non solo le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causate da gastroenteriti croniche ed </w:t>
      </w:r>
      <w:r w:rsidRPr="00FB4109">
        <w:rPr>
          <w:rFonts w:ascii="Arial" w:hAnsi="Arial" w:cs="Arial"/>
          <w:sz w:val="22"/>
          <w:szCs w:val="22"/>
        </w:rPr>
        <w:lastRenderedPageBreak/>
        <w:t>acute di origine batterica e virale</w:t>
      </w:r>
      <w:r w:rsidR="00073A23">
        <w:rPr>
          <w:rFonts w:ascii="Arial" w:hAnsi="Arial" w:cs="Arial"/>
          <w:sz w:val="22"/>
          <w:szCs w:val="22"/>
        </w:rPr>
        <w:t xml:space="preserve"> o</w:t>
      </w:r>
      <w:r w:rsidRPr="00FB4109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da farmacoterapia (per esempio antibioticoterapia)</w:t>
      </w:r>
      <w:r w:rsidR="006662BC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ma anche la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intestinale post-colonscopia. In particolare</w:t>
      </w:r>
      <w:r w:rsidR="00073A23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sz w:val="22"/>
          <w:szCs w:val="22"/>
        </w:rPr>
        <w:t>Abincol</w:t>
      </w:r>
      <w:proofErr w:type="spellEnd"/>
      <w:r w:rsidRPr="00FB4109">
        <w:rPr>
          <w:rFonts w:ascii="Arial" w:hAnsi="Arial" w:cs="Arial"/>
          <w:sz w:val="22"/>
          <w:szCs w:val="22"/>
          <w:vertAlign w:val="superscript"/>
        </w:rPr>
        <w:t>®</w:t>
      </w:r>
      <w:r w:rsidRPr="00FB4109">
        <w:rPr>
          <w:rFonts w:ascii="Arial" w:hAnsi="Arial" w:cs="Arial"/>
          <w:sz w:val="22"/>
          <w:szCs w:val="22"/>
        </w:rPr>
        <w:t xml:space="preserve"> è in grado di: </w:t>
      </w:r>
      <w:proofErr w:type="spellStart"/>
      <w:r w:rsidRPr="00FB4109">
        <w:rPr>
          <w:rFonts w:ascii="Arial" w:hAnsi="Arial" w:cs="Arial"/>
          <w:b/>
          <w:sz w:val="22"/>
          <w:szCs w:val="22"/>
        </w:rPr>
        <w:t>ricolonizzare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 il colon </w:t>
      </w:r>
      <w:r w:rsidR="00073A23">
        <w:rPr>
          <w:rFonts w:ascii="Arial" w:hAnsi="Arial" w:cs="Arial"/>
          <w:sz w:val="22"/>
          <w:szCs w:val="22"/>
        </w:rPr>
        <w:t>con i</w:t>
      </w:r>
      <w:r w:rsidRPr="00FB4109">
        <w:rPr>
          <w:rFonts w:ascii="Arial" w:hAnsi="Arial" w:cs="Arial"/>
          <w:sz w:val="22"/>
          <w:szCs w:val="22"/>
        </w:rPr>
        <w:t xml:space="preserve"> lattobacilli deficitari (i ceppi “buoni” che regolano l’equilibrio del microbiota), </w:t>
      </w:r>
      <w:r w:rsidRPr="00FB4109">
        <w:rPr>
          <w:rFonts w:ascii="Arial" w:hAnsi="Arial" w:cs="Arial"/>
          <w:b/>
          <w:sz w:val="22"/>
          <w:szCs w:val="22"/>
        </w:rPr>
        <w:t>inibire</w:t>
      </w:r>
      <w:r w:rsidRPr="00FB4109">
        <w:rPr>
          <w:rFonts w:ascii="Arial" w:hAnsi="Arial" w:cs="Arial"/>
          <w:sz w:val="22"/>
          <w:szCs w:val="22"/>
        </w:rPr>
        <w:t xml:space="preserve"> la crescita dei </w:t>
      </w:r>
      <w:r w:rsidRPr="00FB4109">
        <w:rPr>
          <w:rFonts w:ascii="Arial" w:hAnsi="Arial" w:cs="Arial"/>
          <w:b/>
          <w:sz w:val="22"/>
          <w:szCs w:val="22"/>
        </w:rPr>
        <w:t>ceppi “cattivi”</w:t>
      </w:r>
      <w:r w:rsidR="007D04B4" w:rsidRPr="007D04B4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che proliferano in maniera incontrollata in tutti i casi di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="007D04B4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e </w:t>
      </w:r>
      <w:r w:rsidRPr="00FB4109">
        <w:rPr>
          <w:rFonts w:ascii="Arial" w:hAnsi="Arial" w:cs="Arial"/>
          <w:b/>
          <w:sz w:val="22"/>
          <w:szCs w:val="22"/>
        </w:rPr>
        <w:t>attivare/</w:t>
      </w:r>
      <w:r w:rsidR="007D04B4">
        <w:rPr>
          <w:rFonts w:ascii="Arial" w:hAnsi="Arial" w:cs="Arial"/>
          <w:b/>
          <w:sz w:val="22"/>
          <w:szCs w:val="22"/>
        </w:rPr>
        <w:t xml:space="preserve"> </w:t>
      </w:r>
      <w:r w:rsidRPr="00FB4109">
        <w:rPr>
          <w:rFonts w:ascii="Arial" w:hAnsi="Arial" w:cs="Arial"/>
          <w:b/>
          <w:sz w:val="22"/>
          <w:szCs w:val="22"/>
        </w:rPr>
        <w:t>potenziare</w:t>
      </w:r>
      <w:r w:rsidRPr="00FB4109">
        <w:rPr>
          <w:rFonts w:ascii="Arial" w:hAnsi="Arial" w:cs="Arial"/>
          <w:sz w:val="22"/>
          <w:szCs w:val="22"/>
        </w:rPr>
        <w:t xml:space="preserve"> il sistema immunitario dell’ospite. </w:t>
      </w:r>
    </w:p>
    <w:p w14:paraId="5C5429EB" w14:textId="77777777" w:rsidR="00CB0ED0" w:rsidRDefault="00CB0ED0" w:rsidP="00FB4109">
      <w:pPr>
        <w:jc w:val="both"/>
        <w:rPr>
          <w:rFonts w:ascii="Arial" w:hAnsi="Arial" w:cs="Arial"/>
          <w:sz w:val="22"/>
          <w:szCs w:val="22"/>
        </w:rPr>
      </w:pPr>
    </w:p>
    <w:p w14:paraId="2A676590" w14:textId="157D2740" w:rsidR="00673893" w:rsidRDefault="00FB4109" w:rsidP="00FB4109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B4109">
        <w:rPr>
          <w:rFonts w:ascii="Arial" w:hAnsi="Arial" w:cs="Arial"/>
          <w:sz w:val="22"/>
          <w:szCs w:val="22"/>
        </w:rPr>
        <w:t>Abincol</w:t>
      </w:r>
      <w:proofErr w:type="spellEnd"/>
      <w:r w:rsidR="006662BC" w:rsidRPr="00FB4109">
        <w:rPr>
          <w:rFonts w:ascii="Arial" w:hAnsi="Arial" w:cs="Arial"/>
          <w:sz w:val="22"/>
          <w:szCs w:val="22"/>
          <w:vertAlign w:val="superscript"/>
        </w:rPr>
        <w:t>®</w:t>
      </w:r>
      <w:r w:rsidRPr="00FB4109">
        <w:rPr>
          <w:rFonts w:ascii="Arial" w:hAnsi="Arial" w:cs="Arial"/>
          <w:sz w:val="22"/>
          <w:szCs w:val="22"/>
        </w:rPr>
        <w:t xml:space="preserve"> è costituito da un </w:t>
      </w:r>
      <w:r w:rsidRPr="00FB4109">
        <w:rPr>
          <w:rFonts w:ascii="Arial" w:hAnsi="Arial" w:cs="Arial"/>
          <w:b/>
          <w:i/>
          <w:sz w:val="22"/>
          <w:szCs w:val="22"/>
        </w:rPr>
        <w:t>pool</w:t>
      </w:r>
      <w:r w:rsidRPr="00FB4109">
        <w:rPr>
          <w:rFonts w:ascii="Arial" w:hAnsi="Arial" w:cs="Arial"/>
          <w:b/>
          <w:sz w:val="22"/>
          <w:szCs w:val="22"/>
        </w:rPr>
        <w:t xml:space="preserve"> di ceppi</w:t>
      </w:r>
      <w:r w:rsidRPr="00FB4109">
        <w:rPr>
          <w:rFonts w:ascii="Arial" w:hAnsi="Arial" w:cs="Arial"/>
          <w:sz w:val="22"/>
          <w:szCs w:val="22"/>
        </w:rPr>
        <w:t xml:space="preserve"> </w:t>
      </w:r>
      <w:r w:rsidRPr="00FB4109">
        <w:rPr>
          <w:rFonts w:ascii="Arial" w:hAnsi="Arial" w:cs="Arial"/>
          <w:b/>
          <w:sz w:val="22"/>
          <w:szCs w:val="22"/>
        </w:rPr>
        <w:t>di probiotici</w:t>
      </w:r>
      <w:r w:rsidRPr="00FB4109">
        <w:rPr>
          <w:rFonts w:ascii="Arial" w:hAnsi="Arial" w:cs="Arial"/>
          <w:sz w:val="22"/>
          <w:szCs w:val="22"/>
        </w:rPr>
        <w:t xml:space="preserve"> la cui efficacia è stata scientificamente comprovata singolarmente e rappresenta un connubio specifico e vincente di: </w:t>
      </w:r>
      <w:proofErr w:type="spellStart"/>
      <w:r w:rsidRPr="00FB4109">
        <w:rPr>
          <w:rFonts w:ascii="Arial" w:hAnsi="Arial" w:cs="Arial"/>
          <w:b/>
          <w:i/>
          <w:sz w:val="22"/>
          <w:szCs w:val="22"/>
        </w:rPr>
        <w:t>Lactobacillus</w:t>
      </w:r>
      <w:proofErr w:type="spellEnd"/>
      <w:r w:rsidRPr="00FB410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b/>
          <w:i/>
          <w:sz w:val="22"/>
          <w:szCs w:val="22"/>
        </w:rPr>
        <w:t>plantarum</w:t>
      </w:r>
      <w:proofErr w:type="spellEnd"/>
      <w:r w:rsidRPr="00FB4109">
        <w:rPr>
          <w:rFonts w:ascii="Arial" w:hAnsi="Arial" w:cs="Arial"/>
          <w:b/>
          <w:i/>
          <w:sz w:val="22"/>
          <w:szCs w:val="22"/>
        </w:rPr>
        <w:t xml:space="preserve"> LP01</w:t>
      </w:r>
      <w:r w:rsidR="007D04B4">
        <w:rPr>
          <w:rFonts w:ascii="Arial" w:hAnsi="Arial" w:cs="Arial"/>
          <w:sz w:val="22"/>
          <w:szCs w:val="22"/>
        </w:rPr>
        <w:t xml:space="preserve"> (</w:t>
      </w:r>
      <w:r w:rsidRPr="00FB4109">
        <w:rPr>
          <w:rFonts w:ascii="Arial" w:hAnsi="Arial" w:cs="Arial"/>
          <w:sz w:val="22"/>
          <w:szCs w:val="22"/>
        </w:rPr>
        <w:t>uno dei ceppi batterici più attivi e studiati in ambito scientifico</w:t>
      </w:r>
      <w:r w:rsidR="007D04B4">
        <w:rPr>
          <w:rFonts w:ascii="Arial" w:hAnsi="Arial" w:cs="Arial"/>
          <w:sz w:val="22"/>
          <w:szCs w:val="22"/>
        </w:rPr>
        <w:t>),</w:t>
      </w:r>
      <w:r w:rsidRPr="00FB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b/>
          <w:i/>
          <w:sz w:val="22"/>
          <w:szCs w:val="22"/>
        </w:rPr>
        <w:t>Lactobacillus</w:t>
      </w:r>
      <w:proofErr w:type="spellEnd"/>
      <w:r w:rsidRPr="00FB4109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1" w:name="_Hlk529204463"/>
      <w:proofErr w:type="spellStart"/>
      <w:r w:rsidRPr="00FB4109">
        <w:rPr>
          <w:rFonts w:ascii="Arial" w:hAnsi="Arial" w:cs="Arial"/>
          <w:b/>
          <w:i/>
          <w:sz w:val="22"/>
          <w:szCs w:val="22"/>
        </w:rPr>
        <w:t>delbrueckii</w:t>
      </w:r>
      <w:proofErr w:type="spellEnd"/>
      <w:r w:rsidRPr="00FB4109">
        <w:rPr>
          <w:rFonts w:ascii="Arial" w:hAnsi="Arial" w:cs="Arial"/>
          <w:b/>
          <w:i/>
          <w:sz w:val="22"/>
          <w:szCs w:val="22"/>
        </w:rPr>
        <w:t xml:space="preserve"> LDD01</w:t>
      </w:r>
      <w:bookmarkEnd w:id="1"/>
      <w:r w:rsidRPr="00FB4109">
        <w:rPr>
          <w:rFonts w:ascii="Arial" w:hAnsi="Arial" w:cs="Arial"/>
          <w:i/>
          <w:sz w:val="22"/>
          <w:szCs w:val="22"/>
        </w:rPr>
        <w:t xml:space="preserve"> </w:t>
      </w:r>
      <w:r w:rsidRPr="00FB4109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FB4109">
        <w:rPr>
          <w:rFonts w:ascii="Arial" w:hAnsi="Arial" w:cs="Arial"/>
          <w:b/>
          <w:i/>
          <w:sz w:val="22"/>
          <w:szCs w:val="22"/>
        </w:rPr>
        <w:t>Lactococcus</w:t>
      </w:r>
      <w:proofErr w:type="spellEnd"/>
      <w:r w:rsidRPr="00FB410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b/>
          <w:i/>
          <w:sz w:val="22"/>
          <w:szCs w:val="22"/>
        </w:rPr>
        <w:t>lactis</w:t>
      </w:r>
      <w:proofErr w:type="spellEnd"/>
      <w:r w:rsidRPr="00FB4109">
        <w:rPr>
          <w:rFonts w:ascii="Arial" w:hAnsi="Arial" w:cs="Arial"/>
          <w:b/>
          <w:i/>
          <w:sz w:val="22"/>
          <w:szCs w:val="22"/>
        </w:rPr>
        <w:t xml:space="preserve"> subsp. </w:t>
      </w:r>
      <w:proofErr w:type="spellStart"/>
      <w:r w:rsidRPr="00FB4109">
        <w:rPr>
          <w:rFonts w:ascii="Arial" w:hAnsi="Arial" w:cs="Arial"/>
          <w:b/>
          <w:i/>
          <w:sz w:val="22"/>
          <w:szCs w:val="22"/>
        </w:rPr>
        <w:t>cremoris</w:t>
      </w:r>
      <w:proofErr w:type="spellEnd"/>
      <w:r w:rsidRPr="00FB4109">
        <w:rPr>
          <w:rFonts w:ascii="Arial" w:hAnsi="Arial" w:cs="Arial"/>
          <w:b/>
          <w:i/>
          <w:sz w:val="22"/>
          <w:szCs w:val="22"/>
        </w:rPr>
        <w:t xml:space="preserve"> LLC02</w:t>
      </w:r>
      <w:r w:rsidRPr="00FB4109">
        <w:rPr>
          <w:rFonts w:ascii="Arial" w:hAnsi="Arial" w:cs="Arial"/>
          <w:i/>
          <w:sz w:val="22"/>
          <w:szCs w:val="22"/>
        </w:rPr>
        <w:t>.</w:t>
      </w:r>
    </w:p>
    <w:p w14:paraId="7E6795D9" w14:textId="4EEEE14D" w:rsidR="00995340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La caratteristica basilare del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plantarum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LP01 </w:t>
      </w:r>
      <w:r w:rsidRPr="00FB4109">
        <w:rPr>
          <w:rFonts w:ascii="Arial" w:hAnsi="Arial" w:cs="Arial"/>
          <w:sz w:val="22"/>
          <w:szCs w:val="22"/>
        </w:rPr>
        <w:t>è la capacità di indurre un aumento delle citochine e delle immunoglobuline che regolano il sistema immunitario a livello intestinale, nei confronti di un’infezione sia batterica che virale</w:t>
      </w:r>
      <w:r w:rsidR="00995340">
        <w:rPr>
          <w:rFonts w:ascii="Arial" w:hAnsi="Arial" w:cs="Arial"/>
          <w:sz w:val="22"/>
          <w:szCs w:val="22"/>
        </w:rPr>
        <w:t xml:space="preserve"> (3)</w:t>
      </w:r>
      <w:r w:rsidR="00701246">
        <w:rPr>
          <w:rFonts w:ascii="Arial" w:hAnsi="Arial" w:cs="Arial"/>
          <w:sz w:val="22"/>
          <w:szCs w:val="22"/>
        </w:rPr>
        <w:t>.</w:t>
      </w:r>
      <w:r w:rsidRPr="00FB4109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delbrueckii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LDD01 </w:t>
      </w:r>
      <w:r w:rsidRPr="00FB4109">
        <w:rPr>
          <w:rFonts w:ascii="Arial" w:hAnsi="Arial" w:cs="Arial"/>
          <w:sz w:val="22"/>
          <w:szCs w:val="22"/>
        </w:rPr>
        <w:t xml:space="preserve">inibisce in maniera molto efficace la crescita di </w:t>
      </w:r>
      <w:r w:rsidRPr="00FB4109">
        <w:rPr>
          <w:rFonts w:ascii="Arial" w:hAnsi="Arial" w:cs="Arial"/>
          <w:i/>
          <w:sz w:val="22"/>
          <w:szCs w:val="22"/>
        </w:rPr>
        <w:t xml:space="preserve">Klebsiella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pneumoniae</w:t>
      </w:r>
      <w:proofErr w:type="spellEnd"/>
      <w:r w:rsidRPr="00FB4109">
        <w:rPr>
          <w:rFonts w:ascii="Arial" w:hAnsi="Arial" w:cs="Arial"/>
          <w:sz w:val="22"/>
          <w:szCs w:val="22"/>
        </w:rPr>
        <w:t>, un batterio della famiglia delle Enterobatteriacee</w:t>
      </w:r>
      <w:r w:rsidR="00701246">
        <w:rPr>
          <w:rFonts w:ascii="Arial" w:hAnsi="Arial" w:cs="Arial"/>
          <w:sz w:val="22"/>
          <w:szCs w:val="22"/>
        </w:rPr>
        <w:t>,</w:t>
      </w:r>
      <w:r w:rsidRPr="00FB4109">
        <w:rPr>
          <w:rFonts w:ascii="Arial" w:hAnsi="Arial" w:cs="Arial"/>
          <w:sz w:val="22"/>
          <w:szCs w:val="22"/>
        </w:rPr>
        <w:t xml:space="preserve"> in grado di causare patologie gravi a carico dell’apparato urinario e polmonare. Inoltre, insieme al</w:t>
      </w:r>
      <w:r w:rsidRPr="00FB4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plantarum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, </w:t>
      </w:r>
      <w:r w:rsidRPr="00FB4109">
        <w:rPr>
          <w:rFonts w:ascii="Arial" w:hAnsi="Arial" w:cs="Arial"/>
          <w:sz w:val="22"/>
          <w:szCs w:val="22"/>
        </w:rPr>
        <w:t xml:space="preserve">il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delbrueckii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</w:t>
      </w:r>
      <w:r w:rsidRPr="00FB4109">
        <w:rPr>
          <w:rFonts w:ascii="Arial" w:hAnsi="Arial" w:cs="Arial"/>
          <w:sz w:val="22"/>
          <w:szCs w:val="22"/>
        </w:rPr>
        <w:t xml:space="preserve">è in grado di inibire in maniera specifica 4 tra i più comuni ceppi di </w:t>
      </w:r>
      <w:r w:rsidRPr="00FB4109">
        <w:rPr>
          <w:rFonts w:ascii="Arial" w:hAnsi="Arial" w:cs="Arial"/>
          <w:i/>
          <w:sz w:val="22"/>
          <w:szCs w:val="22"/>
        </w:rPr>
        <w:t>Escherichia coli</w:t>
      </w:r>
      <w:r w:rsidRPr="00FB4109">
        <w:rPr>
          <w:rFonts w:ascii="Arial" w:hAnsi="Arial" w:cs="Arial"/>
          <w:sz w:val="22"/>
          <w:szCs w:val="22"/>
        </w:rPr>
        <w:t>. L’uso di tal</w:t>
      </w:r>
      <w:r w:rsidR="00995340">
        <w:rPr>
          <w:rFonts w:ascii="Arial" w:hAnsi="Arial" w:cs="Arial"/>
          <w:sz w:val="22"/>
          <w:szCs w:val="22"/>
        </w:rPr>
        <w:t>i</w:t>
      </w:r>
      <w:r w:rsidRPr="00FB4109">
        <w:rPr>
          <w:rFonts w:ascii="Arial" w:hAnsi="Arial" w:cs="Arial"/>
          <w:sz w:val="22"/>
          <w:szCs w:val="22"/>
        </w:rPr>
        <w:t xml:space="preserve"> probiotici consente quindi di ridurre la durata della diarrea e il numero delle scariche. </w:t>
      </w:r>
    </w:p>
    <w:p w14:paraId="25EE777B" w14:textId="0BF79228" w:rsidR="00FB4109" w:rsidRDefault="00FB4109" w:rsidP="00FB4109">
      <w:pPr>
        <w:jc w:val="both"/>
        <w:rPr>
          <w:rFonts w:ascii="Arial" w:hAnsi="Arial" w:cs="Arial"/>
          <w:i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 xml:space="preserve">L’aggiunta in </w:t>
      </w:r>
      <w:proofErr w:type="spellStart"/>
      <w:r w:rsidRPr="00FB4109">
        <w:rPr>
          <w:rFonts w:ascii="Arial" w:hAnsi="Arial" w:cs="Arial"/>
          <w:sz w:val="22"/>
          <w:szCs w:val="22"/>
        </w:rPr>
        <w:t>Abincol</w:t>
      </w:r>
      <w:proofErr w:type="spellEnd"/>
      <w:r w:rsidR="006662BC" w:rsidRPr="00FB4109">
        <w:rPr>
          <w:rFonts w:ascii="Arial" w:hAnsi="Arial" w:cs="Arial"/>
          <w:sz w:val="22"/>
          <w:szCs w:val="22"/>
          <w:vertAlign w:val="superscript"/>
        </w:rPr>
        <w:t>®</w:t>
      </w:r>
      <w:r w:rsidRPr="00FB4109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Lactococcus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lactis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subsp. </w:t>
      </w:r>
      <w:proofErr w:type="spellStart"/>
      <w:r w:rsidRPr="00FB4109">
        <w:rPr>
          <w:rFonts w:ascii="Arial" w:hAnsi="Arial" w:cs="Arial"/>
          <w:i/>
          <w:sz w:val="22"/>
          <w:szCs w:val="22"/>
        </w:rPr>
        <w:t>cremoris</w:t>
      </w:r>
      <w:proofErr w:type="spellEnd"/>
      <w:r w:rsidRPr="00FB4109">
        <w:rPr>
          <w:rFonts w:ascii="Arial" w:hAnsi="Arial" w:cs="Arial"/>
          <w:i/>
          <w:sz w:val="22"/>
          <w:szCs w:val="22"/>
        </w:rPr>
        <w:t xml:space="preserve"> LLC02 </w:t>
      </w:r>
      <w:r w:rsidRPr="00FB4109">
        <w:rPr>
          <w:rFonts w:ascii="Arial" w:hAnsi="Arial" w:cs="Arial"/>
          <w:sz w:val="22"/>
          <w:szCs w:val="22"/>
        </w:rPr>
        <w:t xml:space="preserve">ne potenzia infine l’efficacia, </w:t>
      </w:r>
      <w:r w:rsidR="00995340">
        <w:rPr>
          <w:rFonts w:ascii="Arial" w:hAnsi="Arial" w:cs="Arial"/>
          <w:sz w:val="22"/>
          <w:szCs w:val="22"/>
        </w:rPr>
        <w:t xml:space="preserve">poiché ha </w:t>
      </w:r>
      <w:r w:rsidRPr="00FB4109">
        <w:rPr>
          <w:rFonts w:ascii="Arial" w:hAnsi="Arial" w:cs="Arial"/>
          <w:sz w:val="22"/>
          <w:szCs w:val="22"/>
        </w:rPr>
        <w:t xml:space="preserve">un’azione prebiotica, tramite la produzione di molecole attive che favoriscono la crescita degli stessi probiotici, fungendo da “motore” di </w:t>
      </w:r>
      <w:proofErr w:type="spellStart"/>
      <w:r w:rsidRPr="00FB4109">
        <w:rPr>
          <w:rFonts w:ascii="Arial" w:hAnsi="Arial" w:cs="Arial"/>
          <w:sz w:val="22"/>
          <w:szCs w:val="22"/>
        </w:rPr>
        <w:t>Abincol</w:t>
      </w:r>
      <w:proofErr w:type="spellEnd"/>
      <w:r w:rsidR="006662BC" w:rsidRPr="00FB4109">
        <w:rPr>
          <w:rFonts w:ascii="Arial" w:hAnsi="Arial" w:cs="Arial"/>
          <w:sz w:val="22"/>
          <w:szCs w:val="22"/>
          <w:vertAlign w:val="superscript"/>
        </w:rPr>
        <w:t>®</w:t>
      </w:r>
      <w:r w:rsidRPr="00FB4109">
        <w:rPr>
          <w:rFonts w:ascii="Arial" w:hAnsi="Arial" w:cs="Arial"/>
          <w:i/>
          <w:sz w:val="22"/>
          <w:szCs w:val="22"/>
        </w:rPr>
        <w:t>.</w:t>
      </w:r>
    </w:p>
    <w:p w14:paraId="6338B7EC" w14:textId="77777777" w:rsidR="00673893" w:rsidRPr="00FB4109" w:rsidRDefault="00673893" w:rsidP="00FB4109">
      <w:pPr>
        <w:jc w:val="both"/>
        <w:rPr>
          <w:rFonts w:ascii="Arial" w:hAnsi="Arial" w:cs="Arial"/>
          <w:sz w:val="22"/>
          <w:szCs w:val="22"/>
        </w:rPr>
      </w:pPr>
    </w:p>
    <w:p w14:paraId="486A7B5B" w14:textId="33AEBEA1" w:rsidR="00FB4109" w:rsidRP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  <w:r w:rsidRPr="00FB4109">
        <w:rPr>
          <w:rFonts w:ascii="Arial" w:hAnsi="Arial" w:cs="Arial"/>
          <w:sz w:val="22"/>
          <w:szCs w:val="22"/>
        </w:rPr>
        <w:t>Un grande punto di forza di questo prodotto, grazie all’</w:t>
      </w:r>
      <w:r w:rsidRPr="00FB4109">
        <w:rPr>
          <w:rFonts w:ascii="Arial" w:hAnsi="Arial" w:cs="Arial"/>
          <w:b/>
          <w:sz w:val="22"/>
          <w:szCs w:val="22"/>
        </w:rPr>
        <w:t>esclusiva tecnologia della</w:t>
      </w:r>
      <w:r w:rsidRPr="00FB41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109">
        <w:rPr>
          <w:rFonts w:ascii="Arial" w:hAnsi="Arial" w:cs="Arial"/>
          <w:b/>
          <w:sz w:val="22"/>
          <w:szCs w:val="22"/>
        </w:rPr>
        <w:t>microincapsulazione</w:t>
      </w:r>
      <w:proofErr w:type="spellEnd"/>
      <w:r w:rsidRPr="00FB4109">
        <w:rPr>
          <w:rFonts w:ascii="Arial" w:hAnsi="Arial" w:cs="Arial"/>
          <w:sz w:val="22"/>
          <w:szCs w:val="22"/>
        </w:rPr>
        <w:t xml:space="preserve">, è che i ceppi batterici sono </w:t>
      </w:r>
      <w:r w:rsidRPr="00FB4109">
        <w:rPr>
          <w:rFonts w:ascii="Arial" w:hAnsi="Arial" w:cs="Arial"/>
          <w:b/>
          <w:sz w:val="22"/>
          <w:szCs w:val="22"/>
        </w:rPr>
        <w:t>resistenti agli acidi gastrici e biliari</w:t>
      </w:r>
      <w:r w:rsidRPr="00FB4109">
        <w:rPr>
          <w:rFonts w:ascii="Arial" w:hAnsi="Arial" w:cs="Arial"/>
          <w:sz w:val="22"/>
          <w:szCs w:val="22"/>
        </w:rPr>
        <w:t xml:space="preserve">, </w:t>
      </w:r>
      <w:r w:rsidRPr="00FB4109">
        <w:rPr>
          <w:rFonts w:ascii="Arial" w:hAnsi="Arial" w:cs="Arial"/>
          <w:b/>
          <w:sz w:val="22"/>
          <w:szCs w:val="22"/>
        </w:rPr>
        <w:t>termoresistenti</w:t>
      </w:r>
      <w:r w:rsidRPr="00FB4109">
        <w:rPr>
          <w:rFonts w:ascii="Arial" w:hAnsi="Arial" w:cs="Arial"/>
          <w:sz w:val="22"/>
          <w:szCs w:val="22"/>
        </w:rPr>
        <w:t xml:space="preserve"> e quindi stabili a temperatura ambiente</w:t>
      </w:r>
      <w:r w:rsidR="00AC200C">
        <w:rPr>
          <w:rFonts w:ascii="Arial" w:hAnsi="Arial" w:cs="Arial"/>
          <w:sz w:val="22"/>
          <w:szCs w:val="22"/>
        </w:rPr>
        <w:t>.</w:t>
      </w:r>
      <w:r w:rsidRPr="00FB4109">
        <w:rPr>
          <w:rFonts w:ascii="Arial" w:hAnsi="Arial" w:cs="Arial"/>
          <w:sz w:val="22"/>
          <w:szCs w:val="22"/>
        </w:rPr>
        <w:t xml:space="preserve"> Questa tecnologia consente di potenziare l’efficacia dei probiotici con una </w:t>
      </w:r>
      <w:r w:rsidRPr="00FB4109">
        <w:rPr>
          <w:rFonts w:ascii="Arial" w:hAnsi="Arial" w:cs="Arial"/>
          <w:b/>
          <w:sz w:val="22"/>
          <w:szCs w:val="22"/>
        </w:rPr>
        <w:t>resa 5 volte superiore</w:t>
      </w:r>
      <w:r w:rsidRPr="00FB4109">
        <w:rPr>
          <w:rFonts w:ascii="Arial" w:hAnsi="Arial" w:cs="Arial"/>
          <w:sz w:val="22"/>
          <w:szCs w:val="22"/>
        </w:rPr>
        <w:t xml:space="preserve"> rispetto a quelli “nudi”, ovvero che non hanno questa protezione. Dopo l’assunzione, tutti i probiotici presenti in </w:t>
      </w:r>
      <w:proofErr w:type="spellStart"/>
      <w:r w:rsidRPr="00FB4109">
        <w:rPr>
          <w:rFonts w:ascii="Arial" w:hAnsi="Arial" w:cs="Arial"/>
          <w:sz w:val="22"/>
          <w:szCs w:val="22"/>
        </w:rPr>
        <w:t>Abincol</w:t>
      </w:r>
      <w:proofErr w:type="spellEnd"/>
      <w:r w:rsidR="00AC200C" w:rsidRPr="00FB4109">
        <w:rPr>
          <w:rFonts w:ascii="Arial" w:hAnsi="Arial" w:cs="Arial"/>
          <w:sz w:val="22"/>
          <w:szCs w:val="22"/>
          <w:vertAlign w:val="superscript"/>
        </w:rPr>
        <w:t>®</w:t>
      </w:r>
      <w:r w:rsidRPr="00FB4109">
        <w:rPr>
          <w:rFonts w:ascii="Arial" w:hAnsi="Arial" w:cs="Arial"/>
          <w:sz w:val="22"/>
          <w:szCs w:val="22"/>
        </w:rPr>
        <w:t xml:space="preserve"> arrivano integri e vitali nel colon, rimpiazzano efficacemente il deficit microbico e riequilibrano la flora intestinale perturbata in tutti i casi di </w:t>
      </w:r>
      <w:proofErr w:type="spellStart"/>
      <w:r w:rsidRPr="00FB4109">
        <w:rPr>
          <w:rFonts w:ascii="Arial" w:hAnsi="Arial" w:cs="Arial"/>
          <w:sz w:val="22"/>
          <w:szCs w:val="22"/>
        </w:rPr>
        <w:t>disbiosi</w:t>
      </w:r>
      <w:proofErr w:type="spellEnd"/>
      <w:r w:rsidRPr="00FB4109">
        <w:rPr>
          <w:rFonts w:ascii="Arial" w:hAnsi="Arial" w:cs="Arial"/>
          <w:sz w:val="22"/>
          <w:szCs w:val="22"/>
        </w:rPr>
        <w:t>.</w:t>
      </w:r>
    </w:p>
    <w:p w14:paraId="380B2B73" w14:textId="553DCA79" w:rsidR="00FB4109" w:rsidRDefault="00FB4109" w:rsidP="00FB4109">
      <w:pPr>
        <w:jc w:val="both"/>
        <w:rPr>
          <w:rFonts w:ascii="Arial" w:hAnsi="Arial" w:cs="Arial"/>
          <w:sz w:val="22"/>
          <w:szCs w:val="22"/>
        </w:rPr>
      </w:pPr>
    </w:p>
    <w:p w14:paraId="3E8D545B" w14:textId="77777777" w:rsidR="0051167E" w:rsidRPr="00FB4109" w:rsidRDefault="0051167E" w:rsidP="00FB4109">
      <w:pPr>
        <w:jc w:val="both"/>
        <w:rPr>
          <w:rFonts w:ascii="Arial" w:hAnsi="Arial" w:cs="Arial"/>
          <w:sz w:val="22"/>
          <w:szCs w:val="22"/>
        </w:rPr>
      </w:pPr>
    </w:p>
    <w:p w14:paraId="1F8EA901" w14:textId="0E68C5A1" w:rsidR="00FB4109" w:rsidRPr="00995340" w:rsidRDefault="00FB4109" w:rsidP="00995340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66673B">
        <w:rPr>
          <w:rFonts w:ascii="Arial" w:hAnsi="Arial" w:cs="Arial"/>
          <w:b/>
          <w:sz w:val="20"/>
          <w:szCs w:val="22"/>
        </w:rPr>
        <w:t>Bibliografia</w:t>
      </w:r>
    </w:p>
    <w:p w14:paraId="64725BAC" w14:textId="2A58D578" w:rsidR="00995340" w:rsidRPr="00BD3597" w:rsidRDefault="00995340" w:rsidP="00995340">
      <w:pPr>
        <w:pStyle w:val="Paragrafoelenco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2"/>
          <w:lang w:val="en-US"/>
        </w:rPr>
      </w:pPr>
      <w:r w:rsidRPr="00BD3597">
        <w:rPr>
          <w:rFonts w:ascii="Arial" w:hAnsi="Arial" w:cs="Arial"/>
          <w:sz w:val="20"/>
          <w:szCs w:val="20"/>
          <w:lang w:val="en-US"/>
        </w:rPr>
        <w:t xml:space="preserve">Wang P, Xu T,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Ngamruengphong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S,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Makary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MA,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Kallo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Hutfless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S, “Rates of infection after colonoscopy and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osophagogastroduodenoscopy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in ambulatory surgery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in USA” – Gut 2018; 0:1-9.</w:t>
      </w:r>
    </w:p>
    <w:p w14:paraId="2D02213B" w14:textId="5C9B52E4" w:rsidR="00995340" w:rsidRPr="00995340" w:rsidRDefault="00995340" w:rsidP="00995340">
      <w:pPr>
        <w:pStyle w:val="Paragrafoelenco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2"/>
        </w:rPr>
      </w:pPr>
      <w:r w:rsidRPr="006E2065">
        <w:rPr>
          <w:rFonts w:ascii="Arial" w:hAnsi="Arial" w:cs="Arial"/>
          <w:sz w:val="20"/>
          <w:szCs w:val="20"/>
        </w:rPr>
        <w:t>Drago L, Marco Toscano M, De Grandi R, Casini V and Pace F “</w:t>
      </w:r>
      <w:proofErr w:type="spellStart"/>
      <w:r w:rsidRPr="006E2065">
        <w:rPr>
          <w:rFonts w:ascii="Arial" w:hAnsi="Arial" w:cs="Arial"/>
          <w:sz w:val="20"/>
          <w:szCs w:val="20"/>
        </w:rPr>
        <w:t>Persisting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changes of </w:t>
      </w:r>
      <w:proofErr w:type="spellStart"/>
      <w:r w:rsidRPr="006E2065">
        <w:rPr>
          <w:rFonts w:ascii="Arial" w:hAnsi="Arial" w:cs="Arial"/>
          <w:sz w:val="20"/>
          <w:szCs w:val="20"/>
        </w:rPr>
        <w:t>intestinal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microbiota </w:t>
      </w:r>
      <w:proofErr w:type="spellStart"/>
      <w:r w:rsidRPr="006E2065">
        <w:rPr>
          <w:rFonts w:ascii="Arial" w:hAnsi="Arial" w:cs="Arial"/>
          <w:sz w:val="20"/>
          <w:szCs w:val="20"/>
        </w:rPr>
        <w:t>after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065">
        <w:rPr>
          <w:rFonts w:ascii="Arial" w:hAnsi="Arial" w:cs="Arial"/>
          <w:sz w:val="20"/>
          <w:szCs w:val="20"/>
        </w:rPr>
        <w:t>bowel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065">
        <w:rPr>
          <w:rFonts w:ascii="Arial" w:hAnsi="Arial" w:cs="Arial"/>
          <w:sz w:val="20"/>
          <w:szCs w:val="20"/>
        </w:rPr>
        <w:t>lavage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and </w:t>
      </w:r>
      <w:proofErr w:type="spellStart"/>
      <w:proofErr w:type="gramStart"/>
      <w:r w:rsidRPr="006E2065">
        <w:rPr>
          <w:rFonts w:ascii="Arial" w:hAnsi="Arial" w:cs="Arial"/>
          <w:sz w:val="20"/>
          <w:szCs w:val="20"/>
        </w:rPr>
        <w:t>colonoscopy</w:t>
      </w:r>
      <w:proofErr w:type="spellEnd"/>
      <w:r w:rsidRPr="006E2065">
        <w:rPr>
          <w:rFonts w:ascii="Arial" w:hAnsi="Arial" w:cs="Arial"/>
          <w:sz w:val="20"/>
          <w:szCs w:val="20"/>
        </w:rPr>
        <w:t>”-</w:t>
      </w:r>
      <w:proofErr w:type="gramEnd"/>
      <w:r w:rsidRPr="006E20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065">
        <w:rPr>
          <w:rFonts w:ascii="Arial" w:hAnsi="Arial" w:cs="Arial"/>
          <w:sz w:val="20"/>
          <w:szCs w:val="20"/>
        </w:rPr>
        <w:t>Eur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J of </w:t>
      </w:r>
      <w:proofErr w:type="spellStart"/>
      <w:r w:rsidRPr="006E2065">
        <w:rPr>
          <w:rFonts w:ascii="Arial" w:hAnsi="Arial" w:cs="Arial"/>
          <w:sz w:val="20"/>
          <w:szCs w:val="20"/>
        </w:rPr>
        <w:t>gastr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E2065">
        <w:rPr>
          <w:rFonts w:ascii="Arial" w:hAnsi="Arial" w:cs="Arial"/>
          <w:sz w:val="20"/>
          <w:szCs w:val="20"/>
        </w:rPr>
        <w:t>Hepatology</w:t>
      </w:r>
      <w:proofErr w:type="spellEnd"/>
      <w:r w:rsidRPr="006E2065">
        <w:rPr>
          <w:rFonts w:ascii="Arial" w:hAnsi="Arial" w:cs="Arial"/>
          <w:sz w:val="20"/>
          <w:szCs w:val="20"/>
        </w:rPr>
        <w:t xml:space="preserve"> 2016, 28:532-537.</w:t>
      </w:r>
    </w:p>
    <w:p w14:paraId="4DC7E73E" w14:textId="1EB74825" w:rsidR="00995340" w:rsidRPr="00BD3597" w:rsidRDefault="00995340" w:rsidP="00995340">
      <w:pPr>
        <w:pStyle w:val="Paragrafoelenco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2"/>
          <w:lang w:val="en-US"/>
        </w:rPr>
      </w:pPr>
      <w:r w:rsidRPr="00BD3597">
        <w:rPr>
          <w:rFonts w:ascii="Arial" w:hAnsi="Arial" w:cs="Arial"/>
          <w:sz w:val="20"/>
          <w:szCs w:val="20"/>
          <w:lang w:val="en-US"/>
        </w:rPr>
        <w:t xml:space="preserve">Biolab Research –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Mofin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Alce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Group “Lactobacillus plantarum LP01 – LMG P-21021: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proprietà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3597">
        <w:rPr>
          <w:rFonts w:ascii="Arial" w:hAnsi="Arial" w:cs="Arial"/>
          <w:sz w:val="20"/>
          <w:szCs w:val="20"/>
          <w:lang w:val="en-US"/>
        </w:rPr>
        <w:t>immunomodulanti</w:t>
      </w:r>
      <w:proofErr w:type="spellEnd"/>
      <w:r w:rsidRPr="00BD3597">
        <w:rPr>
          <w:rFonts w:ascii="Arial" w:hAnsi="Arial" w:cs="Arial"/>
          <w:sz w:val="20"/>
          <w:szCs w:val="20"/>
          <w:lang w:val="en-US"/>
        </w:rPr>
        <w:t>”</w:t>
      </w:r>
      <w:r w:rsidRPr="00995340">
        <w:rPr>
          <w:color w:val="1F4E79" w:themeColor="accent1" w:themeShade="80"/>
          <w:sz w:val="22"/>
          <w:lang w:val="en-GB"/>
        </w:rPr>
        <w:t>.</w:t>
      </w:r>
    </w:p>
    <w:sectPr w:rsidR="00995340" w:rsidRPr="00BD3597" w:rsidSect="007C3C01">
      <w:endnotePr>
        <w:numFmt w:val="decimal"/>
      </w:endnotePr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A75C" w14:textId="77777777" w:rsidR="00AA5456" w:rsidRDefault="00AA5456" w:rsidP="00527688">
      <w:r>
        <w:separator/>
      </w:r>
    </w:p>
  </w:endnote>
  <w:endnote w:type="continuationSeparator" w:id="0">
    <w:p w14:paraId="115865CD" w14:textId="77777777" w:rsidR="00AA5456" w:rsidRDefault="00AA5456" w:rsidP="005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A66C" w14:textId="77777777" w:rsidR="00AA5456" w:rsidRDefault="00AA5456" w:rsidP="00527688">
      <w:r>
        <w:separator/>
      </w:r>
    </w:p>
  </w:footnote>
  <w:footnote w:type="continuationSeparator" w:id="0">
    <w:p w14:paraId="2D2DEF89" w14:textId="77777777" w:rsidR="00AA5456" w:rsidRDefault="00AA5456" w:rsidP="0052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5D3"/>
    <w:multiLevelType w:val="hybridMultilevel"/>
    <w:tmpl w:val="FDEA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E63"/>
    <w:multiLevelType w:val="hybridMultilevel"/>
    <w:tmpl w:val="7568B9A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7A0"/>
    <w:multiLevelType w:val="hybridMultilevel"/>
    <w:tmpl w:val="2BFE08B2"/>
    <w:lvl w:ilvl="0" w:tplc="04100011">
      <w:start w:val="1"/>
      <w:numFmt w:val="decimal"/>
      <w:lvlText w:val="%1)"/>
      <w:lvlJc w:val="left"/>
      <w:pPr>
        <w:ind w:left="5889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3009D"/>
    <w:multiLevelType w:val="hybridMultilevel"/>
    <w:tmpl w:val="CCD81C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0F9A"/>
    <w:multiLevelType w:val="hybridMultilevel"/>
    <w:tmpl w:val="78CE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40B6"/>
    <w:multiLevelType w:val="hybridMultilevel"/>
    <w:tmpl w:val="967A336A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D4F7DA0"/>
    <w:multiLevelType w:val="hybridMultilevel"/>
    <w:tmpl w:val="74C082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4369B2"/>
    <w:multiLevelType w:val="hybridMultilevel"/>
    <w:tmpl w:val="C1649DD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6529"/>
    <w:multiLevelType w:val="hybridMultilevel"/>
    <w:tmpl w:val="49C810D8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3E9B"/>
    <w:multiLevelType w:val="hybridMultilevel"/>
    <w:tmpl w:val="ED84A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8"/>
    <w:rsid w:val="0000247D"/>
    <w:rsid w:val="00032309"/>
    <w:rsid w:val="0003688A"/>
    <w:rsid w:val="000401D2"/>
    <w:rsid w:val="00052ADE"/>
    <w:rsid w:val="00073A23"/>
    <w:rsid w:val="000D0FF0"/>
    <w:rsid w:val="000E6A35"/>
    <w:rsid w:val="000F674E"/>
    <w:rsid w:val="00114E0E"/>
    <w:rsid w:val="00120929"/>
    <w:rsid w:val="00151C10"/>
    <w:rsid w:val="0016576F"/>
    <w:rsid w:val="00167239"/>
    <w:rsid w:val="0018302F"/>
    <w:rsid w:val="0019172E"/>
    <w:rsid w:val="00192401"/>
    <w:rsid w:val="001B3376"/>
    <w:rsid w:val="001E74E6"/>
    <w:rsid w:val="001F1FD7"/>
    <w:rsid w:val="00203289"/>
    <w:rsid w:val="002064CC"/>
    <w:rsid w:val="002335C5"/>
    <w:rsid w:val="0027043E"/>
    <w:rsid w:val="00272A99"/>
    <w:rsid w:val="002753EE"/>
    <w:rsid w:val="002770CA"/>
    <w:rsid w:val="002A44CD"/>
    <w:rsid w:val="002C0C69"/>
    <w:rsid w:val="002D4488"/>
    <w:rsid w:val="002F03BC"/>
    <w:rsid w:val="00315C1A"/>
    <w:rsid w:val="0032205F"/>
    <w:rsid w:val="0032281F"/>
    <w:rsid w:val="0033332F"/>
    <w:rsid w:val="00335135"/>
    <w:rsid w:val="003400D7"/>
    <w:rsid w:val="00353D1E"/>
    <w:rsid w:val="00374437"/>
    <w:rsid w:val="003928D8"/>
    <w:rsid w:val="00393D02"/>
    <w:rsid w:val="003B7EE4"/>
    <w:rsid w:val="003C13B3"/>
    <w:rsid w:val="003D027D"/>
    <w:rsid w:val="003F1E08"/>
    <w:rsid w:val="003F2D0E"/>
    <w:rsid w:val="004027C2"/>
    <w:rsid w:val="00435715"/>
    <w:rsid w:val="0044351C"/>
    <w:rsid w:val="00443EF6"/>
    <w:rsid w:val="00444944"/>
    <w:rsid w:val="004731BD"/>
    <w:rsid w:val="00473EF3"/>
    <w:rsid w:val="00475D81"/>
    <w:rsid w:val="00475E8F"/>
    <w:rsid w:val="00481D35"/>
    <w:rsid w:val="004A3D9C"/>
    <w:rsid w:val="004B1740"/>
    <w:rsid w:val="004C148C"/>
    <w:rsid w:val="004C76FB"/>
    <w:rsid w:val="004D2BD9"/>
    <w:rsid w:val="004D6274"/>
    <w:rsid w:val="004D7BCD"/>
    <w:rsid w:val="00502E6C"/>
    <w:rsid w:val="0051167E"/>
    <w:rsid w:val="00525C89"/>
    <w:rsid w:val="00527688"/>
    <w:rsid w:val="0055709F"/>
    <w:rsid w:val="00565B2A"/>
    <w:rsid w:val="00566E9B"/>
    <w:rsid w:val="005816D5"/>
    <w:rsid w:val="0059682E"/>
    <w:rsid w:val="005A7F91"/>
    <w:rsid w:val="005C1456"/>
    <w:rsid w:val="005C58F3"/>
    <w:rsid w:val="005C70C4"/>
    <w:rsid w:val="00624F57"/>
    <w:rsid w:val="006314F1"/>
    <w:rsid w:val="00643748"/>
    <w:rsid w:val="00643F1F"/>
    <w:rsid w:val="006662BC"/>
    <w:rsid w:val="0066673B"/>
    <w:rsid w:val="00673893"/>
    <w:rsid w:val="00674982"/>
    <w:rsid w:val="006855EB"/>
    <w:rsid w:val="00697255"/>
    <w:rsid w:val="006B541B"/>
    <w:rsid w:val="006E2065"/>
    <w:rsid w:val="006E7C90"/>
    <w:rsid w:val="006F205B"/>
    <w:rsid w:val="006F4F0B"/>
    <w:rsid w:val="006F6C62"/>
    <w:rsid w:val="00701246"/>
    <w:rsid w:val="00702CC7"/>
    <w:rsid w:val="00704B02"/>
    <w:rsid w:val="007129AF"/>
    <w:rsid w:val="007301D2"/>
    <w:rsid w:val="00740745"/>
    <w:rsid w:val="00781F7B"/>
    <w:rsid w:val="007B0B7D"/>
    <w:rsid w:val="007C3C01"/>
    <w:rsid w:val="007D04B4"/>
    <w:rsid w:val="007D18BB"/>
    <w:rsid w:val="007E019C"/>
    <w:rsid w:val="007F31BF"/>
    <w:rsid w:val="00803A1F"/>
    <w:rsid w:val="008071B1"/>
    <w:rsid w:val="008114FC"/>
    <w:rsid w:val="0082054B"/>
    <w:rsid w:val="00830F38"/>
    <w:rsid w:val="00832E10"/>
    <w:rsid w:val="00841755"/>
    <w:rsid w:val="00877737"/>
    <w:rsid w:val="00890915"/>
    <w:rsid w:val="008951C5"/>
    <w:rsid w:val="00896039"/>
    <w:rsid w:val="008A430C"/>
    <w:rsid w:val="008E405D"/>
    <w:rsid w:val="00907204"/>
    <w:rsid w:val="00926277"/>
    <w:rsid w:val="0094372D"/>
    <w:rsid w:val="0095114E"/>
    <w:rsid w:val="009569C8"/>
    <w:rsid w:val="00974281"/>
    <w:rsid w:val="00977D07"/>
    <w:rsid w:val="00995340"/>
    <w:rsid w:val="009A0474"/>
    <w:rsid w:val="009B6A67"/>
    <w:rsid w:val="009C01CB"/>
    <w:rsid w:val="00A41790"/>
    <w:rsid w:val="00A477C5"/>
    <w:rsid w:val="00A53AF3"/>
    <w:rsid w:val="00A64AAA"/>
    <w:rsid w:val="00A85C39"/>
    <w:rsid w:val="00A86306"/>
    <w:rsid w:val="00AA5456"/>
    <w:rsid w:val="00AC200C"/>
    <w:rsid w:val="00AC328F"/>
    <w:rsid w:val="00AD274A"/>
    <w:rsid w:val="00AE3361"/>
    <w:rsid w:val="00AE485F"/>
    <w:rsid w:val="00AE6778"/>
    <w:rsid w:val="00B11C61"/>
    <w:rsid w:val="00B13B06"/>
    <w:rsid w:val="00B209BA"/>
    <w:rsid w:val="00B2138B"/>
    <w:rsid w:val="00B32F4C"/>
    <w:rsid w:val="00B510C0"/>
    <w:rsid w:val="00B62C8D"/>
    <w:rsid w:val="00B70305"/>
    <w:rsid w:val="00B82248"/>
    <w:rsid w:val="00B9297D"/>
    <w:rsid w:val="00B94D01"/>
    <w:rsid w:val="00BD3597"/>
    <w:rsid w:val="00BD374B"/>
    <w:rsid w:val="00BE1A63"/>
    <w:rsid w:val="00C068C1"/>
    <w:rsid w:val="00C111E2"/>
    <w:rsid w:val="00C305F2"/>
    <w:rsid w:val="00C31037"/>
    <w:rsid w:val="00C31B15"/>
    <w:rsid w:val="00C42255"/>
    <w:rsid w:val="00C42C63"/>
    <w:rsid w:val="00C71D2E"/>
    <w:rsid w:val="00CB0ED0"/>
    <w:rsid w:val="00CC5D3A"/>
    <w:rsid w:val="00CF2AC5"/>
    <w:rsid w:val="00D07397"/>
    <w:rsid w:val="00D31256"/>
    <w:rsid w:val="00D3505C"/>
    <w:rsid w:val="00D36A07"/>
    <w:rsid w:val="00D728FB"/>
    <w:rsid w:val="00D93DF3"/>
    <w:rsid w:val="00DA64B0"/>
    <w:rsid w:val="00DA7E55"/>
    <w:rsid w:val="00DE0DC8"/>
    <w:rsid w:val="00DE6B6E"/>
    <w:rsid w:val="00DF23FA"/>
    <w:rsid w:val="00E17D15"/>
    <w:rsid w:val="00E341C8"/>
    <w:rsid w:val="00E425EB"/>
    <w:rsid w:val="00E61357"/>
    <w:rsid w:val="00E61CCE"/>
    <w:rsid w:val="00E651D8"/>
    <w:rsid w:val="00E66947"/>
    <w:rsid w:val="00E8493A"/>
    <w:rsid w:val="00E854B4"/>
    <w:rsid w:val="00E92B33"/>
    <w:rsid w:val="00ED1320"/>
    <w:rsid w:val="00F0642C"/>
    <w:rsid w:val="00F313EA"/>
    <w:rsid w:val="00F52315"/>
    <w:rsid w:val="00F610CF"/>
    <w:rsid w:val="00F70F29"/>
    <w:rsid w:val="00F82DF2"/>
    <w:rsid w:val="00F860C0"/>
    <w:rsid w:val="00F86D8E"/>
    <w:rsid w:val="00FA02A2"/>
    <w:rsid w:val="00FB4109"/>
    <w:rsid w:val="00FB4EFF"/>
    <w:rsid w:val="00FB511B"/>
    <w:rsid w:val="00FD0521"/>
    <w:rsid w:val="00FD1EEB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60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688"/>
  </w:style>
  <w:style w:type="paragraph" w:styleId="Pidipagina">
    <w:name w:val="footer"/>
    <w:basedOn w:val="Normale"/>
    <w:link w:val="Pidipagina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688"/>
  </w:style>
  <w:style w:type="paragraph" w:styleId="Paragrafoelenco">
    <w:name w:val="List Paragraph"/>
    <w:basedOn w:val="Normale"/>
    <w:uiPriority w:val="34"/>
    <w:qFormat/>
    <w:rsid w:val="009C01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1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E08"/>
    <w:rPr>
      <w:color w:val="0563C1" w:themeColor="hyperlink"/>
      <w:u w:val="single"/>
    </w:rPr>
  </w:style>
  <w:style w:type="paragraph" w:customStyle="1" w:styleId="Titolo1">
    <w:name w:val="Titolo1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desc">
    <w:name w:val="desc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jrnl">
    <w:name w:val="jrnl"/>
    <w:basedOn w:val="Carpredefinitoparagrafo"/>
    <w:rsid w:val="003F1E08"/>
  </w:style>
  <w:style w:type="character" w:customStyle="1" w:styleId="highlight">
    <w:name w:val="highlight"/>
    <w:basedOn w:val="Carpredefinitoparagrafo"/>
    <w:rsid w:val="003F1E0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B410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B410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FB4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8EE7-9E7E-4EB6-8EBB-0B5FFBA5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Antonella Martucci</cp:lastModifiedBy>
  <cp:revision>43</cp:revision>
  <dcterms:created xsi:type="dcterms:W3CDTF">2018-10-31T14:12:00Z</dcterms:created>
  <dcterms:modified xsi:type="dcterms:W3CDTF">2018-11-07T10:51:00Z</dcterms:modified>
</cp:coreProperties>
</file>