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5C4" w:rsidRDefault="005F75C4" w:rsidP="00A32515">
      <w:pPr>
        <w:jc w:val="center"/>
        <w:rPr>
          <w:rFonts w:ascii="Arial" w:hAnsi="Arial" w:cs="Arial"/>
          <w:b/>
          <w:sz w:val="32"/>
          <w:szCs w:val="32"/>
        </w:rPr>
      </w:pPr>
    </w:p>
    <w:p w:rsidR="00A32515" w:rsidRPr="00A32515" w:rsidRDefault="00A32515" w:rsidP="00A32515">
      <w:pPr>
        <w:jc w:val="center"/>
        <w:rPr>
          <w:rFonts w:ascii="Arial" w:hAnsi="Arial" w:cs="Arial"/>
          <w:b/>
          <w:sz w:val="32"/>
          <w:szCs w:val="32"/>
        </w:rPr>
      </w:pPr>
      <w:r w:rsidRPr="00A32515">
        <w:rPr>
          <w:rFonts w:ascii="Arial" w:hAnsi="Arial" w:cs="Arial"/>
          <w:b/>
          <w:sz w:val="32"/>
          <w:szCs w:val="32"/>
        </w:rPr>
        <w:t xml:space="preserve">Legge Antifumo </w:t>
      </w:r>
      <w:r w:rsidR="00D30402" w:rsidRPr="00D30402">
        <w:rPr>
          <w:rFonts w:ascii="Arial" w:hAnsi="Arial" w:cs="Arial"/>
          <w:b/>
          <w:sz w:val="32"/>
          <w:szCs w:val="32"/>
        </w:rPr>
        <w:t>16 gennaio 2003 n. 3 art. 51</w:t>
      </w:r>
      <w:r w:rsidR="00D30402">
        <w:rPr>
          <w:rFonts w:ascii="Arial" w:hAnsi="Arial" w:cs="Arial"/>
          <w:b/>
          <w:sz w:val="32"/>
          <w:szCs w:val="32"/>
        </w:rPr>
        <w:t>:</w:t>
      </w:r>
      <w:r w:rsidR="00AD1AA4">
        <w:rPr>
          <w:rFonts w:ascii="Arial" w:hAnsi="Arial" w:cs="Arial"/>
          <w:b/>
          <w:sz w:val="32"/>
          <w:szCs w:val="32"/>
        </w:rPr>
        <w:t xml:space="preserve"> </w:t>
      </w:r>
      <w:r w:rsidR="00AD1AA4">
        <w:rPr>
          <w:rFonts w:ascii="Arial" w:hAnsi="Arial" w:cs="Arial"/>
          <w:b/>
          <w:sz w:val="32"/>
          <w:szCs w:val="32"/>
        </w:rPr>
        <w:br/>
      </w:r>
      <w:r w:rsidRPr="00A32515">
        <w:rPr>
          <w:rFonts w:ascii="Arial" w:hAnsi="Arial" w:cs="Arial"/>
          <w:b/>
          <w:sz w:val="32"/>
          <w:szCs w:val="32"/>
        </w:rPr>
        <w:t>le principali novità</w:t>
      </w:r>
    </w:p>
    <w:p w:rsidR="00A32515" w:rsidRPr="00A32515" w:rsidRDefault="00A32515" w:rsidP="00A32515">
      <w:pPr>
        <w:jc w:val="both"/>
        <w:rPr>
          <w:rFonts w:ascii="Arial" w:hAnsi="Arial" w:cs="Arial"/>
        </w:rPr>
      </w:pPr>
    </w:p>
    <w:p w:rsidR="00B24102" w:rsidRDefault="009E72AC" w:rsidP="00A32515">
      <w:pPr>
        <w:jc w:val="both"/>
        <w:rPr>
          <w:rFonts w:ascii="Arial" w:hAnsi="Arial" w:cs="Arial"/>
        </w:rPr>
      </w:pPr>
      <w:r>
        <w:rPr>
          <w:rFonts w:ascii="Arial" w:hAnsi="Arial" w:cs="Arial"/>
        </w:rPr>
        <w:t>In Italia la L</w:t>
      </w:r>
      <w:r w:rsidR="00A32515" w:rsidRPr="00A32515">
        <w:rPr>
          <w:rFonts w:ascii="Arial" w:hAnsi="Arial" w:cs="Arial"/>
        </w:rPr>
        <w:t xml:space="preserve">egge 16 gennaio 2003 </w:t>
      </w:r>
      <w:r w:rsidR="00A32515">
        <w:rPr>
          <w:rFonts w:ascii="Arial" w:hAnsi="Arial" w:cs="Arial"/>
        </w:rPr>
        <w:t xml:space="preserve">n. 3 art. 51 </w:t>
      </w:r>
      <w:r w:rsidR="000E0F83">
        <w:rPr>
          <w:rFonts w:ascii="Arial" w:hAnsi="Arial" w:cs="Arial"/>
        </w:rPr>
        <w:t xml:space="preserve">(Tutela della Salute dei non fumatori) </w:t>
      </w:r>
      <w:r w:rsidR="00A32515">
        <w:rPr>
          <w:rFonts w:ascii="Arial" w:hAnsi="Arial" w:cs="Arial"/>
        </w:rPr>
        <w:t>ha stabilito che</w:t>
      </w:r>
      <w:r w:rsidR="00B24102">
        <w:rPr>
          <w:rFonts w:ascii="Arial" w:hAnsi="Arial" w:cs="Arial"/>
        </w:rPr>
        <w:t>:</w:t>
      </w:r>
    </w:p>
    <w:p w:rsidR="00E30E44" w:rsidRDefault="00E30E44" w:rsidP="00A32515">
      <w:pPr>
        <w:jc w:val="both"/>
        <w:rPr>
          <w:rFonts w:ascii="Arial" w:hAnsi="Arial" w:cs="Arial"/>
        </w:rPr>
      </w:pPr>
    </w:p>
    <w:p w:rsidR="006E7102" w:rsidRDefault="00B24102" w:rsidP="00256E97">
      <w:pPr>
        <w:pStyle w:val="Paragrafoelenco"/>
        <w:numPr>
          <w:ilvl w:val="0"/>
          <w:numId w:val="1"/>
        </w:numPr>
        <w:ind w:left="426" w:hanging="426"/>
        <w:jc w:val="both"/>
        <w:rPr>
          <w:rFonts w:ascii="Arial" w:hAnsi="Arial" w:cs="Arial"/>
        </w:rPr>
      </w:pPr>
      <w:r w:rsidRPr="006E7102">
        <w:rPr>
          <w:rFonts w:ascii="Arial" w:hAnsi="Arial" w:cs="Arial"/>
        </w:rPr>
        <w:t>È</w:t>
      </w:r>
      <w:r w:rsidR="00A32515" w:rsidRPr="006E7102">
        <w:rPr>
          <w:rFonts w:ascii="Arial" w:hAnsi="Arial" w:cs="Arial"/>
        </w:rPr>
        <w:t xml:space="preserve"> vietato fumare nei locali chiusi, </w:t>
      </w:r>
      <w:r w:rsidR="006E7102" w:rsidRPr="006E7102">
        <w:rPr>
          <w:rFonts w:ascii="Arial" w:hAnsi="Arial" w:cs="Arial"/>
        </w:rPr>
        <w:t>quali scuole, ospedali, uffici della Pubblica Amministrazione, sugli autoveicoli di proprietà dello Stato o di Enti pubblici o di concessionari di servizi per il trasporto pubblico collettivo, taxi, auto di servizio delle Forze dell’Ordine e assimilate, metropolitane, treni, sale d’attesa di aeropor</w:t>
      </w:r>
      <w:r w:rsidR="005C39B9">
        <w:rPr>
          <w:rFonts w:ascii="Arial" w:hAnsi="Arial" w:cs="Arial"/>
        </w:rPr>
        <w:t>ti, porti, stazioni ferroviarie</w:t>
      </w:r>
      <w:r w:rsidR="006E7102" w:rsidRPr="006E7102">
        <w:rPr>
          <w:rFonts w:ascii="Arial" w:hAnsi="Arial" w:cs="Arial"/>
        </w:rPr>
        <w:t xml:space="preserve"> e in tutti i sistemi di trasporto urbani, nelle biblioteche, nelle sale di lettura, nei musei, pinacoteche, bar, ristoranti, circoli privati, discoteche, palestre, sale-corse, sale-gioco, sale-bingo, sale video-game, cinema e teatri. Il divieto di fumo si applica anche ai luoghi di lavoro, agli uffici professionali e agli uffici destinati ad utenti interni, come ad esempio uffici di filiali di banche o uffici contabilità di una Società.</w:t>
      </w:r>
    </w:p>
    <w:p w:rsidR="00D73409" w:rsidRDefault="00D73409" w:rsidP="006E7102">
      <w:pPr>
        <w:pStyle w:val="Paragrafoelenco"/>
        <w:jc w:val="both"/>
        <w:rPr>
          <w:rFonts w:ascii="Arial" w:hAnsi="Arial" w:cs="Arial"/>
        </w:rPr>
      </w:pPr>
    </w:p>
    <w:p w:rsidR="00894471" w:rsidRDefault="00A32515" w:rsidP="00256E97">
      <w:pPr>
        <w:pStyle w:val="Paragrafoelenco"/>
        <w:numPr>
          <w:ilvl w:val="0"/>
          <w:numId w:val="1"/>
        </w:numPr>
        <w:ind w:left="426" w:hanging="426"/>
        <w:jc w:val="both"/>
        <w:rPr>
          <w:rFonts w:ascii="Arial" w:hAnsi="Arial" w:cs="Arial"/>
        </w:rPr>
      </w:pPr>
      <w:r w:rsidRPr="00E226B9">
        <w:rPr>
          <w:rFonts w:ascii="Arial" w:hAnsi="Arial" w:cs="Arial"/>
        </w:rPr>
        <w:t>Le</w:t>
      </w:r>
      <w:r w:rsidR="00B24102" w:rsidRPr="00E226B9">
        <w:rPr>
          <w:rFonts w:ascii="Arial" w:hAnsi="Arial" w:cs="Arial"/>
        </w:rPr>
        <w:t xml:space="preserve"> sale fumatori</w:t>
      </w:r>
      <w:r w:rsidRPr="00E226B9">
        <w:rPr>
          <w:rFonts w:ascii="Arial" w:hAnsi="Arial" w:cs="Arial"/>
        </w:rPr>
        <w:t xml:space="preserve"> devono essere </w:t>
      </w:r>
      <w:r w:rsidR="00894471">
        <w:rPr>
          <w:rFonts w:ascii="Arial" w:hAnsi="Arial" w:cs="Arial"/>
        </w:rPr>
        <w:t>conformi ai seguenti requisiti:</w:t>
      </w:r>
    </w:p>
    <w:p w:rsidR="00894471" w:rsidRDefault="00894471" w:rsidP="00256E97">
      <w:pPr>
        <w:pStyle w:val="Paragrafoelenco"/>
        <w:ind w:left="426"/>
        <w:jc w:val="both"/>
        <w:rPr>
          <w:rFonts w:ascii="Arial" w:hAnsi="Arial" w:cs="Arial"/>
        </w:rPr>
      </w:pPr>
      <w:r>
        <w:rPr>
          <w:rFonts w:ascii="Arial" w:hAnsi="Arial" w:cs="Arial"/>
        </w:rPr>
        <w:br/>
        <w:t xml:space="preserve">devono </w:t>
      </w:r>
      <w:r w:rsidRPr="00894471">
        <w:rPr>
          <w:rFonts w:ascii="Arial" w:hAnsi="Arial" w:cs="Arial"/>
        </w:rPr>
        <w:t>essere amb</w:t>
      </w:r>
      <w:r>
        <w:rPr>
          <w:rFonts w:ascii="Arial" w:hAnsi="Arial" w:cs="Arial"/>
        </w:rPr>
        <w:t>ienti interni chiusi</w:t>
      </w:r>
    </w:p>
    <w:p w:rsidR="00894471" w:rsidRDefault="00894471" w:rsidP="00256E97">
      <w:pPr>
        <w:pStyle w:val="Paragrafoelenco"/>
        <w:ind w:hanging="294"/>
        <w:jc w:val="both"/>
        <w:rPr>
          <w:rFonts w:ascii="Arial" w:hAnsi="Arial" w:cs="Arial"/>
        </w:rPr>
      </w:pPr>
      <w:r>
        <w:rPr>
          <w:rFonts w:ascii="Arial" w:hAnsi="Arial" w:cs="Arial"/>
        </w:rPr>
        <w:t xml:space="preserve">devono </w:t>
      </w:r>
      <w:r w:rsidRPr="00894471">
        <w:rPr>
          <w:rFonts w:ascii="Arial" w:hAnsi="Arial" w:cs="Arial"/>
        </w:rPr>
        <w:t>essere dotati di porte automatiche, tenute generalmente chiuse;</w:t>
      </w:r>
    </w:p>
    <w:p w:rsidR="00894471" w:rsidRDefault="00894471" w:rsidP="00256E97">
      <w:pPr>
        <w:pStyle w:val="Paragrafoelenco"/>
        <w:ind w:hanging="294"/>
        <w:jc w:val="both"/>
        <w:rPr>
          <w:rFonts w:ascii="Arial" w:hAnsi="Arial" w:cs="Arial"/>
        </w:rPr>
      </w:pPr>
      <w:r>
        <w:rPr>
          <w:rFonts w:ascii="Arial" w:hAnsi="Arial" w:cs="Arial"/>
        </w:rPr>
        <w:t xml:space="preserve">devono </w:t>
      </w:r>
      <w:r w:rsidRPr="00894471">
        <w:rPr>
          <w:rFonts w:ascii="Arial" w:hAnsi="Arial" w:cs="Arial"/>
        </w:rPr>
        <w:t>essere chiaramente identificati come locali per fumatori;</w:t>
      </w:r>
    </w:p>
    <w:p w:rsidR="00894471" w:rsidRDefault="00894471" w:rsidP="00256E97">
      <w:pPr>
        <w:pStyle w:val="Paragrafoelenco"/>
        <w:ind w:hanging="294"/>
        <w:jc w:val="both"/>
        <w:rPr>
          <w:rFonts w:ascii="Arial" w:hAnsi="Arial" w:cs="Arial"/>
        </w:rPr>
      </w:pPr>
      <w:r w:rsidRPr="00894471">
        <w:rPr>
          <w:rFonts w:ascii="Arial" w:hAnsi="Arial" w:cs="Arial"/>
        </w:rPr>
        <w:t xml:space="preserve">non </w:t>
      </w:r>
      <w:r>
        <w:rPr>
          <w:rFonts w:ascii="Arial" w:hAnsi="Arial" w:cs="Arial"/>
        </w:rPr>
        <w:t xml:space="preserve">devono </w:t>
      </w:r>
      <w:r w:rsidRPr="00894471">
        <w:rPr>
          <w:rFonts w:ascii="Arial" w:hAnsi="Arial" w:cs="Arial"/>
        </w:rPr>
        <w:t>rappresentare locali obbligati di passaggio per i non-fumatori;</w:t>
      </w:r>
    </w:p>
    <w:p w:rsidR="00894471" w:rsidRPr="00894471" w:rsidRDefault="00894471" w:rsidP="00256E97">
      <w:pPr>
        <w:pStyle w:val="Paragrafoelenco"/>
        <w:ind w:hanging="294"/>
        <w:jc w:val="both"/>
        <w:rPr>
          <w:rFonts w:ascii="Arial" w:hAnsi="Arial" w:cs="Arial"/>
        </w:rPr>
      </w:pPr>
      <w:r>
        <w:rPr>
          <w:rFonts w:ascii="Arial" w:hAnsi="Arial" w:cs="Arial"/>
        </w:rPr>
        <w:t xml:space="preserve">devono </w:t>
      </w:r>
      <w:r w:rsidRPr="00894471">
        <w:rPr>
          <w:rFonts w:ascii="Arial" w:hAnsi="Arial" w:cs="Arial"/>
        </w:rPr>
        <w:t>essere provvisti di appositi dispositivi meccanici di ventilazione forzata.</w:t>
      </w:r>
    </w:p>
    <w:p w:rsidR="0011744B" w:rsidRDefault="00520426" w:rsidP="00256E97">
      <w:pPr>
        <w:pStyle w:val="Paragrafoelenco"/>
        <w:ind w:left="426"/>
        <w:jc w:val="both"/>
        <w:rPr>
          <w:rFonts w:ascii="Arial" w:hAnsi="Arial" w:cs="Arial"/>
        </w:rPr>
      </w:pPr>
      <w:r>
        <w:rPr>
          <w:rFonts w:ascii="Arial" w:hAnsi="Arial" w:cs="Arial"/>
        </w:rPr>
        <w:t>d</w:t>
      </w:r>
      <w:r w:rsidR="00894471">
        <w:rPr>
          <w:rFonts w:ascii="Arial" w:hAnsi="Arial" w:cs="Arial"/>
        </w:rPr>
        <w:t xml:space="preserve">evono essere </w:t>
      </w:r>
      <w:r w:rsidR="00BD1E2E" w:rsidRPr="00E226B9">
        <w:rPr>
          <w:rFonts w:ascii="Arial" w:hAnsi="Arial" w:cs="Arial"/>
        </w:rPr>
        <w:t>dotate di impianti per la ventilazione</w:t>
      </w:r>
      <w:r w:rsidR="0011744B" w:rsidRPr="00E226B9">
        <w:rPr>
          <w:rFonts w:ascii="Arial" w:hAnsi="Arial" w:cs="Arial"/>
        </w:rPr>
        <w:t xml:space="preserve"> e il </w:t>
      </w:r>
      <w:r w:rsidR="00A32515" w:rsidRPr="00E226B9">
        <w:rPr>
          <w:rFonts w:ascii="Arial" w:hAnsi="Arial" w:cs="Arial"/>
        </w:rPr>
        <w:t>ricambio dell'aria</w:t>
      </w:r>
      <w:r w:rsidR="0011744B" w:rsidRPr="00E226B9">
        <w:rPr>
          <w:rFonts w:ascii="Arial" w:hAnsi="Arial" w:cs="Arial"/>
        </w:rPr>
        <w:t xml:space="preserve"> regolarmente funzionanti</w:t>
      </w:r>
      <w:r w:rsidR="00894471">
        <w:rPr>
          <w:rFonts w:ascii="Arial" w:hAnsi="Arial" w:cs="Arial"/>
        </w:rPr>
        <w:t>.</w:t>
      </w:r>
    </w:p>
    <w:p w:rsidR="00E226B9" w:rsidRDefault="00E226B9" w:rsidP="00E226B9">
      <w:pPr>
        <w:pStyle w:val="Paragrafoelenco"/>
        <w:jc w:val="both"/>
        <w:rPr>
          <w:rFonts w:ascii="Arial" w:hAnsi="Arial" w:cs="Arial"/>
        </w:rPr>
      </w:pPr>
    </w:p>
    <w:p w:rsidR="002D16C3" w:rsidRDefault="002D16C3" w:rsidP="00256E97">
      <w:pPr>
        <w:pStyle w:val="Paragrafoelenco"/>
        <w:numPr>
          <w:ilvl w:val="0"/>
          <w:numId w:val="1"/>
        </w:numPr>
        <w:ind w:left="426" w:hanging="426"/>
        <w:jc w:val="both"/>
        <w:rPr>
          <w:rFonts w:ascii="Arial" w:hAnsi="Arial" w:cs="Arial"/>
        </w:rPr>
      </w:pPr>
      <w:r w:rsidRPr="00AA5DE0">
        <w:rPr>
          <w:rFonts w:ascii="Arial" w:hAnsi="Arial" w:cs="Arial"/>
        </w:rPr>
        <w:t>Progettazione, impianto, manutenzione e collaudo finale dei sistemi di ventilazione devono essere effettuati da personale qualificato che dovrà rilasciare idonea certificazione sulla conformità degli impianti inst</w:t>
      </w:r>
      <w:r>
        <w:rPr>
          <w:rFonts w:ascii="Arial" w:hAnsi="Arial" w:cs="Arial"/>
        </w:rPr>
        <w:t>allati con la normativa vigente</w:t>
      </w:r>
    </w:p>
    <w:p w:rsidR="002D16C3" w:rsidRDefault="002D16C3" w:rsidP="002D16C3">
      <w:pPr>
        <w:pStyle w:val="Paragrafoelenco"/>
        <w:jc w:val="both"/>
        <w:rPr>
          <w:rFonts w:ascii="Arial" w:hAnsi="Arial" w:cs="Arial"/>
        </w:rPr>
      </w:pPr>
    </w:p>
    <w:p w:rsidR="00E30E44" w:rsidRPr="00E30E44" w:rsidRDefault="00E226B9" w:rsidP="00256E97">
      <w:pPr>
        <w:pStyle w:val="Paragrafoelenco"/>
        <w:numPr>
          <w:ilvl w:val="0"/>
          <w:numId w:val="1"/>
        </w:numPr>
        <w:ind w:left="426" w:hanging="426"/>
        <w:jc w:val="both"/>
        <w:rPr>
          <w:rFonts w:ascii="Arial" w:hAnsi="Arial" w:cs="Arial"/>
        </w:rPr>
      </w:pPr>
      <w:r w:rsidRPr="00E30E44">
        <w:rPr>
          <w:rFonts w:ascii="Arial" w:hAnsi="Arial" w:cs="Arial"/>
        </w:rPr>
        <w:t>Negli esercizi di ristorazione</w:t>
      </w:r>
      <w:r w:rsidR="00E30E44" w:rsidRPr="00E30E44">
        <w:rPr>
          <w:rFonts w:ascii="Arial" w:hAnsi="Arial" w:cs="Arial"/>
        </w:rPr>
        <w:t xml:space="preserve"> devono essere adibiti ai non fumatori uno o più locali di superficie prevalente rispetto alla superficie complessiva di somministrazione dell’esercizio</w:t>
      </w:r>
      <w:r w:rsidR="00E30E44">
        <w:rPr>
          <w:rFonts w:ascii="Arial" w:hAnsi="Arial" w:cs="Arial"/>
        </w:rPr>
        <w:br/>
      </w:r>
    </w:p>
    <w:p w:rsidR="006E7479" w:rsidRDefault="00E30E44" w:rsidP="00256E97">
      <w:pPr>
        <w:pStyle w:val="Paragrafoelenco"/>
        <w:numPr>
          <w:ilvl w:val="0"/>
          <w:numId w:val="1"/>
        </w:numPr>
        <w:ind w:left="426" w:hanging="426"/>
        <w:jc w:val="both"/>
        <w:rPr>
          <w:rFonts w:ascii="Arial" w:hAnsi="Arial" w:cs="Arial"/>
        </w:rPr>
      </w:pPr>
      <w:r w:rsidRPr="00E30E44">
        <w:rPr>
          <w:rFonts w:ascii="Arial" w:hAnsi="Arial" w:cs="Arial"/>
        </w:rPr>
        <w:t>Possono essere individuati eventuali ulteriori luoghi chiusi nei quali sia consentito fumare</w:t>
      </w:r>
    </w:p>
    <w:p w:rsidR="006E7479" w:rsidRDefault="006E7479" w:rsidP="006E7479">
      <w:pPr>
        <w:pStyle w:val="Paragrafoelenco"/>
        <w:jc w:val="both"/>
        <w:rPr>
          <w:rFonts w:ascii="Arial" w:hAnsi="Arial" w:cs="Arial"/>
        </w:rPr>
      </w:pPr>
    </w:p>
    <w:p w:rsidR="000F7332" w:rsidRPr="00822320" w:rsidRDefault="00AA5DE0" w:rsidP="00256E97">
      <w:pPr>
        <w:pStyle w:val="Paragrafoelenco"/>
        <w:numPr>
          <w:ilvl w:val="0"/>
          <w:numId w:val="1"/>
        </w:numPr>
        <w:ind w:left="426" w:hanging="426"/>
        <w:jc w:val="both"/>
        <w:rPr>
          <w:rFonts w:ascii="Arial" w:hAnsi="Arial" w:cs="Arial"/>
        </w:rPr>
      </w:pPr>
      <w:r w:rsidRPr="00822320">
        <w:rPr>
          <w:rFonts w:ascii="Arial" w:hAnsi="Arial" w:cs="Arial"/>
        </w:rPr>
        <w:t xml:space="preserve">I gestori di locali privati (ad esempio dirigenti, proprietari e direttori) sono non solo tenuti a segnalare ai clienti, con l’apposizione di idonei avvisi, che “è vietato fumare”, ma hanno anche l’obbligo di dissuadere i trasgressori nel caso di violazione del divieto. </w:t>
      </w:r>
    </w:p>
    <w:p w:rsidR="005F75C4" w:rsidRDefault="005F75C4" w:rsidP="005F75C4">
      <w:pPr>
        <w:pStyle w:val="Paragrafoelenco"/>
        <w:jc w:val="both"/>
        <w:rPr>
          <w:rFonts w:ascii="Arial" w:hAnsi="Arial" w:cs="Arial"/>
        </w:rPr>
      </w:pPr>
    </w:p>
    <w:p w:rsidR="005F75C4" w:rsidRDefault="005F75C4" w:rsidP="005F75C4">
      <w:pPr>
        <w:pStyle w:val="Paragrafoelenco"/>
        <w:jc w:val="both"/>
        <w:rPr>
          <w:rFonts w:ascii="Arial" w:hAnsi="Arial" w:cs="Arial"/>
        </w:rPr>
      </w:pPr>
    </w:p>
    <w:p w:rsidR="001A46C2" w:rsidRDefault="001A46C2" w:rsidP="00822320">
      <w:pPr>
        <w:pStyle w:val="Paragrafoelenco"/>
        <w:jc w:val="both"/>
        <w:rPr>
          <w:rFonts w:ascii="Arial" w:hAnsi="Arial" w:cs="Arial"/>
        </w:rPr>
      </w:pPr>
      <w:bookmarkStart w:id="0" w:name="_GoBack"/>
      <w:bookmarkEnd w:id="0"/>
    </w:p>
    <w:p w:rsidR="001A46C2" w:rsidRDefault="001A46C2" w:rsidP="00822320">
      <w:pPr>
        <w:pStyle w:val="Paragrafoelenco"/>
        <w:jc w:val="both"/>
        <w:rPr>
          <w:rFonts w:ascii="Arial" w:hAnsi="Arial" w:cs="Arial"/>
        </w:rPr>
      </w:pPr>
    </w:p>
    <w:p w:rsidR="00D626C8" w:rsidRDefault="00AA5DE0" w:rsidP="00256E97">
      <w:pPr>
        <w:pStyle w:val="Paragrafoelenco"/>
        <w:numPr>
          <w:ilvl w:val="0"/>
          <w:numId w:val="1"/>
        </w:numPr>
        <w:ind w:left="426" w:hanging="426"/>
        <w:jc w:val="both"/>
        <w:rPr>
          <w:rFonts w:ascii="Arial" w:hAnsi="Arial" w:cs="Arial"/>
        </w:rPr>
      </w:pPr>
      <w:r w:rsidRPr="00D626C8">
        <w:rPr>
          <w:rFonts w:ascii="Arial" w:hAnsi="Arial" w:cs="Arial"/>
        </w:rPr>
        <w:t>Se i gestori di locali, sia pur in conformità con la regolamentazione sugli avvisi di divieto, non metteranno in atto interventi attivi di dissuasione nei confronti dei trasgressori, saranno soggetti ad un’ammenda che oscilla dai 200 ai 2000 Euro in base all’articolo 52, paragrafo 20 della legge 218 dicembre 2001, n. 448*. L’autorità competente avrà la facoltà di sospendere temporaneamente (da 3 giorni a 3 mesi) o revocare la</w:t>
      </w:r>
      <w:r w:rsidR="00D626C8" w:rsidRPr="00D626C8">
        <w:rPr>
          <w:rFonts w:ascii="Arial" w:hAnsi="Arial" w:cs="Arial"/>
        </w:rPr>
        <w:t xml:space="preserve"> </w:t>
      </w:r>
      <w:r w:rsidR="00D626C8">
        <w:rPr>
          <w:rFonts w:ascii="Arial" w:hAnsi="Arial" w:cs="Arial"/>
        </w:rPr>
        <w:t>licenza d’esercizio del locale</w:t>
      </w:r>
    </w:p>
    <w:p w:rsidR="00D626C8" w:rsidRDefault="00D626C8" w:rsidP="00D626C8">
      <w:pPr>
        <w:pStyle w:val="Paragrafoelenco"/>
        <w:jc w:val="both"/>
        <w:rPr>
          <w:rFonts w:ascii="Arial" w:hAnsi="Arial" w:cs="Arial"/>
        </w:rPr>
      </w:pPr>
    </w:p>
    <w:p w:rsidR="000F7332" w:rsidRPr="00D626C8" w:rsidRDefault="000F7332" w:rsidP="00256E97">
      <w:pPr>
        <w:pStyle w:val="Paragrafoelenco"/>
        <w:numPr>
          <w:ilvl w:val="0"/>
          <w:numId w:val="1"/>
        </w:numPr>
        <w:ind w:left="426" w:hanging="426"/>
        <w:jc w:val="both"/>
        <w:rPr>
          <w:rFonts w:ascii="Arial" w:hAnsi="Arial" w:cs="Arial"/>
        </w:rPr>
      </w:pPr>
      <w:r w:rsidRPr="00D626C8">
        <w:rPr>
          <w:rFonts w:ascii="Arial" w:hAnsi="Arial" w:cs="Arial"/>
        </w:rPr>
        <w:t>I</w:t>
      </w:r>
      <w:r w:rsidR="00AA5DE0" w:rsidRPr="00D626C8">
        <w:rPr>
          <w:rFonts w:ascii="Arial" w:hAnsi="Arial" w:cs="Arial"/>
        </w:rPr>
        <w:t xml:space="preserve"> gestori di locali privati o collaboratori da loro delegati sono tenuti a richiamare i trasgressori all’osservanza del divieto. Se i trasgressori non vi si adegueranno, i gestori o i collaboratori da loro delegati potranno chiamare un pubblico ufficiale. Ai trasgressori verrà comminata dal pubblico uffici</w:t>
      </w:r>
      <w:r w:rsidRPr="00D626C8">
        <w:rPr>
          <w:rFonts w:ascii="Arial" w:hAnsi="Arial" w:cs="Arial"/>
        </w:rPr>
        <w:t>ale un’</w:t>
      </w:r>
      <w:r w:rsidR="00AA5DE0" w:rsidRPr="00D626C8">
        <w:rPr>
          <w:rFonts w:ascii="Arial" w:hAnsi="Arial" w:cs="Arial"/>
        </w:rPr>
        <w:t>ammen</w:t>
      </w:r>
      <w:r w:rsidRPr="00D626C8">
        <w:rPr>
          <w:rFonts w:ascii="Arial" w:hAnsi="Arial" w:cs="Arial"/>
        </w:rPr>
        <w:t>da variabile dai 25 ai 250 Euro</w:t>
      </w:r>
    </w:p>
    <w:p w:rsidR="000F7332" w:rsidRDefault="000F7332" w:rsidP="000F7332">
      <w:pPr>
        <w:pStyle w:val="Paragrafoelenco"/>
        <w:jc w:val="both"/>
        <w:rPr>
          <w:rFonts w:ascii="Arial" w:hAnsi="Arial" w:cs="Arial"/>
        </w:rPr>
      </w:pPr>
    </w:p>
    <w:p w:rsidR="000F7332" w:rsidRDefault="00AA5DE0" w:rsidP="00256E97">
      <w:pPr>
        <w:pStyle w:val="Paragrafoelenco"/>
        <w:numPr>
          <w:ilvl w:val="0"/>
          <w:numId w:val="1"/>
        </w:numPr>
        <w:ind w:left="426" w:hanging="426"/>
        <w:jc w:val="both"/>
        <w:rPr>
          <w:rFonts w:ascii="Arial" w:hAnsi="Arial" w:cs="Arial"/>
        </w:rPr>
      </w:pPr>
      <w:r w:rsidRPr="000F7332">
        <w:rPr>
          <w:rFonts w:ascii="Arial" w:hAnsi="Arial" w:cs="Arial"/>
        </w:rPr>
        <w:t>Sui luoghi di lavoro i Direttori responsabili preposti dovranno identificare formalmente il personale incaricato a far rispettare il divieto di fumare e ad accertare e contestare le infrazioni. In assenza di un’identificazione formale, spetta agli stessi Direttori responsabili esercitare tale funzione</w:t>
      </w:r>
    </w:p>
    <w:p w:rsidR="000F7332" w:rsidRDefault="000F7332" w:rsidP="000F7332">
      <w:pPr>
        <w:pStyle w:val="Paragrafoelenco"/>
        <w:jc w:val="both"/>
        <w:rPr>
          <w:rFonts w:ascii="Arial" w:hAnsi="Arial" w:cs="Arial"/>
        </w:rPr>
      </w:pPr>
    </w:p>
    <w:p w:rsidR="000F7332" w:rsidRDefault="00AA5DE0" w:rsidP="00256E97">
      <w:pPr>
        <w:pStyle w:val="Paragrafoelenco"/>
        <w:numPr>
          <w:ilvl w:val="0"/>
          <w:numId w:val="1"/>
        </w:numPr>
        <w:ind w:left="426" w:hanging="426"/>
        <w:jc w:val="both"/>
        <w:rPr>
          <w:rFonts w:ascii="Arial" w:hAnsi="Arial" w:cs="Arial"/>
        </w:rPr>
      </w:pPr>
      <w:r w:rsidRPr="000F7332">
        <w:rPr>
          <w:rFonts w:ascii="Arial" w:hAnsi="Arial" w:cs="Arial"/>
        </w:rPr>
        <w:t>Sia nelle strutture pubbliche che in quelle private le sanzioni potranno essere comminate da agenti della polizia locale, guardie giurate o pubblici ufficiali, sia di propria iniziativa, sia se richiesto nell’ambito</w:t>
      </w:r>
      <w:r w:rsidR="00FD0803">
        <w:rPr>
          <w:rFonts w:ascii="Arial" w:hAnsi="Arial" w:cs="Arial"/>
        </w:rPr>
        <w:t xml:space="preserve"> della loro attività lavorativa</w:t>
      </w:r>
    </w:p>
    <w:p w:rsidR="000F7332" w:rsidRDefault="000F7332" w:rsidP="000F7332">
      <w:pPr>
        <w:pStyle w:val="Paragrafoelenco"/>
        <w:jc w:val="both"/>
        <w:rPr>
          <w:rFonts w:ascii="Arial" w:hAnsi="Arial" w:cs="Arial"/>
        </w:rPr>
      </w:pPr>
    </w:p>
    <w:p w:rsidR="00900BD6" w:rsidRPr="000F7332" w:rsidRDefault="00900BD6" w:rsidP="00FD0803">
      <w:pPr>
        <w:pStyle w:val="Paragrafoelenco"/>
        <w:jc w:val="both"/>
        <w:rPr>
          <w:rFonts w:ascii="Arial" w:hAnsi="Arial" w:cs="Arial"/>
        </w:rPr>
      </w:pPr>
    </w:p>
    <w:sectPr w:rsidR="00900BD6" w:rsidRPr="000F7332" w:rsidSect="005F75C4">
      <w:headerReference w:type="default" r:id="rId8"/>
      <w:footerReference w:type="default" r:id="rId9"/>
      <w:pgSz w:w="11906" w:h="16838"/>
      <w:pgMar w:top="0"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154" w:rsidRDefault="00C30154" w:rsidP="00B12C83">
      <w:pPr>
        <w:spacing w:after="0" w:line="240" w:lineRule="auto"/>
      </w:pPr>
      <w:r>
        <w:separator/>
      </w:r>
    </w:p>
  </w:endnote>
  <w:endnote w:type="continuationSeparator" w:id="0">
    <w:p w:rsidR="00C30154" w:rsidRDefault="00C30154" w:rsidP="00B1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67171" w:themeColor="background2" w:themeShade="80"/>
      </w:rPr>
      <w:id w:val="88970077"/>
      <w:docPartObj>
        <w:docPartGallery w:val="Page Numbers (Bottom of Page)"/>
        <w:docPartUnique/>
      </w:docPartObj>
    </w:sdtPr>
    <w:sdtContent>
      <w:sdt>
        <w:sdtPr>
          <w:rPr>
            <w:color w:val="767171" w:themeColor="background2" w:themeShade="80"/>
          </w:rPr>
          <w:id w:val="-1769616900"/>
          <w:docPartObj>
            <w:docPartGallery w:val="Page Numbers (Top of Page)"/>
            <w:docPartUnique/>
          </w:docPartObj>
        </w:sdtPr>
        <w:sdtContent>
          <w:p w:rsidR="00C712E1" w:rsidRPr="00C712E1" w:rsidRDefault="00C712E1">
            <w:pPr>
              <w:pStyle w:val="Pidipagina"/>
              <w:jc w:val="right"/>
              <w:rPr>
                <w:color w:val="767171" w:themeColor="background2" w:themeShade="80"/>
              </w:rPr>
            </w:pPr>
            <w:r w:rsidRPr="00C712E1">
              <w:rPr>
                <w:color w:val="767171" w:themeColor="background2" w:themeShade="80"/>
              </w:rPr>
              <w:t xml:space="preserve"> </w:t>
            </w:r>
            <w:r w:rsidRPr="00C712E1">
              <w:rPr>
                <w:b/>
                <w:bCs/>
                <w:color w:val="767171" w:themeColor="background2" w:themeShade="80"/>
                <w:sz w:val="24"/>
                <w:szCs w:val="24"/>
              </w:rPr>
              <w:fldChar w:fldCharType="begin"/>
            </w:r>
            <w:r w:rsidRPr="00C712E1">
              <w:rPr>
                <w:b/>
                <w:bCs/>
                <w:color w:val="767171" w:themeColor="background2" w:themeShade="80"/>
              </w:rPr>
              <w:instrText>PAGE</w:instrText>
            </w:r>
            <w:r w:rsidRPr="00C712E1">
              <w:rPr>
                <w:b/>
                <w:bCs/>
                <w:color w:val="767171" w:themeColor="background2" w:themeShade="80"/>
                <w:sz w:val="24"/>
                <w:szCs w:val="24"/>
              </w:rPr>
              <w:fldChar w:fldCharType="separate"/>
            </w:r>
            <w:r w:rsidRPr="00C712E1">
              <w:rPr>
                <w:b/>
                <w:bCs/>
                <w:color w:val="767171" w:themeColor="background2" w:themeShade="80"/>
              </w:rPr>
              <w:t>2</w:t>
            </w:r>
            <w:r w:rsidRPr="00C712E1">
              <w:rPr>
                <w:b/>
                <w:bCs/>
                <w:color w:val="767171" w:themeColor="background2" w:themeShade="80"/>
                <w:sz w:val="24"/>
                <w:szCs w:val="24"/>
              </w:rPr>
              <w:fldChar w:fldCharType="end"/>
            </w:r>
            <w:r w:rsidRPr="00C712E1">
              <w:rPr>
                <w:color w:val="767171" w:themeColor="background2" w:themeShade="80"/>
              </w:rPr>
              <w:t xml:space="preserve"> / </w:t>
            </w:r>
            <w:r w:rsidRPr="00C712E1">
              <w:rPr>
                <w:b/>
                <w:bCs/>
                <w:color w:val="767171" w:themeColor="background2" w:themeShade="80"/>
                <w:sz w:val="24"/>
                <w:szCs w:val="24"/>
              </w:rPr>
              <w:fldChar w:fldCharType="begin"/>
            </w:r>
            <w:r w:rsidRPr="00C712E1">
              <w:rPr>
                <w:b/>
                <w:bCs/>
                <w:color w:val="767171" w:themeColor="background2" w:themeShade="80"/>
              </w:rPr>
              <w:instrText>NUMPAGES</w:instrText>
            </w:r>
            <w:r w:rsidRPr="00C712E1">
              <w:rPr>
                <w:b/>
                <w:bCs/>
                <w:color w:val="767171" w:themeColor="background2" w:themeShade="80"/>
                <w:sz w:val="24"/>
                <w:szCs w:val="24"/>
              </w:rPr>
              <w:fldChar w:fldCharType="separate"/>
            </w:r>
            <w:r w:rsidRPr="00C712E1">
              <w:rPr>
                <w:b/>
                <w:bCs/>
                <w:color w:val="767171" w:themeColor="background2" w:themeShade="80"/>
              </w:rPr>
              <w:t>2</w:t>
            </w:r>
            <w:r w:rsidRPr="00C712E1">
              <w:rPr>
                <w:b/>
                <w:bCs/>
                <w:color w:val="767171" w:themeColor="background2" w:themeShade="80"/>
                <w:sz w:val="24"/>
                <w:szCs w:val="24"/>
              </w:rPr>
              <w:fldChar w:fldCharType="end"/>
            </w:r>
          </w:p>
        </w:sdtContent>
      </w:sdt>
    </w:sdtContent>
  </w:sdt>
  <w:p w:rsidR="00C712E1" w:rsidRDefault="00C712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154" w:rsidRDefault="00C30154" w:rsidP="00B12C83">
      <w:pPr>
        <w:spacing w:after="0" w:line="240" w:lineRule="auto"/>
      </w:pPr>
      <w:r>
        <w:separator/>
      </w:r>
    </w:p>
  </w:footnote>
  <w:footnote w:type="continuationSeparator" w:id="0">
    <w:p w:rsidR="00C30154" w:rsidRDefault="00C30154" w:rsidP="00B12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C83" w:rsidRDefault="00C712E1" w:rsidP="00C712E1">
    <w:pPr>
      <w:pStyle w:val="Paragrafoelenco"/>
      <w:spacing w:after="0" w:line="240" w:lineRule="auto"/>
      <w:contextualSpacing w:val="0"/>
    </w:pPr>
    <w:r w:rsidRPr="00046B16">
      <w:rPr>
        <w:i/>
        <w:noProof/>
        <w:sz w:val="20"/>
        <w:lang w:eastAsia="it-IT"/>
      </w:rPr>
      <w:drawing>
        <wp:anchor distT="0" distB="0" distL="114300" distR="114300" simplePos="0" relativeHeight="251659264" behindDoc="0" locked="0" layoutInCell="1" allowOverlap="1" wp14:anchorId="75BB1F08" wp14:editId="26A27EBA">
          <wp:simplePos x="0" y="0"/>
          <wp:positionH relativeFrom="margin">
            <wp:posOffset>2023110</wp:posOffset>
          </wp:positionH>
          <wp:positionV relativeFrom="paragraph">
            <wp:posOffset>598170</wp:posOffset>
          </wp:positionV>
          <wp:extent cx="2087880" cy="835025"/>
          <wp:effectExtent l="0" t="0" r="7620" b="3175"/>
          <wp:wrapTopAndBottom/>
          <wp:docPr id="2" name="Immagine 2" descr="C:\Users\CLonghi\AppData\Local\Microsoft\Windows\Temporary Internet Files\Content.Outlook\79ZB2DIB\Logo_bandiera_positivo_col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onghi\AppData\Local\Microsoft\Windows\Temporary Internet Files\Content.Outlook\79ZB2DIB\Logo_bandiera_positivo_colori.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011" t="12474" r="7297" b="18919"/>
                  <a:stretch/>
                </pic:blipFill>
                <pic:spPr bwMode="auto">
                  <a:xfrm>
                    <a:off x="0" y="0"/>
                    <a:ext cx="2087880" cy="835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6B16">
      <w:rPr>
        <w:noProof/>
        <w:sz w:val="20"/>
        <w:lang w:eastAsia="it-IT"/>
      </w:rPr>
      <w:drawing>
        <wp:anchor distT="0" distB="0" distL="114300" distR="114300" simplePos="0" relativeHeight="251662336" behindDoc="0" locked="0" layoutInCell="1" allowOverlap="1" wp14:anchorId="42E4731F" wp14:editId="51214606">
          <wp:simplePos x="0" y="0"/>
          <wp:positionH relativeFrom="margin">
            <wp:posOffset>671830</wp:posOffset>
          </wp:positionH>
          <wp:positionV relativeFrom="paragraph">
            <wp:posOffset>729615</wp:posOffset>
          </wp:positionV>
          <wp:extent cx="1524000" cy="31115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11150"/>
                  </a:xfrm>
                  <a:prstGeom prst="rect">
                    <a:avLst/>
                  </a:prstGeom>
                  <a:noFill/>
                </pic:spPr>
              </pic:pic>
            </a:graphicData>
          </a:graphic>
        </wp:anchor>
      </w:drawing>
    </w:r>
    <w:r w:rsidRPr="00046B16">
      <w:rPr>
        <w:noProof/>
        <w:sz w:val="20"/>
      </w:rPr>
      <w:drawing>
        <wp:anchor distT="0" distB="0" distL="114300" distR="114300" simplePos="0" relativeHeight="251663360" behindDoc="1" locked="0" layoutInCell="1" allowOverlap="1" wp14:anchorId="04884540" wp14:editId="7AD55F65">
          <wp:simplePos x="0" y="0"/>
          <wp:positionH relativeFrom="margin">
            <wp:posOffset>4061460</wp:posOffset>
          </wp:positionH>
          <wp:positionV relativeFrom="paragraph">
            <wp:posOffset>-20955</wp:posOffset>
          </wp:positionV>
          <wp:extent cx="2352675" cy="779145"/>
          <wp:effectExtent l="0" t="0" r="9525" b="1905"/>
          <wp:wrapTight wrapText="bothSides">
            <wp:wrapPolygon edited="0">
              <wp:start x="0" y="0"/>
              <wp:lineTo x="0" y="21125"/>
              <wp:lineTo x="21513" y="21125"/>
              <wp:lineTo x="21513"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T+REG.orizz.jpg"/>
                  <pic:cNvPicPr/>
                </pic:nvPicPr>
                <pic:blipFill rotWithShape="1">
                  <a:blip r:embed="rId3">
                    <a:extLst>
                      <a:ext uri="{28A0092B-C50C-407E-A947-70E740481C1C}">
                        <a14:useLocalDpi xmlns:a14="http://schemas.microsoft.com/office/drawing/2010/main" val="0"/>
                      </a:ext>
                    </a:extLst>
                  </a:blip>
                  <a:srcRect l="4387" t="18533" r="37359" b="17760"/>
                  <a:stretch/>
                </pic:blipFill>
                <pic:spPr bwMode="auto">
                  <a:xfrm>
                    <a:off x="0" y="0"/>
                    <a:ext cx="2352675" cy="7791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6B16">
      <w:rPr>
        <w:noProof/>
        <w:sz w:val="20"/>
        <w:lang w:eastAsia="it-IT"/>
      </w:rPr>
      <w:drawing>
        <wp:anchor distT="0" distB="0" distL="114300" distR="114300" simplePos="0" relativeHeight="251661312" behindDoc="0" locked="0" layoutInCell="1" allowOverlap="1" wp14:anchorId="66B999E7" wp14:editId="795228A1">
          <wp:simplePos x="0" y="0"/>
          <wp:positionH relativeFrom="column">
            <wp:posOffset>2058035</wp:posOffset>
          </wp:positionH>
          <wp:positionV relativeFrom="paragraph">
            <wp:posOffset>29210</wp:posOffset>
          </wp:positionV>
          <wp:extent cx="2049780" cy="690880"/>
          <wp:effectExtent l="0" t="0" r="762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ndazione_GMuralt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9780" cy="690880"/>
                  </a:xfrm>
                  <a:prstGeom prst="rect">
                    <a:avLst/>
                  </a:prstGeom>
                </pic:spPr>
              </pic:pic>
            </a:graphicData>
          </a:graphic>
          <wp14:sizeRelH relativeFrom="margin">
            <wp14:pctWidth>0</wp14:pctWidth>
          </wp14:sizeRelH>
          <wp14:sizeRelV relativeFrom="margin">
            <wp14:pctHeight>0</wp14:pctHeight>
          </wp14:sizeRelV>
        </wp:anchor>
      </w:drawing>
    </w:r>
    <w:r w:rsidRPr="00046B16">
      <w:rPr>
        <w:noProof/>
        <w:sz w:val="20"/>
        <w:lang w:eastAsia="it-IT"/>
      </w:rPr>
      <w:drawing>
        <wp:anchor distT="0" distB="0" distL="114300" distR="114300" simplePos="0" relativeHeight="251660288" behindDoc="0" locked="0" layoutInCell="1" allowOverlap="1" wp14:anchorId="5FED900A" wp14:editId="37BBAAAC">
          <wp:simplePos x="0" y="0"/>
          <wp:positionH relativeFrom="margin">
            <wp:posOffset>-349250</wp:posOffset>
          </wp:positionH>
          <wp:positionV relativeFrom="paragraph">
            <wp:posOffset>1905</wp:posOffset>
          </wp:positionV>
          <wp:extent cx="2465705" cy="719455"/>
          <wp:effectExtent l="0" t="0" r="0" b="444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65705" cy="719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1344E"/>
    <w:multiLevelType w:val="multilevel"/>
    <w:tmpl w:val="8828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FA470C"/>
    <w:multiLevelType w:val="hybridMultilevel"/>
    <w:tmpl w:val="AED6E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15"/>
    <w:rsid w:val="000E0F83"/>
    <w:rsid w:val="000F7332"/>
    <w:rsid w:val="0011744B"/>
    <w:rsid w:val="00133E87"/>
    <w:rsid w:val="001A46C2"/>
    <w:rsid w:val="00256E97"/>
    <w:rsid w:val="002D16C3"/>
    <w:rsid w:val="002F13BE"/>
    <w:rsid w:val="00520426"/>
    <w:rsid w:val="00574E87"/>
    <w:rsid w:val="005C39B9"/>
    <w:rsid w:val="005F75C4"/>
    <w:rsid w:val="00625FB5"/>
    <w:rsid w:val="006C497D"/>
    <w:rsid w:val="006C6CC4"/>
    <w:rsid w:val="006E7102"/>
    <w:rsid w:val="006E7479"/>
    <w:rsid w:val="00822320"/>
    <w:rsid w:val="00894471"/>
    <w:rsid w:val="00900BD6"/>
    <w:rsid w:val="009E72AC"/>
    <w:rsid w:val="00A04358"/>
    <w:rsid w:val="00A32515"/>
    <w:rsid w:val="00AA5DE0"/>
    <w:rsid w:val="00AD1AA4"/>
    <w:rsid w:val="00B12C83"/>
    <w:rsid w:val="00B24102"/>
    <w:rsid w:val="00BD1E2E"/>
    <w:rsid w:val="00C30154"/>
    <w:rsid w:val="00C712E1"/>
    <w:rsid w:val="00D30402"/>
    <w:rsid w:val="00D626C8"/>
    <w:rsid w:val="00D73409"/>
    <w:rsid w:val="00E226B9"/>
    <w:rsid w:val="00E30E44"/>
    <w:rsid w:val="00E75020"/>
    <w:rsid w:val="00FD0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33F1"/>
  <w15:chartTrackingRefBased/>
  <w15:docId w15:val="{0194AEC9-A0ED-4933-8533-D59B9217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26B9"/>
    <w:pPr>
      <w:ind w:left="720"/>
      <w:contextualSpacing/>
    </w:pPr>
  </w:style>
  <w:style w:type="paragraph" w:styleId="NormaleWeb">
    <w:name w:val="Normal (Web)"/>
    <w:basedOn w:val="Normale"/>
    <w:uiPriority w:val="99"/>
    <w:semiHidden/>
    <w:unhideWhenUsed/>
    <w:rsid w:val="0089447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12C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12C83"/>
  </w:style>
  <w:style w:type="paragraph" w:styleId="Pidipagina">
    <w:name w:val="footer"/>
    <w:basedOn w:val="Normale"/>
    <w:link w:val="PidipaginaCarattere"/>
    <w:uiPriority w:val="99"/>
    <w:unhideWhenUsed/>
    <w:rsid w:val="00B12C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12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7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42043-6592-4BD5-96EF-217ADE65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Longhi</dc:creator>
  <cp:keywords/>
  <dc:description/>
  <cp:lastModifiedBy>Cristina Sandron</cp:lastModifiedBy>
  <cp:revision>2</cp:revision>
  <dcterms:created xsi:type="dcterms:W3CDTF">2018-05-25T08:45:00Z</dcterms:created>
  <dcterms:modified xsi:type="dcterms:W3CDTF">2018-05-25T08:45:00Z</dcterms:modified>
</cp:coreProperties>
</file>