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8922" w14:textId="67F89857" w:rsidR="00A0407F" w:rsidRPr="00DD3D98" w:rsidRDefault="00A0407F" w:rsidP="00A0407F">
      <w:pPr>
        <w:pStyle w:val="Testocommento"/>
        <w:jc w:val="both"/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</w:pPr>
      <w:r w:rsidRP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FDA </w:t>
      </w:r>
      <w:r w:rsid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concede la </w:t>
      </w:r>
      <w:r w:rsidRPr="001841F8">
        <w:rPr>
          <w:rFonts w:asciiTheme="minorHAnsi" w:eastAsia="Calibri" w:hAnsiTheme="minorHAnsi" w:cstheme="minorHAnsi"/>
          <w:b/>
          <w:bCs/>
          <w:i/>
          <w:noProof w:val="0"/>
          <w:color w:val="003366"/>
          <w:spacing w:val="2"/>
          <w:sz w:val="24"/>
          <w:szCs w:val="24"/>
          <w:lang w:val="it-IT" w:eastAsia="zh-TW"/>
        </w:rPr>
        <w:t>Fast Track designation</w:t>
      </w:r>
      <w:r w:rsid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 a</w:t>
      </w:r>
      <w:r w:rsidRP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 nintedanib </w:t>
      </w:r>
      <w:r w:rsidR="000C5711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>come terapia</w:t>
      </w:r>
      <w:r w:rsid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 </w:t>
      </w:r>
      <w:r w:rsidR="00E56DCE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>per l</w:t>
      </w:r>
      <w:r w:rsid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 xml:space="preserve">a sclerosi sistemica con </w:t>
      </w:r>
      <w:r w:rsidR="00DD3D98" w:rsidRPr="00DD3D98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>malattia interstiziale polmonare</w:t>
      </w:r>
      <w:r w:rsidR="00EC0709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>.</w:t>
      </w:r>
    </w:p>
    <w:p w14:paraId="34359F11" w14:textId="77777777" w:rsidR="00A0407F" w:rsidRPr="00DD3D98" w:rsidRDefault="000B7603" w:rsidP="00A0407F">
      <w:pPr>
        <w:pStyle w:val="Paragrafoelenco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</w:pP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La </w:t>
      </w:r>
      <w:r w:rsidR="00A0407F" w:rsidRPr="001841F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Fast Track designation</w:t>
      </w:r>
      <w:r w:rsidR="00A0407F" w:rsidRPr="00DD3D9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 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dell</w:t>
      </w:r>
      <w:r w:rsidR="001841F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a 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FDA </w:t>
      </w:r>
      <w:r w:rsidR="00A0407F" w:rsidRPr="00DD3D9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facilita </w:t>
      </w:r>
      <w:r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lo sviluppo di </w:t>
      </w:r>
      <w:r w:rsidR="000B7F68" w:rsidRPr="000B7F6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farmaci per patologie </w:t>
      </w:r>
      <w:r w:rsidR="00E4496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>gravi</w:t>
      </w:r>
      <w:r w:rsidR="000B7F68" w:rsidRPr="000B7F68">
        <w:rPr>
          <w:rFonts w:eastAsia="Calibri" w:cstheme="minorHAnsi"/>
          <w:bCs/>
          <w:i/>
          <w:noProof w:val="0"/>
          <w:color w:val="auto"/>
          <w:sz w:val="24"/>
          <w:szCs w:val="24"/>
          <w:lang w:val="it-IT"/>
        </w:rPr>
        <w:t xml:space="preserve"> per le quali esiste un bisogno terapeutico insoddisfatto</w:t>
      </w:r>
    </w:p>
    <w:p w14:paraId="08240E1F" w14:textId="213CAFE9" w:rsidR="00A0407F" w:rsidRPr="00DD3D98" w:rsidRDefault="00C15ED5" w:rsidP="00A0407F">
      <w:pPr>
        <w:pStyle w:val="Testocommento"/>
        <w:numPr>
          <w:ilvl w:val="0"/>
          <w:numId w:val="2"/>
        </w:numPr>
        <w:spacing w:before="120"/>
        <w:ind w:left="714" w:hanging="357"/>
        <w:jc w:val="both"/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</w:pPr>
      <w:r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Il riconoscimento di </w:t>
      </w:r>
      <w:r w:rsidR="00637F33" w:rsidRPr="001841F8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Fast Track designation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è basat</w:t>
      </w:r>
      <w:r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o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sulla </w:t>
      </w:r>
      <w:r w:rsid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Domanda di Approvazione di Nuov</w:t>
      </w:r>
      <w:r w:rsidR="00AD0A80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o </w:t>
      </w:r>
      <w:r w:rsid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Farmaco Sperimentale per la sclerosi sistemica con</w:t>
      </w:r>
      <w:r w:rsidR="00637F33" w:rsidRP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malattia interstiziale polmonare</w:t>
      </w:r>
      <w:r w:rsidR="001841F8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(SSc-ILD) 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e </w:t>
      </w:r>
      <w:r w:rsidR="00A42A7C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sui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dati d</w:t>
      </w:r>
      <w:r w:rsidR="000A25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’</w:t>
      </w:r>
      <w:r w:rsid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efficacia e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</w:t>
      </w:r>
      <w:r w:rsid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sicurezza </w:t>
      </w:r>
      <w:r w:rsidR="00A42A7C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>attesi</w:t>
      </w:r>
      <w:r w:rsidR="00E11635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da</w:t>
      </w:r>
      <w:r w:rsidR="00637F33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llo studio </w:t>
      </w:r>
      <w:r w:rsidR="00A0407F" w:rsidRPr="00DD3D9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SENSCIS™</w:t>
      </w:r>
      <w:r w:rsidR="00A0407F" w:rsidRPr="00DD3D98">
        <w:rPr>
          <w:rFonts w:asciiTheme="minorHAnsi" w:eastAsia="Calibri" w:hAnsiTheme="minorHAnsi" w:cstheme="minorHAnsi"/>
          <w:bCs/>
          <w:i/>
          <w:noProof w:val="0"/>
          <w:sz w:val="24"/>
          <w:szCs w:val="24"/>
          <w:lang w:val="it-IT" w:eastAsia="en-US"/>
        </w:rPr>
        <w:t xml:space="preserve"> </w:t>
      </w:r>
    </w:p>
    <w:p w14:paraId="6A3E5E8D" w14:textId="77777777" w:rsidR="00A0407F" w:rsidRPr="00DD3D98" w:rsidRDefault="00A0407F" w:rsidP="00A0407F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color w:val="003366"/>
          <w:sz w:val="24"/>
          <w:szCs w:val="24"/>
          <w:lang w:val="it-IT"/>
        </w:rPr>
      </w:pPr>
    </w:p>
    <w:p w14:paraId="4768E01B" w14:textId="77777777" w:rsidR="00E23999" w:rsidRDefault="00E23999" w:rsidP="00A0407F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75BE3643" w14:textId="5B041A11" w:rsidR="00A0407F" w:rsidRPr="00DD3D98" w:rsidRDefault="00A0407F" w:rsidP="00A0407F">
      <w:pPr>
        <w:pStyle w:val="Testocommento"/>
        <w:jc w:val="both"/>
        <w:rPr>
          <w:rFonts w:asciiTheme="minorHAnsi" w:eastAsia="Times New Roman" w:hAnsiTheme="minorHAnsi" w:cstheme="minorHAnsi"/>
          <w:noProof w:val="0"/>
          <w:sz w:val="24"/>
          <w:szCs w:val="24"/>
          <w:lang w:val="it-IT"/>
        </w:rPr>
      </w:pPr>
      <w:r w:rsidRPr="00DD3D98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>Ingelheim, German</w:t>
      </w:r>
      <w:r w:rsidR="00637F33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>ia</w:t>
      </w:r>
      <w:r w:rsidRPr="00DD3D98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>/</w:t>
      </w:r>
      <w:r w:rsidR="00637F33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>Ridgefield, Connecticut (USA)</w:t>
      </w:r>
      <w:r w:rsidRPr="00DD3D98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 xml:space="preserve">, </w:t>
      </w:r>
      <w:r w:rsidR="001841F8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>19</w:t>
      </w:r>
      <w:r w:rsidR="00637F33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 xml:space="preserve"> marzo</w:t>
      </w:r>
      <w:r w:rsidRPr="00DD3D98"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  <w:t xml:space="preserve">, 2018 </w:t>
      </w:r>
      <w:r w:rsidR="009C172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– Boehringer Ingelheim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>re</w:t>
      </w:r>
      <w:r w:rsidR="009C172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nde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>noto che l’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A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genzia regolatoria statunitense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Food and Drug Administration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(FDA) ha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AD0A8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riconosciuto </w:t>
      </w:r>
      <w:r w:rsidR="00361E45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la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Fast Track designation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>a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nintedanib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637F33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come terapia </w:t>
      </w:r>
      <w:r w:rsidR="00E56DCE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per </w:t>
      </w:r>
      <w:r w:rsidR="00637F33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la sclerosi sistemica con malattia interstiziale polmonare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(SSc-ILD). La </w:t>
      </w:r>
      <w:r w:rsidR="00637F33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F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 xml:space="preserve">ast Track designation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>d</w:t>
      </w:r>
      <w:r w:rsidR="00053B83">
        <w:rPr>
          <w:rFonts w:asciiTheme="minorHAnsi" w:hAnsiTheme="minorHAnsi" w:cstheme="minorHAnsi"/>
          <w:noProof w:val="0"/>
          <w:sz w:val="24"/>
          <w:szCs w:val="24"/>
          <w:lang w:val="it-IT"/>
        </w:rPr>
        <w:t>i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FDA 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>facilita</w:t>
      </w:r>
      <w:r w:rsidR="000B7F6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lo sviluppo di farmaci </w:t>
      </w:r>
      <w:r w:rsidR="000B7F68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per patologie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gravi</w:t>
      </w:r>
      <w:r w:rsidR="000B7F68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0B7F68">
        <w:rPr>
          <w:rFonts w:asciiTheme="minorHAnsi" w:hAnsiTheme="minorHAnsi" w:cstheme="minorHAnsi"/>
          <w:noProof w:val="0"/>
          <w:sz w:val="24"/>
          <w:szCs w:val="24"/>
          <w:lang w:val="it-IT"/>
        </w:rPr>
        <w:t>per le quali esiste</w:t>
      </w:r>
      <w:r w:rsidR="000B7F68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un bisogno</w:t>
      </w:r>
      <w:r w:rsidR="000B7F6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terapeutico insoddisfatto,</w:t>
      </w:r>
      <w:r w:rsidR="00637F33" w:rsidRP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allo scopo </w:t>
      </w:r>
      <w:r w:rsidR="000B7F6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di 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>renderl</w:t>
      </w:r>
      <w:r w:rsidR="000B7F68">
        <w:rPr>
          <w:rFonts w:asciiTheme="minorHAnsi" w:hAnsiTheme="minorHAnsi" w:cstheme="minorHAnsi"/>
          <w:noProof w:val="0"/>
          <w:sz w:val="24"/>
          <w:szCs w:val="24"/>
          <w:lang w:val="it-IT"/>
        </w:rPr>
        <w:t>i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disponibili </w:t>
      </w:r>
      <w:r w:rsidR="00795501">
        <w:rPr>
          <w:rFonts w:asciiTheme="minorHAnsi" w:hAnsiTheme="minorHAnsi" w:cstheme="minorHAnsi"/>
          <w:noProof w:val="0"/>
          <w:sz w:val="24"/>
          <w:szCs w:val="24"/>
          <w:lang w:val="it-IT"/>
        </w:rPr>
        <w:t>in tempi più rapidi</w:t>
      </w:r>
      <w:r w:rsidR="00637F33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ai pazienti che ne hanno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necessità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.</w:t>
      </w:r>
    </w:p>
    <w:p w14:paraId="1D34AFE3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094C6193" w14:textId="5353C5CC" w:rsidR="00A0407F" w:rsidRPr="00DD3D98" w:rsidRDefault="00C15ED5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Il riconoscimento dell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 </w:t>
      </w:r>
      <w:r w:rsidR="00EA75D2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 xml:space="preserve">Fast Track designation 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d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a parte d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ell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 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FDA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è basato</w:t>
      </w:r>
      <w:r w:rsidR="00A42A7C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sulla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IND-Investigational New Drug Application</w:t>
      </w:r>
      <w:r w:rsidR="00EA75D2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>(domanda di a</w:t>
      </w:r>
      <w:r w:rsidR="00EA75D2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pprovazione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per un nuovo farmaco sperimentale) </w:t>
      </w:r>
      <w:r w:rsidR="00EA75D2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per la sclerosi sistemica con malattia interstiziale polmonare presentata 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da Boehringer Ingelheim</w:t>
      </w:r>
      <w:r w:rsidR="00EA75D2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e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sui dati d</w:t>
      </w:r>
      <w:r w:rsid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’</w:t>
      </w:r>
      <w:r w:rsidR="00EA75D2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efficacia e sicurezza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>attesi dallo</w:t>
      </w:r>
      <w:r w:rsidR="00EA75D2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studio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SENSCIS™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</w:t>
      </w:r>
      <w:r w:rsidR="001841F8" w:rsidRPr="00662EB8">
        <w:rPr>
          <w:rFonts w:asciiTheme="minorHAnsi" w:hAnsiTheme="minorHAnsi" w:cstheme="minorHAnsi"/>
          <w:b/>
          <w:bCs/>
          <w:noProof w:val="0"/>
          <w:sz w:val="24"/>
          <w:szCs w:val="24"/>
          <w:lang w:val="it-IT"/>
        </w:rPr>
        <w:t>S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afety and </w:t>
      </w:r>
      <w:r w:rsidR="001841F8" w:rsidRPr="00662EB8">
        <w:rPr>
          <w:rFonts w:asciiTheme="minorHAnsi" w:hAnsiTheme="minorHAnsi" w:cstheme="minorHAnsi"/>
          <w:b/>
          <w:bCs/>
          <w:noProof w:val="0"/>
          <w:sz w:val="24"/>
          <w:szCs w:val="24"/>
          <w:lang w:val="it-IT"/>
        </w:rPr>
        <w:t>E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fficacy of </w:t>
      </w:r>
      <w:r w:rsidR="001841F8" w:rsidRPr="00662EB8">
        <w:rPr>
          <w:rFonts w:asciiTheme="minorHAnsi" w:hAnsiTheme="minorHAnsi" w:cstheme="minorHAnsi"/>
          <w:b/>
          <w:bCs/>
          <w:noProof w:val="0"/>
          <w:sz w:val="24"/>
          <w:szCs w:val="24"/>
          <w:lang w:val="it-IT"/>
        </w:rPr>
        <w:t>N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intedanib in Systemic </w:t>
      </w:r>
      <w:r w:rsidR="001841F8" w:rsidRPr="00662EB8">
        <w:rPr>
          <w:rFonts w:asciiTheme="minorHAnsi" w:hAnsiTheme="minorHAnsi" w:cstheme="minorHAnsi"/>
          <w:b/>
          <w:bCs/>
          <w:noProof w:val="0"/>
          <w:sz w:val="24"/>
          <w:szCs w:val="24"/>
          <w:lang w:val="it-IT"/>
        </w:rPr>
        <w:t>SC</w:t>
      </w:r>
      <w:r w:rsidR="001841F8">
        <w:rPr>
          <w:rFonts w:asciiTheme="minorHAnsi" w:hAnsiTheme="minorHAnsi" w:cstheme="minorHAnsi"/>
          <w:noProof w:val="0"/>
          <w:sz w:val="24"/>
          <w:szCs w:val="24"/>
          <w:lang w:val="it-IT"/>
        </w:rPr>
        <w:t>lero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>s</w:t>
      </w:r>
      <w:r w:rsidR="00662EB8" w:rsidRPr="00662EB8">
        <w:rPr>
          <w:rFonts w:asciiTheme="minorHAnsi" w:hAnsiTheme="minorHAnsi" w:cstheme="minorHAnsi"/>
          <w:b/>
          <w:bCs/>
          <w:noProof w:val="0"/>
          <w:sz w:val="24"/>
          <w:szCs w:val="24"/>
          <w:lang w:val="it-IT"/>
        </w:rPr>
        <w:t>IS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>)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, studio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registrativo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internazionale di Fase III, randomizzato, in doppio cieco, </w:t>
      </w:r>
      <w:r w:rsidR="00053B83">
        <w:rPr>
          <w:rFonts w:asciiTheme="minorHAnsi" w:hAnsiTheme="minorHAnsi" w:cstheme="minorHAnsi"/>
          <w:noProof w:val="0"/>
          <w:sz w:val="24"/>
          <w:szCs w:val="24"/>
          <w:lang w:val="it-IT"/>
        </w:rPr>
        <w:t>controllato verso placebo</w:t>
      </w:r>
      <w:r w:rsidR="0079550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,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che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ha arruolato in totale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520 pa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zienti in oltre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32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>paesi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 </w:t>
      </w:r>
    </w:p>
    <w:p w14:paraId="5247EA2A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2BEF3C14" w14:textId="590A11FD" w:rsidR="00A0407F" w:rsidRPr="00DD3D98" w:rsidRDefault="00C15ED5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“Il riconoscimento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>della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A0407F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Fast Track designation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è un passo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importante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per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la ricerca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in corso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>e</w:t>
      </w:r>
      <w:r w:rsidR="006C326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per</w:t>
      </w:r>
      <w:bookmarkStart w:id="0" w:name="_GoBack"/>
      <w:bookmarkEnd w:id="0"/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il nostro impeg</w:t>
      </w:r>
      <w:r w:rsidR="00E56DCE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no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nel</w:t>
      </w:r>
      <w:r w:rsidR="00E56DCE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portare avanti lo sviluppo di cure 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per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i pazienti</w:t>
      </w:r>
      <w:r w:rsidR="002116F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colpiti da sclerosi sistemica con malattia interstiziale polmonare” ha commentato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lastRenderedPageBreak/>
        <w:t>Christopher Corsico, Chief Medical Of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ficer, Boehringer Ingelheim “</w:t>
      </w:r>
      <w:r w:rsidR="006C3261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E’ 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cruciale </w:t>
      </w:r>
      <w:r w:rsidR="00E316BC">
        <w:rPr>
          <w:rFonts w:asciiTheme="minorHAnsi" w:hAnsiTheme="minorHAnsi" w:cstheme="minorHAnsi"/>
          <w:noProof w:val="0"/>
          <w:sz w:val="24"/>
          <w:szCs w:val="24"/>
          <w:lang w:val="it-IT"/>
        </w:rPr>
        <w:t>per coloro che convivono con questa patologia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E316BC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che noi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ci impegniamo a rispondere a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l significativo bisogno insoddisfatto di terapie</w:t>
      </w:r>
      <w:r w:rsidR="00E316BC">
        <w:rPr>
          <w:rFonts w:asciiTheme="minorHAnsi" w:hAnsiTheme="minorHAnsi" w:cstheme="minorHAnsi"/>
          <w:noProof w:val="0"/>
          <w:sz w:val="24"/>
          <w:szCs w:val="24"/>
          <w:lang w:val="it-IT"/>
        </w:rPr>
        <w:t>. Da parte nostra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siamo ansiosi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di lavorare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insieme 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a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F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DA 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per portare avanti lo sviluppo di questa possibile terapia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”</w:t>
      </w:r>
      <w:r w:rsidR="00D77E27">
        <w:rPr>
          <w:rFonts w:asciiTheme="minorHAnsi" w:hAnsiTheme="minorHAnsi" w:cstheme="minorHAnsi"/>
          <w:noProof w:val="0"/>
          <w:sz w:val="24"/>
          <w:szCs w:val="24"/>
          <w:lang w:val="it-IT"/>
        </w:rPr>
        <w:t>.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</w:p>
    <w:p w14:paraId="13E0978C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2A2285E4" w14:textId="3D7F1460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Annelise Rønnow, 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P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resident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e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di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FESCA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, la Federazione delle Associazioni Europee sulla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Scleroderm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i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a, 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ha aggiunto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: “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Sono pochissimi i farmaci valutati in studi clinici per la sclerodermia con interessamento polmonare – una realtà </w:t>
      </w:r>
      <w:r w:rsidR="006E060D">
        <w:rPr>
          <w:rFonts w:asciiTheme="minorHAnsi" w:hAnsiTheme="minorHAnsi" w:cstheme="minorHAnsi"/>
          <w:noProof w:val="0"/>
          <w:sz w:val="24"/>
          <w:szCs w:val="24"/>
          <w:lang w:val="it-IT"/>
        </w:rPr>
        <w:t>terribile per chi convive con questa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malattia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Apprezziamo che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FDA 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abbia riconosciuto l’importanza dello sviluppo in questo ambito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”</w:t>
      </w:r>
      <w:r w:rsidR="00717589">
        <w:rPr>
          <w:rFonts w:asciiTheme="minorHAnsi" w:hAnsiTheme="minorHAnsi" w:cstheme="minorHAnsi"/>
          <w:noProof w:val="0"/>
          <w:sz w:val="24"/>
          <w:szCs w:val="24"/>
          <w:lang w:val="it-IT"/>
        </w:rPr>
        <w:t>.</w:t>
      </w:r>
    </w:p>
    <w:p w14:paraId="09773FDE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3ED9D86D" w14:textId="65E9E6DA" w:rsidR="00A0407F" w:rsidRPr="00DD3D98" w:rsidRDefault="002167EC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La sclerosi sistemica, o s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cleroderm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i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a,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è una patologia rara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>del tessuto connettivo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cara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t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teriz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zata da ispessimento e formazione di tessuto cicatriziale che interessa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diversi organi.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Colpisce soprattutto le donne, di solito tra i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25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 i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55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anni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.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vertAlign w:val="superscript"/>
          <w:lang w:val="it-IT"/>
        </w:rPr>
        <w:t>1,2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La maggior parte delle persone colpite dalla malattia sviluppa fibrosi a livello polmonare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ovvero malattia interstiziale polmonare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(o interstiziopatia polmonare)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,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che è la principale causa di mortalità in chi è colpito da 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questa patologia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.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vertAlign w:val="superscript"/>
          <w:lang w:val="it-IT"/>
        </w:rPr>
        <w:t>3-6</w:t>
      </w:r>
    </w:p>
    <w:p w14:paraId="4650B0F4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20A154F0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Nintedanib, </w:t>
      </w:r>
      <w:r w:rsidR="005B2734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è un farmaco già 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approvato 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>come terapia della fibrosi polmonare idiopatica (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>IPF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), una malattia polmonare rara. Nella </w:t>
      </w:r>
      <w:r w:rsidR="00662EB8">
        <w:rPr>
          <w:rFonts w:asciiTheme="minorHAnsi" w:hAnsiTheme="minorHAnsi" w:cstheme="minorHAnsi"/>
          <w:noProof w:val="0"/>
          <w:sz w:val="24"/>
          <w:szCs w:val="24"/>
          <w:lang w:val="it-IT"/>
        </w:rPr>
        <w:t>IPF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>, n</w:t>
      </w:r>
      <w:r w:rsidR="006918A7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intedanib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ha dimostrato di rallentare la progressione della malattia misurata dal tasso di declino annuo della funzionalità polmonare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Poiché esistono similitudini fra la </w:t>
      </w:r>
      <w:r w:rsidR="006918A7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sclerosi sistemica 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con </w:t>
      </w:r>
      <w:r w:rsidR="006918A7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intersti</w:t>
      </w:r>
      <w:r w:rsidR="00B105A5">
        <w:rPr>
          <w:rFonts w:asciiTheme="minorHAnsi" w:hAnsiTheme="minorHAnsi" w:cstheme="minorHAnsi"/>
          <w:noProof w:val="0"/>
          <w:sz w:val="24"/>
          <w:szCs w:val="24"/>
          <w:lang w:val="it-IT"/>
        </w:rPr>
        <w:t>zio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>patia</w:t>
      </w:r>
      <w:r w:rsidR="006918A7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polmonare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</w:t>
      </w:r>
      <w:r w:rsidR="006918A7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SSc-ILD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>)</w:t>
      </w:r>
      <w:r w:rsidR="006918A7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>e la fibrosi polmonare idiopatica</w:t>
      </w:r>
      <w:r w:rsidR="00E44968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per gli aspetti di formazione di tessuto cicatriziale (fibrosi),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Boehringer Ingelheim s</w:t>
      </w:r>
      <w:r w:rsidR="006918A7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ta valutando nintedanib nella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SSc-ILD. </w:t>
      </w:r>
    </w:p>
    <w:p w14:paraId="68443BEC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1CBBCA8B" w14:textId="77777777" w:rsidR="00A0407F" w:rsidRPr="00DD3D98" w:rsidRDefault="00EA75D2" w:rsidP="00A0407F">
      <w:pPr>
        <w:pStyle w:val="Testocommento"/>
        <w:jc w:val="both"/>
        <w:outlineLvl w:val="0"/>
        <w:rPr>
          <w:rFonts w:asciiTheme="minorHAnsi" w:eastAsiaTheme="minorHAnsi" w:hAnsiTheme="minorHAnsi" w:cstheme="minorHAnsi"/>
          <w:b/>
          <w:noProof w:val="0"/>
          <w:color w:val="000000" w:themeColor="text1"/>
          <w:sz w:val="24"/>
          <w:szCs w:val="24"/>
          <w:lang w:val="it-IT" w:eastAsia="en-US"/>
        </w:rPr>
      </w:pPr>
      <w:r>
        <w:rPr>
          <w:rFonts w:asciiTheme="minorHAnsi" w:eastAsiaTheme="minorHAnsi" w:hAnsiTheme="minorHAnsi" w:cstheme="minorHAnsi"/>
          <w:b/>
          <w:noProof w:val="0"/>
          <w:color w:val="000000" w:themeColor="text1"/>
          <w:sz w:val="24"/>
          <w:szCs w:val="24"/>
          <w:lang w:val="it-IT" w:eastAsia="en-US"/>
        </w:rPr>
        <w:t>Lo Studio</w:t>
      </w:r>
      <w:r w:rsidR="00A0407F" w:rsidRPr="00DD3D98">
        <w:rPr>
          <w:rFonts w:asciiTheme="minorHAnsi" w:eastAsiaTheme="minorHAnsi" w:hAnsiTheme="minorHAnsi" w:cstheme="minorHAnsi"/>
          <w:b/>
          <w:noProof w:val="0"/>
          <w:color w:val="000000" w:themeColor="text1"/>
          <w:sz w:val="24"/>
          <w:szCs w:val="24"/>
          <w:lang w:val="it-IT" w:eastAsia="en-US"/>
        </w:rPr>
        <w:t xml:space="preserve"> SENSCIS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™</w:t>
      </w:r>
    </w:p>
    <w:p w14:paraId="6B55E8FF" w14:textId="4F3D8788" w:rsidR="00A0407F" w:rsidRPr="00DD3D98" w:rsidRDefault="00EA75D2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SENSCIS™ è uno studio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randomiz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zato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,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in doppio cieco,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controllato verso placebo,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</w:t>
      </w:r>
      <w:hyperlink r:id="rId8" w:tooltip="Current version of study NCT02597933 on ClinicalTrials.gov" w:history="1">
        <w:r w:rsidR="00A0407F" w:rsidRPr="00DD3D98">
          <w:rPr>
            <w:rStyle w:val="Collegamentoipertestuale"/>
            <w:rFonts w:asciiTheme="minorHAnsi" w:hAnsiTheme="minorHAnsi" w:cstheme="minorHAnsi"/>
            <w:noProof w:val="0"/>
            <w:color w:val="31849B" w:themeColor="accent5" w:themeShade="BF"/>
            <w:sz w:val="24"/>
            <w:szCs w:val="24"/>
            <w:lang w:val="it-IT"/>
          </w:rPr>
          <w:t>NCT 02597933)</w:t>
        </w:r>
      </w:hyperlink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volto a valutare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l’efficacia e la sicurezza di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nintedanib 150 mg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due volte/die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per un periodo 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variabile da un minimo di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52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settimane sino a un massimo di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100 s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>ettimane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di trattamento,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in </w:t>
      </w:r>
      <w:r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soggetti con </w:t>
      </w:r>
      <w:r w:rsidR="00245000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lastRenderedPageBreak/>
        <w:t xml:space="preserve">sclerosi sistemica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con </w:t>
      </w:r>
      <w:r w:rsidR="00245000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>intersti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>ziopatia</w:t>
      </w:r>
      <w:r w:rsidR="00245000" w:rsidRPr="00EA75D2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polmonare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L’endpoint primario è il tasso annuo di declino della capacità </w:t>
      </w:r>
      <w:r w:rsidR="00245000" w:rsidRP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vitale forzata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(FVC),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>misura della progressione della malattia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>I principali</w:t>
      </w:r>
      <w:r w:rsidR="00A24539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endpoint 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secondar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>i comprendono la variazio</w:t>
      </w:r>
      <w:r w:rsidR="00A05C6D">
        <w:rPr>
          <w:rFonts w:asciiTheme="minorHAnsi" w:hAnsiTheme="minorHAnsi" w:cstheme="minorHAnsi"/>
          <w:noProof w:val="0"/>
          <w:sz w:val="24"/>
          <w:szCs w:val="24"/>
          <w:lang w:val="it-IT"/>
        </w:rPr>
        <w:t>ne assoluta rispetto al basale d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el punteggio </w:t>
      </w:r>
      <w:r w:rsidR="00A0407F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Rodnan Skin</w:t>
      </w:r>
      <w:r w:rsidR="00245000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 xml:space="preserve"> Score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</w:t>
      </w:r>
      <w:r w:rsidR="00245000" w:rsidRPr="00245000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modificato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(mRSS), che valuta l’ispessimento cutaneo, e la variazio</w:t>
      </w:r>
      <w:r w:rsidR="00A05C6D">
        <w:rPr>
          <w:rFonts w:asciiTheme="minorHAnsi" w:hAnsiTheme="minorHAnsi" w:cstheme="minorHAnsi"/>
          <w:noProof w:val="0"/>
          <w:sz w:val="24"/>
          <w:szCs w:val="24"/>
          <w:lang w:val="it-IT"/>
        </w:rPr>
        <w:t>ne assoluta rispetto al basale d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el punteggio totale del </w:t>
      </w:r>
      <w:r w:rsidR="00A0407F" w:rsidRPr="001841F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Saint George´s Respiratory Questionnaire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(SGRQ)</w:t>
      </w:r>
      <w:r w:rsidR="00A24539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che misura la qualità di vita correlata allo stato di salute in soggetti affetti da patologie polmonari</w:t>
      </w:r>
      <w:r w:rsidR="00A3605B">
        <w:rPr>
          <w:rFonts w:asciiTheme="minorHAnsi" w:hAnsiTheme="minorHAnsi" w:cstheme="minorHAnsi"/>
          <w:noProof w:val="0"/>
          <w:sz w:val="24"/>
          <w:szCs w:val="24"/>
          <w:lang w:val="it-IT"/>
        </w:rPr>
        <w:t>,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per valutare l’impatto della terapia</w:t>
      </w:r>
      <w:r w:rsidR="00A0407F"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. </w:t>
      </w:r>
    </w:p>
    <w:p w14:paraId="59D868CF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0BA011EE" w14:textId="77777777" w:rsidR="008A461C" w:rsidRPr="001720B0" w:rsidRDefault="008A461C" w:rsidP="008A461C">
      <w:pPr>
        <w:pStyle w:val="Default"/>
        <w:spacing w:line="312" w:lineRule="auto"/>
        <w:rPr>
          <w:rStyle w:val="Highlight"/>
          <w:rFonts w:asciiTheme="minorHAnsi" w:hAnsiTheme="minorHAnsi" w:cstheme="minorHAnsi"/>
          <w:color w:val="auto"/>
          <w:lang w:val="it-IT"/>
        </w:rPr>
      </w:pPr>
      <w:r w:rsidRPr="001720B0">
        <w:rPr>
          <w:rStyle w:val="Highlight"/>
          <w:rFonts w:asciiTheme="minorHAnsi" w:hAnsiTheme="minorHAnsi" w:cstheme="minorHAnsi"/>
          <w:color w:val="auto"/>
          <w:lang w:val="it-IT"/>
        </w:rPr>
        <w:t xml:space="preserve">Boehringer Ingelheim </w:t>
      </w:r>
    </w:p>
    <w:p w14:paraId="16DC974D" w14:textId="77777777" w:rsidR="008A461C" w:rsidRPr="008A461C" w:rsidRDefault="008A461C" w:rsidP="00B3771B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A461C">
        <w:rPr>
          <w:rFonts w:eastAsia="MS Mincho" w:cstheme="minorHAnsi"/>
          <w:noProof w:val="0"/>
          <w:sz w:val="24"/>
          <w:szCs w:val="24"/>
          <w:lang w:val="it-IT" w:eastAsia="en-GB"/>
        </w:rPr>
        <w:t>Farmaci innovativi per la salute umana e animale. Questo è quello per cui opera, da oltre 130 anni, prendendo le mosse dalla ricerca, Boehringer Ingelheim, una delle prime 20 aziende farmaceutiche al mondo, e tuttora un’azienda a proprietà familiare. I suoi circa 50.000 addetti ogni giorno creano valore, attraverso l’innovazione, nelle sue tre aree di business: farmaceutici per uso umano, salute animale e produzione biofarmaceutica per clienti industriali. Con un fatturato netto di circa 15,9 miliardi di euro nel 2016, Boehringer Ingelheim ha investito in ricerca e sviluppo una somma superiore ai tre miliardi di euro e pari al 19,6 percento di tale fatturato netto.</w:t>
      </w:r>
    </w:p>
    <w:p w14:paraId="27A53586" w14:textId="77777777" w:rsidR="008A461C" w:rsidRPr="008A461C" w:rsidRDefault="008A461C" w:rsidP="00B3771B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A461C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Boehringer Ingelheim la responsabilità sociale è qualcosa di connaturato a sé, da cui discende la sua partecipazione a progetti sociali come, ad esempio, l’iniziativa “Making More Health”, la valorizzazione attiva della diversità delle risorse umane, che con le rispettive differenti competenze ed esperienze apportano beneficio all’azienda, e il suo essere sempre attenta alla sostenibilità e alla tutela dell’ambiente in ogni sua attività. </w:t>
      </w:r>
    </w:p>
    <w:p w14:paraId="5DC0AF42" w14:textId="77777777" w:rsidR="00EE6F2E" w:rsidRDefault="00EE6F2E" w:rsidP="00B3771B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</w:p>
    <w:p w14:paraId="08031346" w14:textId="6041F77F" w:rsidR="008A461C" w:rsidRPr="008A461C" w:rsidRDefault="008A461C" w:rsidP="00B3771B">
      <w:pPr>
        <w:spacing w:line="240" w:lineRule="auto"/>
        <w:jc w:val="both"/>
        <w:rPr>
          <w:rFonts w:eastAsia="MS Mincho" w:cstheme="minorHAnsi"/>
          <w:noProof w:val="0"/>
          <w:sz w:val="24"/>
          <w:szCs w:val="24"/>
          <w:lang w:val="it-IT" w:eastAsia="en-GB"/>
        </w:rPr>
      </w:pPr>
      <w:r w:rsidRPr="008A461C">
        <w:rPr>
          <w:rFonts w:eastAsia="MS Mincho" w:cstheme="minorHAnsi"/>
          <w:noProof w:val="0"/>
          <w:sz w:val="24"/>
          <w:szCs w:val="24"/>
          <w:lang w:val="it-IT" w:eastAsia="en-GB"/>
        </w:rPr>
        <w:t xml:space="preserve">Per maggiori informazioni visitate il sito www.boehringer-ingelheim.com o consultate il Bilancio all’indirizzo </w:t>
      </w:r>
      <w:hyperlink r:id="rId9" w:history="1">
        <w:r w:rsidRPr="008A461C">
          <w:rPr>
            <w:rFonts w:eastAsia="MS Mincho"/>
            <w:noProof w:val="0"/>
            <w:sz w:val="24"/>
            <w:szCs w:val="24"/>
            <w:lang w:eastAsia="en-GB"/>
          </w:rPr>
          <w:t>http://annualreport.boehringer-ingelheim.com</w:t>
        </w:r>
      </w:hyperlink>
      <w:r w:rsidRPr="008A461C">
        <w:rPr>
          <w:rFonts w:eastAsia="MS Mincho" w:cstheme="minorHAnsi"/>
          <w:noProof w:val="0"/>
          <w:sz w:val="24"/>
          <w:szCs w:val="24"/>
          <w:lang w:val="it-IT" w:eastAsia="en-GB"/>
        </w:rPr>
        <w:t>.</w:t>
      </w:r>
    </w:p>
    <w:p w14:paraId="12EF5669" w14:textId="77777777" w:rsidR="00A24539" w:rsidRDefault="00A24539" w:rsidP="00A24539">
      <w:pPr>
        <w:spacing w:line="276" w:lineRule="auto"/>
        <w:jc w:val="both"/>
        <w:rPr>
          <w:color w:val="002060"/>
          <w:lang w:val="it-IT"/>
        </w:rPr>
      </w:pPr>
    </w:p>
    <w:p w14:paraId="02D2B7EC" w14:textId="77777777" w:rsidR="00A24539" w:rsidRDefault="00A24539" w:rsidP="00A24539">
      <w:pPr>
        <w:spacing w:line="276" w:lineRule="auto"/>
        <w:jc w:val="both"/>
        <w:rPr>
          <w:color w:val="002060"/>
          <w:lang w:val="it-IT"/>
        </w:rPr>
      </w:pPr>
    </w:p>
    <w:p w14:paraId="68E68EA9" w14:textId="77777777" w:rsidR="00A24539" w:rsidRDefault="00A24539" w:rsidP="00A24539">
      <w:pPr>
        <w:spacing w:line="276" w:lineRule="auto"/>
        <w:jc w:val="both"/>
        <w:rPr>
          <w:color w:val="002060"/>
          <w:lang w:val="it-IT"/>
        </w:rPr>
      </w:pPr>
    </w:p>
    <w:p w14:paraId="6FFBE90E" w14:textId="77777777" w:rsidR="00A24539" w:rsidRDefault="00A24539" w:rsidP="00A24539">
      <w:pPr>
        <w:spacing w:line="276" w:lineRule="auto"/>
        <w:jc w:val="both"/>
        <w:rPr>
          <w:color w:val="002060"/>
          <w:lang w:val="it-IT"/>
        </w:rPr>
      </w:pPr>
    </w:p>
    <w:p w14:paraId="62678FCE" w14:textId="77777777" w:rsidR="007A1285" w:rsidRDefault="007A1285" w:rsidP="00A24539">
      <w:pPr>
        <w:spacing w:line="276" w:lineRule="auto"/>
        <w:jc w:val="both"/>
        <w:rPr>
          <w:color w:val="002060"/>
          <w:sz w:val="24"/>
          <w:szCs w:val="24"/>
          <w:lang w:val="it-IT"/>
        </w:rPr>
      </w:pPr>
    </w:p>
    <w:p w14:paraId="2E28A437" w14:textId="1FDFA91D" w:rsidR="00A24539" w:rsidRPr="001841F8" w:rsidRDefault="00A24539" w:rsidP="00A24539">
      <w:pPr>
        <w:spacing w:line="276" w:lineRule="auto"/>
        <w:jc w:val="both"/>
        <w:rPr>
          <w:b/>
          <w:bCs/>
          <w:color w:val="002060"/>
          <w:sz w:val="24"/>
          <w:szCs w:val="24"/>
          <w:lang w:val="it-IT"/>
        </w:rPr>
      </w:pPr>
      <w:r w:rsidRPr="00A24539">
        <w:rPr>
          <w:color w:val="002060"/>
          <w:sz w:val="24"/>
          <w:szCs w:val="24"/>
          <w:lang w:val="it-IT"/>
        </w:rPr>
        <w:t>C</w:t>
      </w:r>
      <w:r w:rsidRPr="001841F8">
        <w:rPr>
          <w:b/>
          <w:bCs/>
          <w:color w:val="002060"/>
          <w:sz w:val="24"/>
          <w:szCs w:val="24"/>
          <w:lang w:val="it-IT"/>
        </w:rPr>
        <w:t>ontatti:</w:t>
      </w:r>
    </w:p>
    <w:p w14:paraId="68309BA2" w14:textId="77777777" w:rsidR="00A24539" w:rsidRPr="001841F8" w:rsidRDefault="00A24539" w:rsidP="00A24539">
      <w:pPr>
        <w:spacing w:line="276" w:lineRule="auto"/>
        <w:jc w:val="both"/>
        <w:rPr>
          <w:sz w:val="24"/>
          <w:szCs w:val="24"/>
          <w:lang w:val="it-IT"/>
        </w:rPr>
      </w:pPr>
    </w:p>
    <w:p w14:paraId="2BCF84E6" w14:textId="77777777" w:rsidR="00A24539" w:rsidRPr="00A24539" w:rsidRDefault="00A24539" w:rsidP="007A1285">
      <w:pPr>
        <w:spacing w:line="240" w:lineRule="auto"/>
        <w:jc w:val="both"/>
        <w:rPr>
          <w:sz w:val="24"/>
          <w:szCs w:val="24"/>
          <w:lang w:val="it-IT"/>
        </w:rPr>
      </w:pPr>
      <w:r w:rsidRPr="00A24539">
        <w:rPr>
          <w:sz w:val="24"/>
          <w:szCs w:val="24"/>
          <w:lang w:val="it-IT"/>
        </w:rPr>
        <w:t>Marina Guffanti</w:t>
      </w:r>
    </w:p>
    <w:p w14:paraId="532A265F" w14:textId="77777777" w:rsidR="00A24539" w:rsidRPr="00A24539" w:rsidRDefault="00A24539" w:rsidP="007A1285">
      <w:pPr>
        <w:spacing w:line="240" w:lineRule="auto"/>
        <w:jc w:val="both"/>
        <w:rPr>
          <w:sz w:val="24"/>
          <w:szCs w:val="24"/>
          <w:lang w:val="it-IT"/>
        </w:rPr>
      </w:pPr>
      <w:r w:rsidRPr="00A24539">
        <w:rPr>
          <w:sz w:val="24"/>
          <w:szCs w:val="24"/>
          <w:lang w:val="it-IT"/>
        </w:rPr>
        <w:t>Comunicazione</w:t>
      </w:r>
    </w:p>
    <w:p w14:paraId="130EFAE8" w14:textId="77777777" w:rsidR="00A24539" w:rsidRPr="00A24539" w:rsidRDefault="00A24539" w:rsidP="007A1285">
      <w:pPr>
        <w:spacing w:line="240" w:lineRule="auto"/>
        <w:jc w:val="both"/>
        <w:rPr>
          <w:sz w:val="24"/>
          <w:szCs w:val="24"/>
          <w:lang w:val="it-IT"/>
        </w:rPr>
      </w:pPr>
      <w:r w:rsidRPr="00A24539">
        <w:rPr>
          <w:sz w:val="24"/>
          <w:szCs w:val="24"/>
          <w:lang w:val="it-IT"/>
        </w:rPr>
        <w:t>Boehringer Ingelheim Italia SpA</w:t>
      </w:r>
    </w:p>
    <w:p w14:paraId="40BC5B71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Phone:  + 39 – 02 5355453</w:t>
      </w:r>
    </w:p>
    <w:p w14:paraId="150CCAA1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Cell.     +39 348 3995284</w:t>
      </w:r>
    </w:p>
    <w:p w14:paraId="26C64E64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 xml:space="preserve">e-mail:  </w:t>
      </w:r>
      <w:hyperlink r:id="rId10" w:history="1">
        <w:r w:rsidRPr="001841F8">
          <w:rPr>
            <w:sz w:val="24"/>
            <w:szCs w:val="24"/>
            <w:lang w:val="fr-FR"/>
          </w:rPr>
          <w:t>marina.guffanti@boehringer-ingelheim.com</w:t>
        </w:r>
      </w:hyperlink>
    </w:p>
    <w:p w14:paraId="20BA2C3F" w14:textId="77777777" w:rsidR="00A24539" w:rsidRPr="001841F8" w:rsidRDefault="00A24539" w:rsidP="00A24539">
      <w:pPr>
        <w:spacing w:line="276" w:lineRule="auto"/>
        <w:jc w:val="both"/>
        <w:rPr>
          <w:sz w:val="24"/>
          <w:szCs w:val="24"/>
          <w:lang w:val="fr-FR"/>
        </w:rPr>
      </w:pPr>
    </w:p>
    <w:p w14:paraId="21401F2A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Maria Luisa Paleari</w:t>
      </w:r>
    </w:p>
    <w:p w14:paraId="33F86387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Value Relations Srl</w:t>
      </w:r>
    </w:p>
    <w:p w14:paraId="5B0F00A4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Phone: + 39 – 02 20424941</w:t>
      </w:r>
    </w:p>
    <w:p w14:paraId="6998822C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>Cell. + 39 331 6718518</w:t>
      </w:r>
    </w:p>
    <w:p w14:paraId="1AC6AFB9" w14:textId="77777777" w:rsidR="00A24539" w:rsidRPr="001841F8" w:rsidRDefault="00A24539" w:rsidP="007A1285">
      <w:pPr>
        <w:spacing w:line="240" w:lineRule="auto"/>
        <w:jc w:val="both"/>
        <w:rPr>
          <w:sz w:val="24"/>
          <w:szCs w:val="24"/>
          <w:lang w:val="fr-FR"/>
        </w:rPr>
      </w:pPr>
      <w:r w:rsidRPr="001841F8">
        <w:rPr>
          <w:sz w:val="24"/>
          <w:szCs w:val="24"/>
          <w:lang w:val="fr-FR"/>
        </w:rPr>
        <w:t xml:space="preserve">e-mail: </w:t>
      </w:r>
      <w:hyperlink r:id="rId11" w:history="1">
        <w:r w:rsidRPr="001841F8">
          <w:rPr>
            <w:sz w:val="24"/>
            <w:szCs w:val="24"/>
            <w:lang w:val="fr-FR"/>
          </w:rPr>
          <w:t>ml.paleari@vrelations.it</w:t>
        </w:r>
      </w:hyperlink>
    </w:p>
    <w:p w14:paraId="53500899" w14:textId="77777777" w:rsidR="00A24539" w:rsidRPr="001841F8" w:rsidRDefault="00A24539" w:rsidP="00A0407F">
      <w:pPr>
        <w:tabs>
          <w:tab w:val="left" w:pos="2552"/>
        </w:tabs>
        <w:spacing w:line="240" w:lineRule="auto"/>
        <w:jc w:val="both"/>
        <w:rPr>
          <w:rFonts w:cstheme="minorHAnsi"/>
          <w:noProof w:val="0"/>
          <w:sz w:val="24"/>
          <w:szCs w:val="24"/>
          <w:u w:val="single"/>
          <w:lang w:val="fr-FR"/>
        </w:rPr>
      </w:pPr>
    </w:p>
    <w:p w14:paraId="4066BEDB" w14:textId="77777777" w:rsidR="00A0407F" w:rsidRPr="001841F8" w:rsidRDefault="00A0407F" w:rsidP="00A0407F">
      <w:pPr>
        <w:tabs>
          <w:tab w:val="left" w:pos="2552"/>
        </w:tabs>
        <w:spacing w:line="240" w:lineRule="auto"/>
        <w:jc w:val="both"/>
        <w:rPr>
          <w:rFonts w:cstheme="minorHAnsi"/>
          <w:noProof w:val="0"/>
          <w:sz w:val="24"/>
          <w:szCs w:val="24"/>
          <w:u w:val="single"/>
          <w:lang w:val="fr-FR"/>
        </w:rPr>
      </w:pPr>
    </w:p>
    <w:p w14:paraId="1EA7927B" w14:textId="77777777" w:rsidR="00A0407F" w:rsidRPr="001841F8" w:rsidRDefault="00245000" w:rsidP="00A0407F">
      <w:pPr>
        <w:jc w:val="both"/>
        <w:rPr>
          <w:rFonts w:cstheme="minorHAnsi"/>
          <w:b/>
          <w:noProof w:val="0"/>
          <w:color w:val="000000" w:themeColor="text1"/>
          <w:sz w:val="24"/>
          <w:szCs w:val="24"/>
          <w:lang w:val="en-US"/>
        </w:rPr>
      </w:pPr>
      <w:r w:rsidRPr="001841F8">
        <w:rPr>
          <w:rFonts w:cstheme="minorHAnsi"/>
          <w:b/>
          <w:noProof w:val="0"/>
          <w:color w:val="000000" w:themeColor="text1"/>
          <w:sz w:val="24"/>
          <w:szCs w:val="24"/>
          <w:lang w:val="en-US"/>
        </w:rPr>
        <w:t>Bibliografia</w:t>
      </w:r>
      <w:r w:rsidR="00A0407F" w:rsidRPr="001841F8">
        <w:rPr>
          <w:rFonts w:cstheme="minorHAnsi"/>
          <w:b/>
          <w:noProof w:val="0"/>
          <w:color w:val="000000" w:themeColor="text1"/>
          <w:sz w:val="24"/>
          <w:szCs w:val="24"/>
          <w:lang w:val="en-US"/>
        </w:rPr>
        <w:t xml:space="preserve"> </w:t>
      </w:r>
    </w:p>
    <w:p w14:paraId="1DAB4809" w14:textId="77777777" w:rsidR="00A0407F" w:rsidRPr="00DD3D9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 w:rsidRPr="001841F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en-US"/>
        </w:rPr>
        <w:t>1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Scleroderma Fo</w:t>
      </w:r>
      <w:r w:rsidR="00522E5A"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undation. What is scleroderma? </w:t>
      </w:r>
      <w:r w:rsidR="00522E5A">
        <w:rPr>
          <w:rFonts w:asciiTheme="minorHAnsi" w:hAnsiTheme="minorHAnsi" w:cstheme="minorHAnsi"/>
          <w:noProof w:val="0"/>
          <w:sz w:val="24"/>
          <w:szCs w:val="24"/>
          <w:lang w:val="it-IT"/>
        </w:rPr>
        <w:t>Disponibile all’indirizzo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:www.scleroderma.org/site/PageNavigator/patients_whatis.html#.V hgSaPlViko. </w:t>
      </w:r>
      <w:r w:rsidR="00245000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Ultimo accesso gennaio 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>2018.</w:t>
      </w:r>
    </w:p>
    <w:p w14:paraId="4EF74275" w14:textId="77777777" w:rsidR="00A0407F" w:rsidRPr="001841F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DD3D9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it-IT"/>
        </w:rPr>
        <w:t>2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Herzog EL, et. al. Review: Interstitial Lung Disease Associated With Systemic Sclerosis and Idiopathic Pulmonary Fibrosis: How Similar and Distinct?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Arthritis Rheum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>. 2014;66:1967-1978.</w:t>
      </w:r>
    </w:p>
    <w:p w14:paraId="7EBD5D63" w14:textId="77777777" w:rsidR="00A0407F" w:rsidRPr="001841F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1841F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en-US"/>
        </w:rPr>
        <w:t>3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Solomon JJ, Olson A L, Fischer A, et al. European Respiratory Update: Scleroderma lung disease.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Eur.Respir. Rev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>. 2013; 22: 127, 6–19.</w:t>
      </w:r>
    </w:p>
    <w:p w14:paraId="41B4ABD5" w14:textId="77777777" w:rsidR="00A0407F" w:rsidRPr="001841F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1841F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en-US"/>
        </w:rPr>
        <w:t>4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Schurawitzki H et al. Interstitual lung disease in progressive systemic sclerosis: High-resolution CT vs radiography.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Radiography.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1990;176:755-9.</w:t>
      </w:r>
    </w:p>
    <w:p w14:paraId="4B30D070" w14:textId="77777777" w:rsidR="00A0407F" w:rsidRPr="001841F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en-US"/>
        </w:rPr>
      </w:pPr>
      <w:r w:rsidRPr="001841F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en-US"/>
        </w:rPr>
        <w:t>5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Steen V et al. Severe restrictive lung disease in systemic sclerosis. </w:t>
      </w:r>
      <w:r w:rsidRPr="001841F8">
        <w:rPr>
          <w:rFonts w:asciiTheme="minorHAnsi" w:hAnsiTheme="minorHAnsi" w:cstheme="minorHAnsi"/>
          <w:i/>
          <w:noProof w:val="0"/>
          <w:sz w:val="24"/>
          <w:szCs w:val="24"/>
          <w:lang w:val="en-US"/>
        </w:rPr>
        <w:t>Arthritis Rheum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1994;66(60:1625-35.</w:t>
      </w:r>
    </w:p>
    <w:p w14:paraId="2AB92C29" w14:textId="77777777" w:rsidR="00A0407F" w:rsidRPr="00DD3D98" w:rsidRDefault="00A0407F" w:rsidP="00A0407F">
      <w:pPr>
        <w:pStyle w:val="Testonotadichiusura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  <w:r w:rsidRPr="001841F8">
        <w:rPr>
          <w:rStyle w:val="Rimandonotadichiusura"/>
          <w:rFonts w:asciiTheme="minorHAnsi" w:hAnsiTheme="minorHAnsi" w:cstheme="minorHAnsi"/>
          <w:noProof w:val="0"/>
          <w:sz w:val="24"/>
          <w:szCs w:val="24"/>
          <w:lang w:val="en-US"/>
        </w:rPr>
        <w:t>6</w:t>
      </w:r>
      <w:r w:rsidRPr="001841F8">
        <w:rPr>
          <w:rFonts w:asciiTheme="minorHAnsi" w:hAnsiTheme="minorHAnsi" w:cstheme="minorHAnsi"/>
          <w:noProof w:val="0"/>
          <w:sz w:val="24"/>
          <w:szCs w:val="24"/>
          <w:lang w:val="en-US"/>
        </w:rPr>
        <w:t xml:space="preserve"> Nihtyanova SI et al. Prediction of pulmonary complications and long-term survival in systemic sclerosis. </w:t>
      </w:r>
      <w:r w:rsidRPr="00DD3D98">
        <w:rPr>
          <w:rFonts w:asciiTheme="minorHAnsi" w:hAnsiTheme="minorHAnsi" w:cstheme="minorHAnsi"/>
          <w:i/>
          <w:noProof w:val="0"/>
          <w:sz w:val="24"/>
          <w:szCs w:val="24"/>
          <w:lang w:val="it-IT"/>
        </w:rPr>
        <w:t>Arthritis Rheum</w:t>
      </w:r>
      <w:r w:rsidRPr="00DD3D98">
        <w:rPr>
          <w:rFonts w:asciiTheme="minorHAnsi" w:hAnsiTheme="minorHAnsi" w:cstheme="minorHAnsi"/>
          <w:noProof w:val="0"/>
          <w:sz w:val="24"/>
          <w:szCs w:val="24"/>
          <w:lang w:val="it-IT"/>
        </w:rPr>
        <w:t xml:space="preserve"> 2014;66(6):1625-35.</w:t>
      </w:r>
    </w:p>
    <w:p w14:paraId="1CDFE1B6" w14:textId="77777777"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14:paraId="53E2BB2A" w14:textId="77777777" w:rsidR="00A0407F" w:rsidRPr="00DD3D98" w:rsidRDefault="00A0407F" w:rsidP="00A0407F">
      <w:pPr>
        <w:tabs>
          <w:tab w:val="left" w:pos="2552"/>
        </w:tabs>
        <w:spacing w:line="240" w:lineRule="auto"/>
        <w:ind w:left="360" w:hanging="360"/>
        <w:jc w:val="both"/>
        <w:rPr>
          <w:rFonts w:cstheme="minorHAnsi"/>
          <w:b/>
          <w:noProof w:val="0"/>
          <w:sz w:val="24"/>
          <w:szCs w:val="24"/>
          <w:u w:val="single"/>
          <w:lang w:val="it-IT"/>
        </w:rPr>
      </w:pPr>
    </w:p>
    <w:p w14:paraId="3C330F01" w14:textId="77777777" w:rsidR="00961FDE" w:rsidRPr="00DD3D98" w:rsidRDefault="00961FDE" w:rsidP="00A0407F">
      <w:pPr>
        <w:jc w:val="both"/>
        <w:rPr>
          <w:rFonts w:cstheme="minorHAnsi"/>
          <w:noProof w:val="0"/>
          <w:sz w:val="24"/>
          <w:szCs w:val="24"/>
          <w:lang w:val="it-IT"/>
        </w:rPr>
      </w:pPr>
    </w:p>
    <w:sectPr w:rsidR="00961FDE" w:rsidRPr="00DD3D98" w:rsidSect="00EA75D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3544" w:right="3968" w:bottom="184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C4D5" w14:textId="77777777" w:rsidR="00417202" w:rsidRDefault="00417202" w:rsidP="001541DD">
      <w:pPr>
        <w:spacing w:line="240" w:lineRule="auto"/>
      </w:pPr>
      <w:r>
        <w:separator/>
      </w:r>
    </w:p>
  </w:endnote>
  <w:endnote w:type="continuationSeparator" w:id="0">
    <w:p w14:paraId="5ADBB436" w14:textId="77777777" w:rsidR="00417202" w:rsidRDefault="00417202" w:rsidP="00154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7322262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55673625"/>
          <w:docPartObj>
            <w:docPartGallery w:val="Page Numbers (Top of Page)"/>
            <w:docPartUnique/>
          </w:docPartObj>
        </w:sdtPr>
        <w:sdtEndPr/>
        <w:sdtContent>
          <w:p w14:paraId="00E0E0CF" w14:textId="77777777" w:rsidR="00CA23B5" w:rsidRDefault="00CA23B5" w:rsidP="00EA75D2">
            <w:pPr>
              <w:spacing w:line="240" w:lineRule="auto"/>
              <w:rPr>
                <w:rFonts w:cs="Arial"/>
                <w:sz w:val="14"/>
                <w:szCs w:val="16"/>
                <w:lang w:val="en-US"/>
              </w:rPr>
            </w:pPr>
          </w:p>
          <w:p w14:paraId="4E1D074B" w14:textId="77777777" w:rsidR="00CA23B5" w:rsidRPr="001841F8" w:rsidRDefault="00CA23B5" w:rsidP="00EA75D2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  <w:r w:rsidRPr="001841F8">
              <w:rPr>
                <w:rFonts w:cs="Arial"/>
                <w:sz w:val="16"/>
                <w:szCs w:val="16"/>
                <w:lang w:val="it-IT"/>
              </w:rPr>
              <w:t>Boehringer Ingelheim C</w:t>
            </w:r>
            <w:r>
              <w:rPr>
                <w:rFonts w:cs="Arial"/>
                <w:sz w:val="16"/>
                <w:szCs w:val="16"/>
                <w:lang w:val="it-IT"/>
              </w:rPr>
              <w:t>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1841F8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361E45">
              <w:rPr>
                <w:rFonts w:cs="Arial"/>
                <w:sz w:val="16"/>
                <w:szCs w:val="16"/>
                <w:lang w:val="it-IT"/>
              </w:rPr>
              <w:t>5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  <w:r w:rsidRPr="001841F8">
              <w:rPr>
                <w:rFonts w:cs="Arial"/>
                <w:sz w:val="16"/>
                <w:szCs w:val="16"/>
                <w:lang w:val="it-IT"/>
              </w:rPr>
              <w:t xml:space="preserve"> di 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1841F8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361E45">
              <w:rPr>
                <w:rFonts w:cs="Arial"/>
                <w:sz w:val="16"/>
                <w:szCs w:val="16"/>
                <w:lang w:val="it-IT"/>
              </w:rPr>
              <w:t>5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4AAD9486" w14:textId="77777777" w:rsidR="00CA23B5" w:rsidRPr="001841F8" w:rsidRDefault="00CA23B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12716339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518234568"/>
          <w:docPartObj>
            <w:docPartGallery w:val="Page Numbers (Top of Page)"/>
            <w:docPartUnique/>
          </w:docPartObj>
        </w:sdtPr>
        <w:sdtEndPr/>
        <w:sdtContent>
          <w:p w14:paraId="1AF03444" w14:textId="77777777" w:rsidR="00CA23B5" w:rsidRDefault="00CA23B5">
            <w:pPr>
              <w:pStyle w:val="Pidipagina"/>
              <w:rPr>
                <w:rFonts w:cs="Arial"/>
                <w:sz w:val="16"/>
                <w:szCs w:val="16"/>
              </w:rPr>
            </w:pPr>
          </w:p>
          <w:p w14:paraId="0C11C3FD" w14:textId="77777777" w:rsidR="00CA23B5" w:rsidRPr="001841F8" w:rsidRDefault="00CA23B5">
            <w:pPr>
              <w:pStyle w:val="Pidipagina"/>
              <w:rPr>
                <w:rFonts w:cs="Arial"/>
                <w:sz w:val="16"/>
                <w:szCs w:val="16"/>
                <w:lang w:val="it-IT"/>
              </w:rPr>
            </w:pP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Boehringer Ingelheim </w:t>
            </w:r>
            <w:r>
              <w:rPr>
                <w:rFonts w:cs="Arial"/>
                <w:sz w:val="16"/>
                <w:szCs w:val="16"/>
                <w:lang w:val="it-IT"/>
              </w:rPr>
              <w:t>C 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361E45">
              <w:rPr>
                <w:rFonts w:cs="Arial"/>
                <w:sz w:val="16"/>
                <w:szCs w:val="16"/>
                <w:lang w:val="it-IT"/>
              </w:rPr>
              <w:t>1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/>
                <w:sz w:val="16"/>
                <w:szCs w:val="16"/>
                <w:lang w:val="it-IT"/>
              </w:rPr>
              <w:t>di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361E45">
              <w:rPr>
                <w:rFonts w:cs="Arial"/>
                <w:sz w:val="16"/>
                <w:szCs w:val="16"/>
                <w:lang w:val="it-IT"/>
              </w:rPr>
              <w:t>5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DA4D" w14:textId="77777777" w:rsidR="00417202" w:rsidRDefault="00417202" w:rsidP="001541DD">
      <w:pPr>
        <w:spacing w:line="240" w:lineRule="auto"/>
      </w:pPr>
      <w:r>
        <w:separator/>
      </w:r>
    </w:p>
  </w:footnote>
  <w:footnote w:type="continuationSeparator" w:id="0">
    <w:p w14:paraId="623C31F9" w14:textId="77777777" w:rsidR="00417202" w:rsidRDefault="00417202" w:rsidP="00154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86ED" w14:textId="77777777"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28924" wp14:editId="1BF42197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CC001B" w14:textId="77777777" w:rsidR="00CA23B5" w:rsidRPr="002116F1" w:rsidRDefault="00CA23B5" w:rsidP="002116F1">
                          <w:pPr>
                            <w:rPr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C</w:t>
                          </w:r>
                          <w:r w:rsidRPr="002116F1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28924" id="Rectangle 20" o:spid="_x0000_s1026" style="position:absolute;margin-left:408.85pt;margin-top:27.6pt;width:198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" fillcolor="#f90" stroked="f" strokecolor="#f2f2f2 [3041]" strokeweight="3pt">
              <v:shadow color="#974706 [1609]" opacity=".5" offset="1pt"/>
              <v:textbox inset="7.2mm,5mm,1.25mm,1.25mm">
                <w:txbxContent>
                  <w:p w14:paraId="7ECC001B" w14:textId="77777777" w:rsidR="00CA23B5" w:rsidRPr="002116F1" w:rsidRDefault="00CA23B5" w:rsidP="002116F1">
                    <w:pPr>
                      <w:rPr>
                        <w:szCs w:val="3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C</w:t>
                    </w:r>
                    <w:r w:rsidRPr="002116F1"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FB96CD4" wp14:editId="0790EC18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0" b="0"/>
              <wp:wrapNone/>
              <wp:docPr id="1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A9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6.1pt;margin-top:-7.7pt;width:59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DBDF78F" wp14:editId="5BCF148B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0" b="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41682" id="AutoShape 18" o:spid="_x0000_s1026" type="#_x0000_t32" style="position:absolute;margin-left:-86.1pt;margin-top:7.3pt;width:59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mUJAIAAD4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41268" wp14:editId="5E52E790">
              <wp:simplePos x="0" y="0"/>
              <wp:positionH relativeFrom="column">
                <wp:posOffset>-550545</wp:posOffset>
              </wp:positionH>
              <wp:positionV relativeFrom="paragraph">
                <wp:posOffset>-97790</wp:posOffset>
              </wp:positionV>
              <wp:extent cx="450215" cy="190500"/>
              <wp:effectExtent l="0" t="0" r="0" b="0"/>
              <wp:wrapNone/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05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4C404" w14:textId="77777777" w:rsidR="00CA23B5" w:rsidRPr="00FF7134" w:rsidRDefault="006A7E71" w:rsidP="00EA75D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A23B5"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1E45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5</w: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41268" id="Rectangle 17" o:spid="_x0000_s1027" style="position:absolute;margin-left:-43.35pt;margin-top:-7.7pt;width:35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D2Cy8TggIA&#10;AA4FAAAOAAAAAAAAAAAAAAAAAC4CAABkcnMvZTJvRG9jLnhtbFBLAQItABQABgAIAAAAIQDWxoE/&#10;2wAAAAoBAAAPAAAAAAAAAAAAAAAAANwEAABkcnMvZG93bnJldi54bWxQSwUGAAAAAAQABADzAAAA&#10;5AUAAAAA&#10;" fillcolor="#036" stroked="f">
              <v:textbox inset="1.5mm,1.5mm,1.5mm,1.5mm">
                <w:txbxContent>
                  <w:p w14:paraId="1F24C404" w14:textId="77777777" w:rsidR="00CA23B5" w:rsidRPr="00FF7134" w:rsidRDefault="006A7E71" w:rsidP="00EA75D2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="00CA23B5"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361E45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t>5</w: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FC27" w14:textId="77777777"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8A599A" wp14:editId="2F9C3E1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E245" w14:textId="77777777" w:rsidR="007100E6" w:rsidRPr="001841F8" w:rsidRDefault="007100E6" w:rsidP="007100E6">
                          <w:pPr>
                            <w:rPr>
                              <w:rFonts w:cs="Angsana New"/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rFonts w:cs="Angsana New"/>
                              <w:b/>
                              <w:lang w:val="it-IT"/>
                            </w:rPr>
                            <w:t>Contact:</w:t>
                          </w:r>
                        </w:p>
                        <w:p w14:paraId="787E37DF" w14:textId="77777777" w:rsidR="007100E6" w:rsidRPr="001841F8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b/>
                              <w:lang w:val="it-IT"/>
                            </w:rPr>
                            <w:t>Boehringer Ingelheim</w:t>
                          </w:r>
                        </w:p>
                        <w:p w14:paraId="1D3258CE" w14:textId="77777777" w:rsidR="007100E6" w:rsidRPr="001841F8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1841F8">
                            <w:rPr>
                              <w:b/>
                              <w:lang w:val="it-IT"/>
                            </w:rPr>
                            <w:t>Comunicazione:</w:t>
                          </w:r>
                        </w:p>
                        <w:p w14:paraId="2F8594CE" w14:textId="77777777" w:rsidR="007100E6" w:rsidRPr="001841F8" w:rsidRDefault="007100E6" w:rsidP="007100E6">
                          <w:pPr>
                            <w:pStyle w:val="Intestazione"/>
                            <w:rPr>
                              <w:b/>
                              <w:color w:val="1F497D"/>
                              <w:lang w:val="it-IT"/>
                            </w:rPr>
                          </w:pPr>
                        </w:p>
                        <w:p w14:paraId="32AA5EA1" w14:textId="77777777" w:rsidR="007100E6" w:rsidRPr="001841F8" w:rsidRDefault="007100E6" w:rsidP="007100E6">
                          <w:pPr>
                            <w:pStyle w:val="Intestazione"/>
                            <w:jc w:val="both"/>
                            <w:rPr>
                              <w:lang w:val="it-IT"/>
                            </w:rPr>
                          </w:pPr>
                          <w:r w:rsidRPr="001841F8">
                            <w:rPr>
                              <w:lang w:val="it-IT"/>
                            </w:rPr>
                            <w:t>Marina Guffanti</w:t>
                          </w:r>
                        </w:p>
                        <w:p w14:paraId="4CFD1E61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14:paraId="25834B8D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14:paraId="38F631AC" w14:textId="77777777"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14:paraId="57DC57F8" w14:textId="77777777" w:rsidR="007100E6" w:rsidRDefault="006C3261" w:rsidP="007100E6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  <w:hyperlink r:id="rId1" w:history="1">
                            <w:r w:rsidR="007100E6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14:paraId="3B279FAF" w14:textId="77777777" w:rsidR="00CA23B5" w:rsidRPr="009E31E7" w:rsidRDefault="00CA23B5" w:rsidP="00EA75D2">
                          <w:pPr>
                            <w:rPr>
                              <w:lang w:val="fr-BE"/>
                            </w:rPr>
                          </w:pPr>
                        </w:p>
                        <w:sdt>
                          <w:sdtPr>
                            <w:id w:val="-2049436089"/>
                            <w:lock w:val="contentLocked"/>
                          </w:sdtPr>
                          <w:sdtEndPr/>
                          <w:sdtContent>
                            <w:p w14:paraId="7A25C733" w14:textId="77777777" w:rsidR="00CA23B5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37077428" wp14:editId="33FFE8E4">
                                    <wp:extent cx="1800225" cy="107950"/>
                                    <wp:effectExtent l="19050" t="0" r="9525" b="0"/>
                                    <wp:docPr id="22" name="Bild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 cstate="print"/>
                                            <a:srcRect r="45002" b="4856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707" cy="1095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7B963BCE" wp14:editId="4D814AE4">
                                    <wp:extent cx="1800225" cy="1200647"/>
                                    <wp:effectExtent l="19050" t="0" r="9525" b="0"/>
                                    <wp:docPr id="23" name="Bild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Documents and Settings\Administrator\Desktop\SC_BI_News Centre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 cstate="print"/>
                                            <a:srcRect t="106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225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57EC70" w14:textId="77777777" w:rsidR="00CA23B5" w:rsidRPr="0002468D" w:rsidRDefault="00CA23B5" w:rsidP="00EA75D2">
                              <w:pPr>
                                <w:ind w:left="42"/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02468D"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  <w:t>More information</w:t>
                              </w:r>
                            </w:p>
                            <w:p w14:paraId="4616305F" w14:textId="77777777" w:rsidR="00CA23B5" w:rsidRPr="0002468D" w:rsidRDefault="006C3261" w:rsidP="00EA75D2">
                              <w:pPr>
                                <w:spacing w:after="120"/>
                                <w:ind w:left="42"/>
                                <w:rPr>
                                  <w:lang w:val="en-US"/>
                                </w:rPr>
                              </w:pPr>
                              <w:hyperlink r:id="rId4" w:history="1">
                                <w:r w:rsidR="00CA23B5" w:rsidRPr="00831AC2">
                                  <w:rPr>
                                    <w:rStyle w:val="Collegamentoipertestuale"/>
                                    <w:lang w:val="en-US"/>
                                  </w:rPr>
                                  <w:t>www.boehringer-ingelheim.com</w:t>
                                </w:r>
                              </w:hyperlink>
                            </w:p>
                            <w:p w14:paraId="5C4A8261" w14:textId="77777777" w:rsidR="00CA23B5" w:rsidRPr="002C4B3E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7422ECCF" wp14:editId="7AE3B52F">
                                    <wp:extent cx="1800000" cy="381000"/>
                                    <wp:effectExtent l="19050" t="0" r="0" b="0"/>
                                    <wp:docPr id="24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Documents and Settings\Administrator\Desktop\sm_icons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A599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1.75pt;margin-top:168.65pt;width:157.5pt;height:5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fhQ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" stroked="f">
              <v:textbox>
                <w:txbxContent>
                  <w:p w14:paraId="3F1DE245" w14:textId="77777777" w:rsidR="007100E6" w:rsidRPr="001841F8" w:rsidRDefault="007100E6" w:rsidP="007100E6">
                    <w:pPr>
                      <w:rPr>
                        <w:rFonts w:cs="Angsana New"/>
                        <w:b/>
                        <w:lang w:val="it-IT"/>
                      </w:rPr>
                    </w:pPr>
                    <w:r w:rsidRPr="001841F8">
                      <w:rPr>
                        <w:rFonts w:cs="Angsana New"/>
                        <w:b/>
                        <w:lang w:val="it-IT"/>
                      </w:rPr>
                      <w:t>Contact:</w:t>
                    </w:r>
                  </w:p>
                  <w:p w14:paraId="787E37DF" w14:textId="77777777" w:rsidR="007100E6" w:rsidRPr="001841F8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1841F8">
                      <w:rPr>
                        <w:b/>
                        <w:lang w:val="it-IT"/>
                      </w:rPr>
                      <w:t>Boehringer Ingelheim</w:t>
                    </w:r>
                  </w:p>
                  <w:p w14:paraId="1D3258CE" w14:textId="77777777" w:rsidR="007100E6" w:rsidRPr="001841F8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1841F8">
                      <w:rPr>
                        <w:b/>
                        <w:lang w:val="it-IT"/>
                      </w:rPr>
                      <w:t>Comunicazione:</w:t>
                    </w:r>
                  </w:p>
                  <w:p w14:paraId="2F8594CE" w14:textId="77777777" w:rsidR="007100E6" w:rsidRPr="001841F8" w:rsidRDefault="007100E6" w:rsidP="007100E6">
                    <w:pPr>
                      <w:pStyle w:val="Intestazione"/>
                      <w:rPr>
                        <w:b/>
                        <w:color w:val="1F497D"/>
                        <w:lang w:val="it-IT"/>
                      </w:rPr>
                    </w:pPr>
                  </w:p>
                  <w:p w14:paraId="32AA5EA1" w14:textId="77777777" w:rsidR="007100E6" w:rsidRPr="001841F8" w:rsidRDefault="007100E6" w:rsidP="007100E6">
                    <w:pPr>
                      <w:pStyle w:val="Intestazione"/>
                      <w:jc w:val="both"/>
                      <w:rPr>
                        <w:lang w:val="it-IT"/>
                      </w:rPr>
                    </w:pPr>
                    <w:r w:rsidRPr="001841F8">
                      <w:rPr>
                        <w:lang w:val="it-IT"/>
                      </w:rPr>
                      <w:t>Marina Guffanti</w:t>
                    </w:r>
                  </w:p>
                  <w:p w14:paraId="4CFD1E61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14:paraId="25834B8D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14:paraId="38F631AC" w14:textId="77777777"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14:paraId="57DC57F8" w14:textId="77777777" w:rsidR="007100E6" w:rsidRDefault="006C3261" w:rsidP="007100E6">
                    <w:pPr>
                      <w:spacing w:line="240" w:lineRule="auto"/>
                      <w:rPr>
                        <w:lang w:val="en-US"/>
                      </w:rPr>
                    </w:pPr>
                    <w:hyperlink r:id="rId6" w:history="1">
                      <w:r w:rsidR="007100E6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14:paraId="3B279FAF" w14:textId="77777777" w:rsidR="00CA23B5" w:rsidRPr="009E31E7" w:rsidRDefault="00CA23B5" w:rsidP="00EA75D2">
                    <w:pPr>
                      <w:rPr>
                        <w:lang w:val="fr-BE"/>
                      </w:rPr>
                    </w:pPr>
                  </w:p>
                  <w:sdt>
                    <w:sdtPr>
                      <w:id w:val="-2049436089"/>
                      <w:lock w:val="contentLocked"/>
                    </w:sdtPr>
                    <w:sdtEndPr/>
                    <w:sdtContent>
                      <w:p w14:paraId="7A25C733" w14:textId="77777777" w:rsidR="00CA23B5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37077428" wp14:editId="33FFE8E4">
                              <wp:extent cx="1800225" cy="107950"/>
                              <wp:effectExtent l="19050" t="0" r="9525" b="0"/>
                              <wp:docPr id="22" name="Bild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/>
                                      <a:srcRect r="45002" b="485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707" cy="109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7B963BCE" wp14:editId="4D814AE4">
                              <wp:extent cx="1800225" cy="1200647"/>
                              <wp:effectExtent l="19050" t="0" r="9525" b="0"/>
                              <wp:docPr id="23" name="Bild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Documents and Settings\Administrator\Desktop\SC_BI_News Centre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 cstate="print"/>
                                      <a:srcRect t="106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57EC70" w14:textId="77777777" w:rsidR="00CA23B5" w:rsidRPr="0002468D" w:rsidRDefault="00CA23B5" w:rsidP="00EA75D2">
                        <w:pPr>
                          <w:ind w:left="42"/>
                          <w:rPr>
                            <w:b/>
                            <w:color w:val="000000" w:themeColor="text1"/>
                            <w:lang w:val="en-US"/>
                          </w:rPr>
                        </w:pPr>
                        <w:r w:rsidRPr="0002468D">
                          <w:rPr>
                            <w:b/>
                            <w:color w:val="000000" w:themeColor="text1"/>
                            <w:lang w:val="en-US"/>
                          </w:rPr>
                          <w:t>More information</w:t>
                        </w:r>
                      </w:p>
                      <w:p w14:paraId="4616305F" w14:textId="77777777" w:rsidR="00CA23B5" w:rsidRPr="0002468D" w:rsidRDefault="006C3261" w:rsidP="00EA75D2">
                        <w:pPr>
                          <w:spacing w:after="120"/>
                          <w:ind w:left="42"/>
                          <w:rPr>
                            <w:lang w:val="en-US"/>
                          </w:rPr>
                        </w:pPr>
                        <w:hyperlink r:id="rId7" w:history="1">
                          <w:r w:rsidR="00CA23B5" w:rsidRPr="00831AC2">
                            <w:rPr>
                              <w:rStyle w:val="Collegamentoipertestuale"/>
                              <w:lang w:val="en-US"/>
                            </w:rPr>
                            <w:t>www.boehringer-ingelheim.com</w:t>
                          </w:r>
                        </w:hyperlink>
                      </w:p>
                      <w:p w14:paraId="5C4A8261" w14:textId="77777777" w:rsidR="00CA23B5" w:rsidRPr="002C4B3E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7422ECCF" wp14:editId="7AE3B52F">
                              <wp:extent cx="1800000" cy="381000"/>
                              <wp:effectExtent l="19050" t="0" r="0" b="0"/>
                              <wp:docPr id="24" name="Bild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Documents and Settings\Administrator\Desktop\sm_icons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805D2D7" wp14:editId="32765294">
              <wp:simplePos x="0" y="0"/>
              <wp:positionH relativeFrom="column">
                <wp:posOffset>-1093470</wp:posOffset>
              </wp:positionH>
              <wp:positionV relativeFrom="paragraph">
                <wp:posOffset>1352549</wp:posOffset>
              </wp:positionV>
              <wp:extent cx="757999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509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6.1pt;margin-top:106.5pt;width:59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IcIgIAAD0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04AD4C1" wp14:editId="51D0B38C">
              <wp:simplePos x="0" y="0"/>
              <wp:positionH relativeFrom="column">
                <wp:posOffset>-1080135</wp:posOffset>
              </wp:positionH>
              <wp:positionV relativeFrom="paragraph">
                <wp:posOffset>90169</wp:posOffset>
              </wp:positionV>
              <wp:extent cx="7579995" cy="0"/>
              <wp:effectExtent l="0" t="0" r="0" b="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C5213" id="AutoShape 10" o:spid="_x0000_s1026" type="#_x0000_t32" style="position:absolute;margin-left:-85.05pt;margin-top:7.1pt;width:596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" strokecolor="white [3212]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E84EDFB" wp14:editId="5CAAA287">
              <wp:simplePos x="0" y="0"/>
              <wp:positionH relativeFrom="page">
                <wp:posOffset>517525</wp:posOffset>
              </wp:positionH>
              <wp:positionV relativeFrom="page">
                <wp:posOffset>1198880</wp:posOffset>
              </wp:positionV>
              <wp:extent cx="4434205" cy="74168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8F54" w14:textId="77777777" w:rsidR="00CA23B5" w:rsidRPr="00DD3D98" w:rsidRDefault="00CA23B5" w:rsidP="00EA75D2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4EDFB" id="Text Box 9" o:spid="_x0000_s1029" type="#_x0000_t202" style="position:absolute;margin-left:40.75pt;margin-top:94.4pt;width:349.1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MNsw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" o:allowincell="f" filled="f" stroked="f">
              <v:textbox inset="0,0,0,0">
                <w:txbxContent>
                  <w:p w14:paraId="7C1A8F54" w14:textId="77777777" w:rsidR="00CA23B5" w:rsidRPr="00DD3D98" w:rsidRDefault="00CA23B5" w:rsidP="00EA75D2">
                    <w:pP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A23B5" w:rsidRPr="006E7F1C">
      <w:rPr>
        <w:lang w:val="it-IT" w:eastAsia="zh-CN" w:bidi="th-TH"/>
      </w:rPr>
      <w:drawing>
        <wp:anchor distT="0" distB="0" distL="114300" distR="114300" simplePos="0" relativeHeight="251662336" behindDoc="0" locked="0" layoutInCell="1" allowOverlap="1" wp14:anchorId="192A07E9" wp14:editId="7C7E3A93">
          <wp:simplePos x="0" y="0"/>
          <wp:positionH relativeFrom="page">
            <wp:posOffset>5431022</wp:posOffset>
          </wp:positionH>
          <wp:positionV relativeFrom="page">
            <wp:posOffset>893135</wp:posOffset>
          </wp:positionV>
          <wp:extent cx="1543936" cy="478465"/>
          <wp:effectExtent l="19050" t="0" r="0" b="0"/>
          <wp:wrapNone/>
          <wp:docPr id="4" name="Bild 1" descr="C:\Dokumente und Einstellungen\Frank Neufurt\Desktop\BI-Logo_36pt_blue_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rank Neufurt\Desktop\BI-Logo_36pt_blue_neg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7" cy="476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A1DCE" wp14:editId="607619D0">
              <wp:simplePos x="0" y="0"/>
              <wp:positionH relativeFrom="page">
                <wp:posOffset>5039995</wp:posOffset>
              </wp:positionH>
              <wp:positionV relativeFrom="page">
                <wp:posOffset>360045</wp:posOffset>
              </wp:positionV>
              <wp:extent cx="2521585" cy="125984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4752F" id="Rectangle 8" o:spid="_x0000_s1026" style="position:absolute;margin-left:396.85pt;margin-top:28.35pt;width:198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rgQIAAPw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" fillcolor="#036" stroked="f"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DC92053" wp14:editId="17E9C8E0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5039995" cy="125984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79EB4" id="Rectangle 7" o:spid="_x0000_s1026" style="position:absolute;margin-left:0;margin-top:42.55pt;width:396.8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" fillcolor="#4f81bd [3204]" stroked="f" strokecolor="#f2f2f2 [3041]" strokeweight="3pt">
              <v:shadow color="#974706 [1609]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04"/>
    <w:multiLevelType w:val="hybridMultilevel"/>
    <w:tmpl w:val="9D184782"/>
    <w:lvl w:ilvl="0" w:tplc="04090001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32E2"/>
    <w:multiLevelType w:val="hybridMultilevel"/>
    <w:tmpl w:val="FDA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F"/>
    <w:rsid w:val="00053B83"/>
    <w:rsid w:val="000A2533"/>
    <w:rsid w:val="000B7603"/>
    <w:rsid w:val="000B7F68"/>
    <w:rsid w:val="000C5711"/>
    <w:rsid w:val="00104F82"/>
    <w:rsid w:val="001541DD"/>
    <w:rsid w:val="001841F8"/>
    <w:rsid w:val="001D6A68"/>
    <w:rsid w:val="002116F1"/>
    <w:rsid w:val="002167EC"/>
    <w:rsid w:val="00245000"/>
    <w:rsid w:val="00361E45"/>
    <w:rsid w:val="00417202"/>
    <w:rsid w:val="00522E5A"/>
    <w:rsid w:val="00572688"/>
    <w:rsid w:val="005B2734"/>
    <w:rsid w:val="00637F33"/>
    <w:rsid w:val="00662EB8"/>
    <w:rsid w:val="006918A7"/>
    <w:rsid w:val="006A7E71"/>
    <w:rsid w:val="006C3261"/>
    <w:rsid w:val="006E060D"/>
    <w:rsid w:val="007100E6"/>
    <w:rsid w:val="00717589"/>
    <w:rsid w:val="00795501"/>
    <w:rsid w:val="007967EE"/>
    <w:rsid w:val="007A1285"/>
    <w:rsid w:val="008A461C"/>
    <w:rsid w:val="00961FDE"/>
    <w:rsid w:val="009956B1"/>
    <w:rsid w:val="009C1728"/>
    <w:rsid w:val="009F7491"/>
    <w:rsid w:val="00A0407F"/>
    <w:rsid w:val="00A05C6D"/>
    <w:rsid w:val="00A24539"/>
    <w:rsid w:val="00A27621"/>
    <w:rsid w:val="00A3605B"/>
    <w:rsid w:val="00A42A7C"/>
    <w:rsid w:val="00AD0A80"/>
    <w:rsid w:val="00B105A5"/>
    <w:rsid w:val="00B3771B"/>
    <w:rsid w:val="00C15ED5"/>
    <w:rsid w:val="00C268D3"/>
    <w:rsid w:val="00CA23B5"/>
    <w:rsid w:val="00CE64A0"/>
    <w:rsid w:val="00D102FC"/>
    <w:rsid w:val="00D77E27"/>
    <w:rsid w:val="00D96185"/>
    <w:rsid w:val="00DD3D98"/>
    <w:rsid w:val="00DF6B09"/>
    <w:rsid w:val="00E11635"/>
    <w:rsid w:val="00E23999"/>
    <w:rsid w:val="00E26423"/>
    <w:rsid w:val="00E316BC"/>
    <w:rsid w:val="00E44968"/>
    <w:rsid w:val="00E56DCE"/>
    <w:rsid w:val="00EA75D2"/>
    <w:rsid w:val="00EC0709"/>
    <w:rsid w:val="00E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7405A5"/>
  <w15:docId w15:val="{18BFCAC3-598E-434F-A6F2-C605AF0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07F"/>
    <w:pPr>
      <w:spacing w:after="0" w:line="283" w:lineRule="atLeast"/>
    </w:pPr>
    <w:rPr>
      <w:noProof/>
      <w:sz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7F"/>
    <w:rPr>
      <w:noProof/>
      <w:sz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07F"/>
    <w:rPr>
      <w:noProof/>
      <w:sz w:val="20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A0407F"/>
    <w:pPr>
      <w:keepNext/>
      <w:keepLines/>
      <w:widowControl w:val="0"/>
      <w:numPr>
        <w:numId w:val="1"/>
      </w:numPr>
      <w:contextualSpacing/>
    </w:pPr>
    <w:rPr>
      <w:color w:val="000000" w:themeColor="text1"/>
    </w:rPr>
  </w:style>
  <w:style w:type="paragraph" w:customStyle="1" w:styleId="Kapitelberschrift">
    <w:name w:val="Kapitelüberschrift"/>
    <w:basedOn w:val="Titolo2"/>
    <w:next w:val="Normale"/>
    <w:link w:val="KapitelberschriftZchn"/>
    <w:uiPriority w:val="1"/>
    <w:qFormat/>
    <w:rsid w:val="00A0407F"/>
    <w:pPr>
      <w:spacing w:before="0"/>
    </w:pPr>
    <w:rPr>
      <w:color w:val="000000" w:themeColor="text1"/>
      <w:sz w:val="20"/>
    </w:rPr>
  </w:style>
  <w:style w:type="character" w:customStyle="1" w:styleId="KapitelberschriftZchn">
    <w:name w:val="Kapitelüberschrift Zchn"/>
    <w:basedOn w:val="Carpredefinitoparagrafo"/>
    <w:link w:val="Kapitelberschrift"/>
    <w:uiPriority w:val="1"/>
    <w:rsid w:val="00A0407F"/>
    <w:rPr>
      <w:rFonts w:asciiTheme="majorHAnsi" w:eastAsiaTheme="majorEastAsia" w:hAnsiTheme="majorHAnsi" w:cstheme="majorBidi"/>
      <w:b/>
      <w:bCs/>
      <w:noProof/>
      <w:color w:val="000000" w:themeColor="text1"/>
      <w:sz w:val="20"/>
      <w:szCs w:val="26"/>
      <w:lang w:val="en-GB"/>
    </w:rPr>
  </w:style>
  <w:style w:type="character" w:styleId="Collegamentoipertestuale">
    <w:name w:val="Hyperlink"/>
    <w:basedOn w:val="Carpredefinitoparagrafo"/>
    <w:uiPriority w:val="99"/>
    <w:rsid w:val="00A0407F"/>
    <w:rPr>
      <w:color w:val="auto"/>
      <w:u w:val="none"/>
    </w:rPr>
  </w:style>
  <w:style w:type="character" w:customStyle="1" w:styleId="Highlight">
    <w:name w:val="Highlight"/>
    <w:uiPriority w:val="99"/>
    <w:rsid w:val="00A0407F"/>
    <w:rPr>
      <w:b/>
      <w:bCs/>
      <w:color w:val="1F3F79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0407F"/>
    <w:pPr>
      <w:spacing w:line="240" w:lineRule="auto"/>
    </w:pPr>
    <w:rPr>
      <w:rFonts w:ascii="Times New Roman" w:hAnsi="Times New Roman" w:cs="Times New Roman"/>
      <w:szCs w:val="20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0407F"/>
    <w:rPr>
      <w:rFonts w:ascii="Times New Roman" w:hAnsi="Times New Roman" w:cs="Times New Roman"/>
      <w:noProof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unhideWhenUsed/>
    <w:rsid w:val="00A0407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407F"/>
    <w:pPr>
      <w:spacing w:line="240" w:lineRule="auto"/>
    </w:pPr>
    <w:rPr>
      <w:rFonts w:ascii="Arial" w:eastAsia="MS Mincho" w:hAnsi="Arial" w:cs="Arial"/>
      <w:szCs w:val="20"/>
      <w:lang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407F"/>
    <w:rPr>
      <w:rFonts w:ascii="Arial" w:eastAsia="MS Mincho" w:hAnsi="Arial" w:cs="Arial"/>
      <w:noProof/>
      <w:sz w:val="20"/>
      <w:szCs w:val="20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A0407F"/>
    <w:rPr>
      <w:noProof/>
      <w:color w:val="000000" w:themeColor="text1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07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7F"/>
    <w:rPr>
      <w:rFonts w:ascii="Tahoma" w:hAnsi="Tahoma" w:cs="Tahoma"/>
      <w:noProof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662EB8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EB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EB8"/>
    <w:rPr>
      <w:rFonts w:ascii="Arial" w:eastAsia="MS Mincho" w:hAnsi="Arial" w:cs="Arial"/>
      <w:b/>
      <w:bCs/>
      <w:noProof/>
      <w:sz w:val="20"/>
      <w:szCs w:val="20"/>
      <w:lang w:val="en-GB" w:eastAsia="en-GB"/>
    </w:rPr>
  </w:style>
  <w:style w:type="paragraph" w:styleId="Revisione">
    <w:name w:val="Revision"/>
    <w:hidden/>
    <w:uiPriority w:val="99"/>
    <w:semiHidden/>
    <w:rsid w:val="00D102FC"/>
    <w:pPr>
      <w:spacing w:after="0" w:line="240" w:lineRule="auto"/>
    </w:pPr>
    <w:rPr>
      <w:noProof/>
      <w:sz w:val="20"/>
      <w:lang w:val="en-GB"/>
    </w:rPr>
  </w:style>
  <w:style w:type="paragraph" w:customStyle="1" w:styleId="Default">
    <w:name w:val="Default"/>
    <w:rsid w:val="008A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97933?term=systemic+sclerosis&amp;cond=nintedanib&amp;rank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.paleari@vrelation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na.guffanti@boehringer-ingelhe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ualreport.boehringer-ingelheim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image" Target="media/image2.png"/><Relationship Id="rId7" Type="http://schemas.openxmlformats.org/officeDocument/2006/relationships/hyperlink" Target="http://www.boehringer-ingelheim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marina.guffanti@boehringer-ingelheim.com" TargetMode="External"/><Relationship Id="rId6" Type="http://schemas.openxmlformats.org/officeDocument/2006/relationships/hyperlink" Target="mailto:marina.guffanti@boehringer-ingelheim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oehringer-ingelhe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586C-7DDF-4A4D-974C-EBE5116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971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Maria Luisa Paleari</cp:lastModifiedBy>
  <cp:revision>10</cp:revision>
  <dcterms:created xsi:type="dcterms:W3CDTF">2018-03-20T15:18:00Z</dcterms:created>
  <dcterms:modified xsi:type="dcterms:W3CDTF">2018-03-20T15:49:00Z</dcterms:modified>
</cp:coreProperties>
</file>