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EA" w:rsidRPr="002575EA" w:rsidRDefault="002575EA" w:rsidP="002575EA">
      <w:pPr>
        <w:pStyle w:val="Testocommento"/>
        <w:jc w:val="both"/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</w:pPr>
      <w:r w:rsidRPr="002575EA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  <w:t>Abstract #200 e 1055</w:t>
      </w:r>
    </w:p>
    <w:p w:rsidR="002575EA" w:rsidRPr="002575EA" w:rsidRDefault="002575EA" w:rsidP="002575EA">
      <w:pPr>
        <w:pStyle w:val="Testocommento"/>
        <w:jc w:val="both"/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4"/>
          <w:szCs w:val="24"/>
          <w:lang w:val="it-IT" w:eastAsia="zh-TW"/>
        </w:rPr>
      </w:pPr>
    </w:p>
    <w:p w:rsidR="002575EA" w:rsidRDefault="002575EA" w:rsidP="002575EA">
      <w:pPr>
        <w:pStyle w:val="Testocommento"/>
        <w:jc w:val="both"/>
        <w:rPr>
          <w:rFonts w:asciiTheme="minorHAnsi" w:eastAsia="Calibri" w:hAnsiTheme="minorHAnsi" w:cstheme="minorHAnsi"/>
          <w:b/>
          <w:bCs/>
          <w:noProof w:val="0"/>
          <w:color w:val="FF0000"/>
          <w:spacing w:val="2"/>
          <w:sz w:val="28"/>
          <w:szCs w:val="28"/>
          <w:lang w:val="it-IT" w:eastAsia="zh-TW"/>
        </w:rPr>
      </w:pPr>
      <w:r w:rsidRPr="002F0E42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8"/>
          <w:szCs w:val="28"/>
          <w:lang w:val="it-IT" w:eastAsia="zh-TW"/>
        </w:rPr>
        <w:t xml:space="preserve">Dabigatran etexilato: ulteriore conferma del suo favorevole profilo di sicurezza da una vasta analisi prospettica di dati </w:t>
      </w:r>
      <w:r w:rsidR="004647E8" w:rsidRPr="002F0E42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8"/>
          <w:szCs w:val="28"/>
          <w:lang w:val="it-IT" w:eastAsia="zh-TW"/>
        </w:rPr>
        <w:t>nel</w:t>
      </w:r>
      <w:r w:rsidR="004647E8" w:rsidRPr="002F0E42">
        <w:rPr>
          <w:rFonts w:asciiTheme="minorHAnsi" w:eastAsia="Calibri" w:hAnsiTheme="minorHAnsi" w:cstheme="minorHAnsi"/>
          <w:b/>
          <w:bCs/>
          <w:noProof w:val="0"/>
          <w:color w:val="FF0000"/>
          <w:spacing w:val="2"/>
          <w:sz w:val="28"/>
          <w:szCs w:val="28"/>
          <w:lang w:val="it-IT" w:eastAsia="zh-TW"/>
        </w:rPr>
        <w:t xml:space="preserve"> </w:t>
      </w:r>
      <w:r w:rsidR="004647E8" w:rsidRPr="002F0E42">
        <w:rPr>
          <w:rFonts w:asciiTheme="minorHAnsi" w:eastAsia="Calibri" w:hAnsiTheme="minorHAnsi" w:cstheme="minorHAnsi"/>
          <w:b/>
          <w:bCs/>
          <w:noProof w:val="0"/>
          <w:color w:val="003366"/>
          <w:spacing w:val="2"/>
          <w:sz w:val="28"/>
          <w:szCs w:val="28"/>
          <w:lang w:val="it-IT" w:eastAsia="zh-TW"/>
        </w:rPr>
        <w:t>mondo reale</w:t>
      </w:r>
      <w:r w:rsidR="004647E8" w:rsidRPr="002F0E42">
        <w:rPr>
          <w:rFonts w:asciiTheme="minorHAnsi" w:eastAsia="Calibri" w:hAnsiTheme="minorHAnsi" w:cstheme="minorHAnsi"/>
          <w:b/>
          <w:bCs/>
          <w:noProof w:val="0"/>
          <w:color w:val="FF0000"/>
          <w:spacing w:val="2"/>
          <w:sz w:val="28"/>
          <w:szCs w:val="28"/>
          <w:lang w:val="it-IT" w:eastAsia="zh-TW"/>
        </w:rPr>
        <w:t xml:space="preserve"> </w:t>
      </w:r>
    </w:p>
    <w:p w:rsidR="00FF2335" w:rsidRPr="002F0E42" w:rsidRDefault="00FF2335" w:rsidP="002575EA">
      <w:pPr>
        <w:pStyle w:val="Testocommento"/>
        <w:jc w:val="both"/>
        <w:rPr>
          <w:rFonts w:asciiTheme="minorHAnsi" w:eastAsia="Calibri" w:hAnsiTheme="minorHAnsi" w:cstheme="minorHAnsi"/>
          <w:b/>
          <w:bCs/>
          <w:i/>
          <w:noProof w:val="0"/>
          <w:color w:val="003366"/>
          <w:spacing w:val="2"/>
          <w:sz w:val="28"/>
          <w:szCs w:val="28"/>
          <w:lang w:val="it-IT" w:eastAsia="zh-TW"/>
        </w:rPr>
      </w:pPr>
    </w:p>
    <w:p w:rsidR="00FF2335" w:rsidRDefault="004647E8" w:rsidP="00FF2335">
      <w:pPr>
        <w:pStyle w:val="Testocommento"/>
        <w:numPr>
          <w:ilvl w:val="0"/>
          <w:numId w:val="6"/>
        </w:numPr>
        <w:spacing w:before="120"/>
        <w:jc w:val="both"/>
        <w:rPr>
          <w:rFonts w:asciiTheme="minorHAnsi" w:eastAsia="Calibri" w:hAnsiTheme="minorHAnsi" w:cstheme="minorHAnsi"/>
          <w:bCs/>
          <w:i/>
          <w:noProof w:val="0"/>
          <w:sz w:val="22"/>
          <w:szCs w:val="22"/>
          <w:vertAlign w:val="superscript"/>
          <w:lang w:val="it-IT" w:eastAsia="en-US"/>
        </w:rPr>
      </w:pPr>
      <w:r w:rsidRPr="00560B39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Conferme di sicurezza </w:t>
      </w:r>
      <w:r w:rsidR="00EB17C0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provenienti </w:t>
      </w:r>
      <w:r w:rsidR="002575EA" w:rsidRPr="009131C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dalla Fase II dello studio </w:t>
      </w:r>
      <w:r w:rsidRPr="00560B39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osservazionale </w:t>
      </w:r>
      <w:r w:rsidR="002575EA" w:rsidRPr="009131C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>prospettico GLORIA</w:t>
      </w:r>
      <w:r w:rsidR="002575EA" w:rsidRPr="00560B39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>TM</w:t>
      </w:r>
      <w:r w:rsidR="002575EA" w:rsidRPr="009131C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>-AF su pazienti in terapia con dabigatran etexilato, presentat</w:t>
      </w:r>
      <w:r w:rsidR="00780273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>e</w:t>
      </w:r>
      <w:r w:rsidR="002575EA" w:rsidRPr="009131C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 in sessione late-breaker all’edizione 2018 del Congresso annuale dell’European Heart Rhythm Association (EHRA)</w:t>
      </w:r>
      <w:r w:rsidR="002575EA" w:rsidRPr="009131C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vertAlign w:val="superscript"/>
          <w:lang w:val="it-IT" w:eastAsia="en-US"/>
        </w:rPr>
        <w:t>1</w:t>
      </w:r>
    </w:p>
    <w:p w:rsidR="00FF2335" w:rsidRDefault="002575EA" w:rsidP="00FF2335">
      <w:pPr>
        <w:pStyle w:val="Testocommento"/>
        <w:numPr>
          <w:ilvl w:val="0"/>
          <w:numId w:val="6"/>
        </w:numPr>
        <w:spacing w:before="120"/>
        <w:jc w:val="both"/>
        <w:rPr>
          <w:rFonts w:asciiTheme="minorHAnsi" w:eastAsia="Calibri" w:hAnsiTheme="minorHAnsi" w:cstheme="minorHAnsi"/>
          <w:bCs/>
          <w:i/>
          <w:noProof w:val="0"/>
          <w:sz w:val="22"/>
          <w:szCs w:val="22"/>
          <w:vertAlign w:val="superscript"/>
          <w:lang w:val="it-IT" w:eastAsia="en-US"/>
        </w:rPr>
      </w:pPr>
      <w:r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>Basse percentuali di emorragia maggiore e ictus osservate nei pazienti in terapia con dabigatran etexilato</w:t>
      </w:r>
      <w:r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vertAlign w:val="superscript"/>
          <w:lang w:val="it-IT" w:eastAsia="en-US"/>
        </w:rPr>
        <w:t>1</w:t>
      </w:r>
    </w:p>
    <w:p w:rsidR="002575EA" w:rsidRPr="00FF2335" w:rsidRDefault="004647E8" w:rsidP="00FF2335">
      <w:pPr>
        <w:pStyle w:val="Testocommento"/>
        <w:numPr>
          <w:ilvl w:val="0"/>
          <w:numId w:val="6"/>
        </w:numPr>
        <w:spacing w:before="120"/>
        <w:jc w:val="both"/>
        <w:rPr>
          <w:rFonts w:asciiTheme="minorHAnsi" w:eastAsia="Calibri" w:hAnsiTheme="minorHAnsi" w:cstheme="minorHAnsi"/>
          <w:bCs/>
          <w:i/>
          <w:noProof w:val="0"/>
          <w:sz w:val="22"/>
          <w:szCs w:val="22"/>
          <w:vertAlign w:val="superscript"/>
          <w:lang w:val="it-IT" w:eastAsia="en-US"/>
        </w:rPr>
      </w:pPr>
      <w:r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Elevata consistenza dei </w:t>
      </w:r>
      <w:r w:rsidR="00780273"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dati </w:t>
      </w:r>
      <w:r w:rsidR="002575EA"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>di sicurezza di lungo termine</w:t>
      </w:r>
      <w:r w:rsidR="002575EA"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vertAlign w:val="superscript"/>
          <w:lang w:val="it-IT" w:eastAsia="en-US"/>
        </w:rPr>
        <w:t xml:space="preserve">1,2 </w:t>
      </w:r>
      <w:r w:rsidR="002575EA" w:rsidRPr="00FF2335">
        <w:rPr>
          <w:rFonts w:asciiTheme="minorHAnsi" w:eastAsia="Calibri" w:hAnsiTheme="minorHAnsi" w:cstheme="minorHAnsi"/>
          <w:bCs/>
          <w:i/>
          <w:noProof w:val="0"/>
          <w:sz w:val="22"/>
          <w:szCs w:val="22"/>
          <w:lang w:val="it-IT" w:eastAsia="en-US"/>
        </w:rPr>
        <w:t xml:space="preserve">con quelli ottenuti in altre analisi sull’impiego nella vita reale e in studi clinici randomizzati </w:t>
      </w:r>
    </w:p>
    <w:p w:rsidR="002575EA" w:rsidRDefault="002575EA" w:rsidP="00A0407F">
      <w:pPr>
        <w:pStyle w:val="Testocommento"/>
        <w:jc w:val="both"/>
        <w:rPr>
          <w:rStyle w:val="Highlight"/>
          <w:rFonts w:asciiTheme="minorHAnsi" w:hAnsiTheme="minorHAnsi" w:cstheme="minorHAnsi"/>
          <w:noProof w:val="0"/>
          <w:sz w:val="24"/>
          <w:szCs w:val="24"/>
          <w:lang w:val="it-IT"/>
        </w:rPr>
      </w:pP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  <w:r w:rsidRPr="001720B0">
        <w:rPr>
          <w:rFonts w:cstheme="minorHAnsi"/>
          <w:b/>
          <w:sz w:val="24"/>
          <w:szCs w:val="24"/>
          <w:lang w:val="it-IT" w:eastAsia="en-GB"/>
        </w:rPr>
        <w:t>Ingelheim, Germania,</w:t>
      </w:r>
      <w:r w:rsidRPr="001720B0">
        <w:rPr>
          <w:rFonts w:eastAsia="BISans" w:cstheme="minorHAnsi"/>
          <w:b/>
          <w:bCs/>
          <w:spacing w:val="1"/>
          <w:sz w:val="24"/>
          <w:szCs w:val="24"/>
          <w:lang w:val="it-IT"/>
        </w:rPr>
        <w:t xml:space="preserve"> 20 marzo, 2018 </w:t>
      </w:r>
      <w:r>
        <w:rPr>
          <w:rFonts w:eastAsia="BISans" w:cstheme="minorHAnsi"/>
          <w:bCs/>
          <w:sz w:val="24"/>
          <w:szCs w:val="24"/>
          <w:lang w:val="it-IT"/>
        </w:rPr>
        <w:t xml:space="preserve">– All’edizione 2018 del Congresso annuale della </w:t>
      </w:r>
      <w:r w:rsidRPr="00EB17C0">
        <w:rPr>
          <w:rFonts w:cstheme="minorHAnsi"/>
          <w:i/>
          <w:sz w:val="24"/>
          <w:szCs w:val="24"/>
          <w:lang w:val="it-IT"/>
        </w:rPr>
        <w:t>European Heart Rhythm Association</w:t>
      </w:r>
      <w:r w:rsidRPr="001720B0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(</w:t>
      </w:r>
      <w:r w:rsidRPr="001720B0">
        <w:rPr>
          <w:rFonts w:cstheme="minorHAnsi"/>
          <w:sz w:val="24"/>
          <w:szCs w:val="24"/>
          <w:lang w:val="it-IT"/>
        </w:rPr>
        <w:t>EHRA 2018</w:t>
      </w:r>
      <w:r>
        <w:rPr>
          <w:rFonts w:cstheme="minorHAnsi"/>
          <w:sz w:val="24"/>
          <w:szCs w:val="24"/>
          <w:lang w:val="it-IT"/>
        </w:rPr>
        <w:t>) sono stati presentati n</w:t>
      </w:r>
      <w:r>
        <w:rPr>
          <w:rFonts w:eastAsia="BISans" w:cstheme="minorHAnsi"/>
          <w:bCs/>
          <w:sz w:val="24"/>
          <w:szCs w:val="24"/>
          <w:lang w:val="it-IT"/>
        </w:rPr>
        <w:t xml:space="preserve">uovi risultati da uno dei maggiori studi prospettici internazionali in corso sull’impiego nella pratica clinica di </w:t>
      </w:r>
      <w:r w:rsidR="00EB17C0">
        <w:rPr>
          <w:rFonts w:eastAsia="BISans" w:cstheme="minorHAnsi"/>
          <w:bCs/>
          <w:sz w:val="24"/>
          <w:szCs w:val="24"/>
          <w:lang w:val="it-IT"/>
        </w:rPr>
        <w:t>ant</w:t>
      </w:r>
      <w:bookmarkStart w:id="0" w:name="_GoBack"/>
      <w:bookmarkEnd w:id="0"/>
      <w:r w:rsidR="00EB17C0">
        <w:rPr>
          <w:rFonts w:eastAsia="BISans" w:cstheme="minorHAnsi"/>
          <w:bCs/>
          <w:sz w:val="24"/>
          <w:szCs w:val="24"/>
          <w:lang w:val="it-IT"/>
        </w:rPr>
        <w:t>icoagulanti</w:t>
      </w:r>
      <w:r>
        <w:rPr>
          <w:rFonts w:eastAsia="BISans" w:cstheme="minorHAnsi"/>
          <w:bCs/>
          <w:sz w:val="24"/>
          <w:szCs w:val="24"/>
          <w:lang w:val="it-IT"/>
        </w:rPr>
        <w:t xml:space="preserve"> orali per la prevenzione dell’ictus in soggetti con Fibrillazione Atriale</w:t>
      </w:r>
      <w:r w:rsidR="004647E8">
        <w:rPr>
          <w:rFonts w:eastAsia="BISans" w:cstheme="minorHAnsi"/>
          <w:bCs/>
          <w:sz w:val="24"/>
          <w:szCs w:val="24"/>
          <w:lang w:val="it-IT"/>
        </w:rPr>
        <w:t xml:space="preserve"> Non Valvolare</w:t>
      </w:r>
      <w:r>
        <w:rPr>
          <w:rFonts w:cstheme="minorHAnsi"/>
          <w:sz w:val="24"/>
          <w:szCs w:val="24"/>
          <w:lang w:val="it-IT"/>
        </w:rPr>
        <w:t>.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1,2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="004647E8">
        <w:rPr>
          <w:rFonts w:eastAsia="BISans" w:cstheme="minorHAnsi"/>
          <w:bCs/>
          <w:sz w:val="24"/>
          <w:szCs w:val="24"/>
          <w:lang w:val="it-IT"/>
        </w:rPr>
        <w:t>Si tratta dello studio</w:t>
      </w:r>
      <w:r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Pr="001720B0">
        <w:rPr>
          <w:rFonts w:eastAsia="BISans" w:cstheme="minorHAnsi"/>
          <w:bCs/>
          <w:sz w:val="24"/>
          <w:szCs w:val="24"/>
          <w:lang w:val="it-IT"/>
        </w:rPr>
        <w:t>GLORIA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TM</w:t>
      </w:r>
      <w:r w:rsidRPr="001720B0">
        <w:rPr>
          <w:rFonts w:eastAsia="BISans" w:cstheme="minorHAnsi"/>
          <w:bCs/>
          <w:sz w:val="24"/>
          <w:szCs w:val="24"/>
          <w:lang w:val="it-IT"/>
        </w:rPr>
        <w:t>-AF</w:t>
      </w:r>
      <w:r>
        <w:rPr>
          <w:rFonts w:eastAsia="BISans" w:cstheme="minorHAnsi"/>
          <w:bCs/>
          <w:sz w:val="24"/>
          <w:szCs w:val="24"/>
          <w:lang w:val="it-IT"/>
        </w:rPr>
        <w:t>,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 xml:space="preserve">che ha esaminato </w:t>
      </w:r>
      <w:r w:rsidR="004647E8" w:rsidRPr="00560B39">
        <w:rPr>
          <w:rFonts w:eastAsia="BISans" w:cstheme="minorHAnsi"/>
          <w:bCs/>
          <w:sz w:val="24"/>
          <w:szCs w:val="24"/>
          <w:lang w:val="it-IT"/>
        </w:rPr>
        <w:t xml:space="preserve">sicurezza ed efficacia </w:t>
      </w:r>
      <w:r>
        <w:rPr>
          <w:rFonts w:eastAsia="BISans" w:cstheme="minorHAnsi"/>
          <w:bCs/>
          <w:sz w:val="24"/>
          <w:szCs w:val="24"/>
          <w:lang w:val="it-IT"/>
        </w:rPr>
        <w:t>a due anni di circa 5.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000 </w:t>
      </w:r>
      <w:r>
        <w:rPr>
          <w:rFonts w:eastAsia="BISans" w:cstheme="minorHAnsi"/>
          <w:bCs/>
          <w:sz w:val="24"/>
          <w:szCs w:val="24"/>
          <w:lang w:val="it-IT"/>
        </w:rPr>
        <w:t>soggetti con Fibrillazione Atriale (FA)</w:t>
      </w:r>
      <w:r w:rsidR="00EB17C0">
        <w:rPr>
          <w:rFonts w:eastAsia="BISans" w:cstheme="minorHAnsi"/>
          <w:bCs/>
          <w:sz w:val="24"/>
          <w:szCs w:val="24"/>
          <w:lang w:val="it-IT"/>
        </w:rPr>
        <w:t>,</w:t>
      </w:r>
      <w:r>
        <w:rPr>
          <w:rFonts w:eastAsia="BISans" w:cstheme="minorHAnsi"/>
          <w:bCs/>
          <w:sz w:val="24"/>
          <w:szCs w:val="24"/>
          <w:lang w:val="it-IT"/>
        </w:rPr>
        <w:t xml:space="preserve"> trattati con dabigatran etexilato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. </w:t>
      </w:r>
      <w:r>
        <w:rPr>
          <w:rFonts w:eastAsia="BISans" w:cstheme="minorHAnsi"/>
          <w:bCs/>
          <w:sz w:val="24"/>
          <w:szCs w:val="24"/>
          <w:lang w:val="it-IT"/>
        </w:rPr>
        <w:t>I risultati della completata Fase II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1</w:t>
      </w:r>
      <w:r w:rsidR="00EB17C0">
        <w:rPr>
          <w:rFonts w:eastAsia="BISans" w:cstheme="minorHAnsi"/>
          <w:bCs/>
          <w:sz w:val="24"/>
          <w:szCs w:val="24"/>
          <w:lang w:val="it-IT"/>
        </w:rPr>
        <w:t xml:space="preserve">, </w:t>
      </w:r>
      <w:r w:rsidRPr="001720B0">
        <w:rPr>
          <w:rFonts w:eastAsia="BISans" w:cstheme="minorHAnsi"/>
          <w:bCs/>
          <w:sz w:val="24"/>
          <w:szCs w:val="24"/>
          <w:lang w:val="it-IT"/>
        </w:rPr>
        <w:t>present</w:t>
      </w:r>
      <w:r>
        <w:rPr>
          <w:rFonts w:eastAsia="BISans" w:cstheme="minorHAnsi"/>
          <w:bCs/>
          <w:sz w:val="24"/>
          <w:szCs w:val="24"/>
          <w:lang w:val="it-IT"/>
        </w:rPr>
        <w:t xml:space="preserve">ati nella sessione </w:t>
      </w:r>
      <w:r w:rsidRPr="001720B0">
        <w:rPr>
          <w:rFonts w:eastAsia="BISans" w:cstheme="minorHAnsi"/>
          <w:bCs/>
          <w:sz w:val="24"/>
          <w:szCs w:val="24"/>
          <w:lang w:val="it-IT"/>
        </w:rPr>
        <w:t>‘</w:t>
      </w:r>
      <w:r w:rsidRPr="00EB17C0">
        <w:rPr>
          <w:rFonts w:eastAsia="BISans" w:cstheme="minorHAnsi"/>
          <w:bCs/>
          <w:i/>
          <w:sz w:val="24"/>
          <w:szCs w:val="24"/>
          <w:lang w:val="it-IT"/>
        </w:rPr>
        <w:t>Late-breaking science – Registries</w:t>
      </w:r>
      <w:r w:rsidRPr="001720B0">
        <w:rPr>
          <w:rFonts w:eastAsia="BISans" w:cstheme="minorHAnsi"/>
          <w:bCs/>
          <w:sz w:val="24"/>
          <w:szCs w:val="24"/>
          <w:lang w:val="it-IT"/>
        </w:rPr>
        <w:t>’</w:t>
      </w:r>
      <w:r w:rsidR="00EB17C0">
        <w:rPr>
          <w:rFonts w:eastAsia="BISans" w:cstheme="minorHAnsi"/>
          <w:bCs/>
          <w:sz w:val="24"/>
          <w:szCs w:val="24"/>
          <w:lang w:val="it-IT"/>
        </w:rPr>
        <w:t>,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>dimostrano basse percentuali di emorragia maggiore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(0</w:t>
      </w:r>
      <w:r>
        <w:rPr>
          <w:rFonts w:eastAsia="BISans" w:cstheme="minorHAnsi"/>
          <w:bCs/>
          <w:sz w:val="24"/>
          <w:szCs w:val="24"/>
          <w:lang w:val="it-IT"/>
        </w:rPr>
        <w:t>,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97%) </w:t>
      </w:r>
      <w:r>
        <w:rPr>
          <w:rFonts w:eastAsia="BISans" w:cstheme="minorHAnsi"/>
          <w:bCs/>
          <w:sz w:val="24"/>
          <w:szCs w:val="24"/>
          <w:lang w:val="it-IT"/>
        </w:rPr>
        <w:t>e di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 xml:space="preserve">ictus </w:t>
      </w:r>
      <w:r w:rsidRPr="001720B0">
        <w:rPr>
          <w:rFonts w:eastAsia="BISans" w:cstheme="minorHAnsi"/>
          <w:bCs/>
          <w:sz w:val="24"/>
          <w:szCs w:val="24"/>
          <w:lang w:val="it-IT"/>
        </w:rPr>
        <w:t>(0</w:t>
      </w:r>
      <w:r>
        <w:rPr>
          <w:rFonts w:eastAsia="BISans" w:cstheme="minorHAnsi"/>
          <w:bCs/>
          <w:sz w:val="24"/>
          <w:szCs w:val="24"/>
          <w:lang w:val="it-IT"/>
        </w:rPr>
        <w:t>,65%), confermando il profilo di sicurezza ed efficacia di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>dabigatran etexilato</w:t>
      </w:r>
      <w:r w:rsidR="00EB17C0">
        <w:rPr>
          <w:rFonts w:eastAsia="BISans" w:cstheme="minorHAnsi"/>
          <w:bCs/>
          <w:sz w:val="24"/>
          <w:szCs w:val="24"/>
          <w:lang w:val="it-IT"/>
        </w:rPr>
        <w:t xml:space="preserve">, altamente </w:t>
      </w:r>
      <w:r w:rsidR="00915B88" w:rsidRPr="00560B39">
        <w:rPr>
          <w:rFonts w:eastAsia="BISans" w:cstheme="minorHAnsi"/>
          <w:bCs/>
          <w:sz w:val="24"/>
          <w:szCs w:val="24"/>
          <w:lang w:val="it-IT"/>
        </w:rPr>
        <w:t xml:space="preserve">consistente </w:t>
      </w:r>
      <w:r>
        <w:rPr>
          <w:rFonts w:eastAsia="BISans" w:cstheme="minorHAnsi"/>
          <w:bCs/>
          <w:sz w:val="24"/>
          <w:szCs w:val="24"/>
          <w:lang w:val="it-IT"/>
        </w:rPr>
        <w:t>con il profilo di sicurezza di lungo termine osservato in altre analisi sull’impiego nella vita reale, oltre che in studi clinici randomizzati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. </w:t>
      </w: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  <w:r w:rsidRPr="001720B0">
        <w:rPr>
          <w:rFonts w:eastAsia="BISans" w:cstheme="minorHAnsi"/>
          <w:bCs/>
          <w:sz w:val="24"/>
          <w:szCs w:val="24"/>
          <w:lang w:val="it-IT"/>
        </w:rPr>
        <w:t>“</w:t>
      </w:r>
      <w:r>
        <w:rPr>
          <w:rFonts w:eastAsia="BISans" w:cstheme="minorHAnsi"/>
          <w:bCs/>
          <w:sz w:val="24"/>
          <w:szCs w:val="24"/>
          <w:lang w:val="it-IT"/>
        </w:rPr>
        <w:t xml:space="preserve">I risultati </w:t>
      </w:r>
      <w:r w:rsidR="000F03AC">
        <w:rPr>
          <w:rFonts w:eastAsia="BISans" w:cstheme="minorHAnsi"/>
          <w:bCs/>
          <w:sz w:val="24"/>
          <w:szCs w:val="24"/>
          <w:lang w:val="it-IT"/>
        </w:rPr>
        <w:t>d’impiego di lungo termine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>nella vita reale sono importanti per i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cardiologi</w:t>
      </w:r>
      <w:r>
        <w:rPr>
          <w:rFonts w:eastAsia="BISans" w:cstheme="minorHAnsi"/>
          <w:bCs/>
          <w:sz w:val="24"/>
          <w:szCs w:val="24"/>
          <w:lang w:val="it-IT"/>
        </w:rPr>
        <w:t>,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 xml:space="preserve">in quanto contribuiscono a delineare in modo più ampio come si comporta nella pratica clinica quotidiana un farmaco </w:t>
      </w:r>
      <w:r w:rsidR="00EB17C0">
        <w:rPr>
          <w:rFonts w:eastAsia="BISans" w:cstheme="minorHAnsi"/>
          <w:bCs/>
          <w:sz w:val="24"/>
          <w:szCs w:val="24"/>
          <w:lang w:val="it-IT"/>
        </w:rPr>
        <w:t>anticoagulante</w:t>
      </w:r>
      <w:r w:rsidR="000F03AC">
        <w:rPr>
          <w:rFonts w:eastAsia="BISans" w:cstheme="minorHAnsi"/>
          <w:bCs/>
          <w:sz w:val="24"/>
          <w:szCs w:val="24"/>
          <w:lang w:val="it-IT"/>
        </w:rPr>
        <w:t xml:space="preserve"> orale come dabigatran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” </w:t>
      </w:r>
      <w:r>
        <w:rPr>
          <w:rFonts w:eastAsia="BISans" w:cstheme="minorHAnsi"/>
          <w:bCs/>
          <w:sz w:val="24"/>
          <w:szCs w:val="24"/>
          <w:lang w:val="it-IT"/>
        </w:rPr>
        <w:t xml:space="preserve">- ha </w:t>
      </w:r>
      <w:r w:rsidRPr="001720B0">
        <w:rPr>
          <w:rFonts w:eastAsia="BISans" w:cstheme="minorHAnsi"/>
          <w:bCs/>
          <w:sz w:val="24"/>
          <w:szCs w:val="24"/>
          <w:lang w:val="it-IT"/>
        </w:rPr>
        <w:t>comment</w:t>
      </w:r>
      <w:r>
        <w:rPr>
          <w:rFonts w:eastAsia="BISans" w:cstheme="minorHAnsi"/>
          <w:bCs/>
          <w:sz w:val="24"/>
          <w:szCs w:val="24"/>
          <w:lang w:val="it-IT"/>
        </w:rPr>
        <w:t xml:space="preserve">ato 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Gregory Y H Lip, </w:t>
      </w:r>
      <w:r>
        <w:rPr>
          <w:rFonts w:eastAsia="BISans" w:cstheme="minorHAnsi"/>
          <w:bCs/>
          <w:sz w:val="24"/>
          <w:szCs w:val="24"/>
          <w:lang w:val="it-IT"/>
        </w:rPr>
        <w:t>C</w:t>
      </w:r>
      <w:r w:rsidRPr="001720B0">
        <w:rPr>
          <w:rFonts w:eastAsia="BISans" w:cstheme="minorHAnsi"/>
          <w:bCs/>
          <w:sz w:val="24"/>
          <w:szCs w:val="24"/>
          <w:lang w:val="it-IT"/>
        </w:rPr>
        <w:t>o-</w:t>
      </w:r>
      <w:r>
        <w:rPr>
          <w:rFonts w:eastAsia="BISans" w:cstheme="minorHAnsi"/>
          <w:bCs/>
          <w:sz w:val="24"/>
          <w:szCs w:val="24"/>
          <w:lang w:val="it-IT"/>
        </w:rPr>
        <w:t xml:space="preserve">Presidente del Comitato Direttivo di </w:t>
      </w:r>
      <w:r w:rsidRPr="001720B0">
        <w:rPr>
          <w:rFonts w:eastAsia="BISans" w:cstheme="minorHAnsi"/>
          <w:bCs/>
          <w:sz w:val="24"/>
          <w:szCs w:val="24"/>
          <w:lang w:val="it-IT"/>
        </w:rPr>
        <w:t>GLORIA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TM</w:t>
      </w:r>
      <w:r w:rsidRPr="001720B0">
        <w:rPr>
          <w:rFonts w:eastAsia="BISans" w:cstheme="minorHAnsi"/>
          <w:bCs/>
          <w:sz w:val="24"/>
          <w:szCs w:val="24"/>
          <w:lang w:val="it-IT"/>
        </w:rPr>
        <w:t>-AF</w:t>
      </w:r>
      <w:r>
        <w:rPr>
          <w:rFonts w:eastAsia="BISans" w:cstheme="minorHAnsi"/>
          <w:bCs/>
          <w:sz w:val="24"/>
          <w:szCs w:val="24"/>
          <w:lang w:val="it-IT"/>
        </w:rPr>
        <w:t xml:space="preserve"> - “I</w:t>
      </w:r>
      <w:r w:rsidR="000F03AC">
        <w:rPr>
          <w:rFonts w:eastAsia="BISans" w:cstheme="minorHAnsi"/>
          <w:bCs/>
          <w:sz w:val="24"/>
          <w:szCs w:val="24"/>
          <w:lang w:val="it-IT"/>
        </w:rPr>
        <w:t xml:space="preserve"> risultati della seconda fase dello studio osservazionale</w:t>
      </w:r>
      <w:r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Pr="001720B0">
        <w:rPr>
          <w:rFonts w:eastAsia="BISans" w:cstheme="minorHAnsi"/>
          <w:bCs/>
          <w:sz w:val="24"/>
          <w:szCs w:val="24"/>
          <w:lang w:val="it-IT"/>
        </w:rPr>
        <w:t>GLORIA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TM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-AF </w:t>
      </w:r>
      <w:r>
        <w:rPr>
          <w:rFonts w:eastAsia="BISans" w:cstheme="minorHAnsi"/>
          <w:bCs/>
          <w:sz w:val="24"/>
          <w:szCs w:val="24"/>
          <w:lang w:val="it-IT"/>
        </w:rPr>
        <w:t>mettono in risalto la sicurezza e l’efficacia di dabigatran etexilato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, </w:t>
      </w:r>
      <w:r>
        <w:rPr>
          <w:rFonts w:eastAsia="BISans" w:cstheme="minorHAnsi"/>
          <w:bCs/>
          <w:sz w:val="24"/>
          <w:szCs w:val="24"/>
          <w:lang w:val="it-IT"/>
        </w:rPr>
        <w:t xml:space="preserve">che possono essere di grande aiuto per i medici che hanno in cura </w:t>
      </w:r>
      <w:r w:rsidRPr="001720B0">
        <w:rPr>
          <w:rFonts w:eastAsia="BISans" w:cstheme="minorHAnsi"/>
          <w:bCs/>
          <w:sz w:val="24"/>
          <w:szCs w:val="24"/>
          <w:lang w:val="it-IT"/>
        </w:rPr>
        <w:t>pa</w:t>
      </w:r>
      <w:r>
        <w:rPr>
          <w:rFonts w:eastAsia="BISans" w:cstheme="minorHAnsi"/>
          <w:bCs/>
          <w:sz w:val="24"/>
          <w:szCs w:val="24"/>
          <w:lang w:val="it-IT"/>
        </w:rPr>
        <w:t>z</w:t>
      </w:r>
      <w:r w:rsidRPr="001720B0">
        <w:rPr>
          <w:rFonts w:eastAsia="BISans" w:cstheme="minorHAnsi"/>
          <w:bCs/>
          <w:sz w:val="24"/>
          <w:szCs w:val="24"/>
          <w:lang w:val="it-IT"/>
        </w:rPr>
        <w:t>ient</w:t>
      </w:r>
      <w:r>
        <w:rPr>
          <w:rFonts w:eastAsia="BISans" w:cstheme="minorHAnsi"/>
          <w:bCs/>
          <w:sz w:val="24"/>
          <w:szCs w:val="24"/>
          <w:lang w:val="it-IT"/>
        </w:rPr>
        <w:t>i con Fibrillazione A</w:t>
      </w:r>
      <w:r w:rsidRPr="001720B0">
        <w:rPr>
          <w:rFonts w:eastAsia="BISans" w:cstheme="minorHAnsi"/>
          <w:bCs/>
          <w:sz w:val="24"/>
          <w:szCs w:val="24"/>
          <w:lang w:val="it-IT"/>
        </w:rPr>
        <w:t>trial</w:t>
      </w:r>
      <w:r>
        <w:rPr>
          <w:rFonts w:eastAsia="BISans" w:cstheme="minorHAnsi"/>
          <w:bCs/>
          <w:sz w:val="24"/>
          <w:szCs w:val="24"/>
          <w:lang w:val="it-IT"/>
        </w:rPr>
        <w:t>e</w:t>
      </w:r>
      <w:r w:rsidRPr="001720B0">
        <w:rPr>
          <w:rFonts w:eastAsia="BISans" w:cstheme="minorHAnsi"/>
          <w:bCs/>
          <w:sz w:val="24"/>
          <w:szCs w:val="24"/>
          <w:lang w:val="it-IT"/>
        </w:rPr>
        <w:t>”</w:t>
      </w:r>
      <w:r>
        <w:rPr>
          <w:rFonts w:eastAsia="BISans" w:cstheme="minorHAnsi"/>
          <w:bCs/>
          <w:sz w:val="24"/>
          <w:szCs w:val="24"/>
          <w:lang w:val="it-IT"/>
        </w:rPr>
        <w:t>.</w:t>
      </w: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</w:p>
    <w:p w:rsidR="002575EA" w:rsidRPr="001720B0" w:rsidRDefault="000F03AC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  <w:r>
        <w:rPr>
          <w:rFonts w:eastAsia="BISans" w:cstheme="minorHAnsi"/>
          <w:bCs/>
          <w:sz w:val="24"/>
          <w:szCs w:val="24"/>
          <w:lang w:val="it-IT"/>
        </w:rPr>
        <w:t>Questa nuova, ulteriore analisi del</w:t>
      </w:r>
      <w:r w:rsidR="002575EA"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GLORIA</w:t>
      </w:r>
      <w:r w:rsidR="002575EA" w:rsidRPr="001720B0">
        <w:rPr>
          <w:rFonts w:cstheme="minorHAnsi"/>
          <w:sz w:val="24"/>
          <w:szCs w:val="24"/>
          <w:vertAlign w:val="superscript"/>
          <w:lang w:val="it-IT" w:eastAsia="de-DE"/>
        </w:rPr>
        <w:t>TM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-AF</w:t>
      </w:r>
      <w:r w:rsidR="002575EA"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2</w:t>
      </w:r>
      <w:r w:rsidR="002575EA"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h</w:t>
      </w:r>
      <w:r w:rsidR="002575EA">
        <w:rPr>
          <w:rFonts w:eastAsia="BISans" w:cstheme="minorHAnsi"/>
          <w:bCs/>
          <w:sz w:val="24"/>
          <w:szCs w:val="24"/>
          <w:lang w:val="it-IT"/>
        </w:rPr>
        <w:t xml:space="preserve">a valutato la sicurezza della terapia 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in</w:t>
      </w:r>
      <w:r w:rsidR="002575EA">
        <w:rPr>
          <w:rFonts w:eastAsia="BISans" w:cstheme="minorHAnsi"/>
          <w:bCs/>
          <w:sz w:val="24"/>
          <w:szCs w:val="24"/>
          <w:lang w:val="it-IT"/>
        </w:rPr>
        <w:t xml:space="preserve">interrotta con dabigatran etexilato in pazienti sottoposti a intervento 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cardiovasc</w:t>
      </w:r>
      <w:r w:rsidR="002575EA">
        <w:rPr>
          <w:rFonts w:eastAsia="BISans" w:cstheme="minorHAnsi"/>
          <w:bCs/>
          <w:sz w:val="24"/>
          <w:szCs w:val="24"/>
          <w:lang w:val="it-IT"/>
        </w:rPr>
        <w:t>o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lar</w:t>
      </w:r>
      <w:r w:rsidR="002575EA">
        <w:rPr>
          <w:rFonts w:eastAsia="BISans" w:cstheme="minorHAnsi"/>
          <w:bCs/>
          <w:sz w:val="24"/>
          <w:szCs w:val="24"/>
          <w:lang w:val="it-IT"/>
        </w:rPr>
        <w:t>e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 xml:space="preserve"> (CV). </w:t>
      </w:r>
      <w:r w:rsidR="002575EA">
        <w:rPr>
          <w:rFonts w:eastAsia="BISans" w:cstheme="minorHAnsi"/>
          <w:bCs/>
          <w:sz w:val="24"/>
          <w:szCs w:val="24"/>
          <w:lang w:val="it-IT"/>
        </w:rPr>
        <w:t>Le percentuali di emorragia maggiore e di ictus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/</w:t>
      </w:r>
      <w:r w:rsidR="002575EA">
        <w:rPr>
          <w:rFonts w:eastAsia="BISans" w:cstheme="minorHAnsi"/>
          <w:bCs/>
          <w:sz w:val="24"/>
          <w:szCs w:val="24"/>
          <w:lang w:val="it-IT"/>
        </w:rPr>
        <w:t>embolia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 xml:space="preserve"> s</w:t>
      </w:r>
      <w:r w:rsidR="002575EA">
        <w:rPr>
          <w:rFonts w:eastAsia="BISans" w:cstheme="minorHAnsi"/>
          <w:bCs/>
          <w:sz w:val="24"/>
          <w:szCs w:val="24"/>
          <w:lang w:val="it-IT"/>
        </w:rPr>
        <w:t>i</w:t>
      </w:r>
      <w:r w:rsidR="002575EA" w:rsidRPr="001720B0">
        <w:rPr>
          <w:rFonts w:eastAsia="BISans" w:cstheme="minorHAnsi"/>
          <w:bCs/>
          <w:sz w:val="24"/>
          <w:szCs w:val="24"/>
          <w:lang w:val="it-IT"/>
        </w:rPr>
        <w:t>stemic</w:t>
      </w:r>
      <w:r w:rsidR="002575EA">
        <w:rPr>
          <w:rFonts w:eastAsia="BISans" w:cstheme="minorHAnsi"/>
          <w:bCs/>
          <w:sz w:val="24"/>
          <w:szCs w:val="24"/>
          <w:lang w:val="it-IT"/>
        </w:rPr>
        <w:t xml:space="preserve">a sono state estremamente basse, specificatamente si sono verificati un caso di emorragia maggiore, e </w:t>
      </w:r>
      <w:r>
        <w:rPr>
          <w:rFonts w:eastAsia="BISans" w:cstheme="minorHAnsi"/>
          <w:bCs/>
          <w:sz w:val="24"/>
          <w:szCs w:val="24"/>
          <w:lang w:val="it-IT"/>
        </w:rPr>
        <w:t xml:space="preserve">un caso di embolia sistemica </w:t>
      </w:r>
      <w:r w:rsidRPr="00560B39">
        <w:rPr>
          <w:rFonts w:eastAsia="BISans" w:cstheme="minorHAnsi"/>
          <w:bCs/>
          <w:sz w:val="24"/>
          <w:szCs w:val="24"/>
          <w:lang w:val="it-IT"/>
        </w:rPr>
        <w:t xml:space="preserve">durante i </w:t>
      </w:r>
      <w:r w:rsidR="002575EA" w:rsidRPr="00560B39">
        <w:rPr>
          <w:rFonts w:eastAsia="BISans" w:cstheme="minorHAnsi"/>
          <w:bCs/>
          <w:sz w:val="24"/>
          <w:szCs w:val="24"/>
          <w:lang w:val="it-IT"/>
        </w:rPr>
        <w:t xml:space="preserve">412 </w:t>
      </w:r>
      <w:r w:rsidRPr="00560B39">
        <w:rPr>
          <w:rFonts w:eastAsia="BISans" w:cstheme="minorHAnsi"/>
          <w:bCs/>
          <w:sz w:val="24"/>
          <w:szCs w:val="24"/>
          <w:lang w:val="it-IT"/>
        </w:rPr>
        <w:t xml:space="preserve">interventi </w:t>
      </w:r>
      <w:r w:rsidR="001C6A2F" w:rsidRPr="00560B39">
        <w:rPr>
          <w:rFonts w:eastAsia="BISans" w:cstheme="minorHAnsi"/>
          <w:bCs/>
          <w:sz w:val="24"/>
          <w:szCs w:val="24"/>
          <w:lang w:val="it-IT"/>
        </w:rPr>
        <w:t>condotti senza interrompere la te</w:t>
      </w:r>
      <w:r w:rsidR="002575EA" w:rsidRPr="00560B39">
        <w:rPr>
          <w:rFonts w:eastAsia="BISans" w:cstheme="minorHAnsi"/>
          <w:bCs/>
          <w:sz w:val="24"/>
          <w:szCs w:val="24"/>
          <w:lang w:val="it-IT"/>
        </w:rPr>
        <w:t xml:space="preserve">rapia </w:t>
      </w:r>
      <w:r w:rsidR="001C6A2F" w:rsidRPr="00560B39">
        <w:rPr>
          <w:rFonts w:eastAsia="BISans" w:cstheme="minorHAnsi"/>
          <w:bCs/>
          <w:sz w:val="24"/>
          <w:szCs w:val="24"/>
          <w:lang w:val="it-IT"/>
        </w:rPr>
        <w:t>anticoagulante orale con dabigatran etexilato</w:t>
      </w:r>
      <w:r w:rsidR="002575EA" w:rsidRPr="00560B39">
        <w:rPr>
          <w:rFonts w:eastAsia="BISans" w:cstheme="minorHAnsi"/>
          <w:bCs/>
          <w:sz w:val="24"/>
          <w:szCs w:val="24"/>
          <w:lang w:val="it-IT"/>
        </w:rPr>
        <w:t>.</w:t>
      </w: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</w:p>
    <w:p w:rsidR="002575EA" w:rsidRPr="00560B39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  <w:r w:rsidRPr="001720B0">
        <w:rPr>
          <w:rFonts w:eastAsia="BISans" w:cstheme="minorHAnsi"/>
          <w:bCs/>
          <w:sz w:val="24"/>
          <w:szCs w:val="24"/>
          <w:lang w:val="it-IT"/>
        </w:rPr>
        <w:t>“</w:t>
      </w:r>
      <w:r>
        <w:rPr>
          <w:rFonts w:eastAsia="BISans" w:cstheme="minorHAnsi"/>
          <w:bCs/>
          <w:sz w:val="24"/>
          <w:szCs w:val="24"/>
          <w:lang w:val="it-IT"/>
        </w:rPr>
        <w:t xml:space="preserve">Dai primi </w:t>
      </w:r>
      <w:r w:rsidRPr="00053504">
        <w:rPr>
          <w:rFonts w:eastAsia="BISans" w:cstheme="minorHAnsi"/>
          <w:bCs/>
          <w:i/>
          <w:sz w:val="24"/>
          <w:szCs w:val="24"/>
          <w:lang w:val="it-IT"/>
        </w:rPr>
        <w:t>trial</w:t>
      </w:r>
      <w:r>
        <w:rPr>
          <w:rFonts w:eastAsia="BISans" w:cstheme="minorHAnsi"/>
          <w:bCs/>
          <w:sz w:val="24"/>
          <w:szCs w:val="24"/>
          <w:lang w:val="it-IT"/>
        </w:rPr>
        <w:t xml:space="preserve"> clinici come 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RE-LY® </w:t>
      </w:r>
      <w:r>
        <w:rPr>
          <w:rFonts w:eastAsia="BISans" w:cstheme="minorHAnsi"/>
          <w:bCs/>
          <w:sz w:val="24"/>
          <w:szCs w:val="24"/>
          <w:lang w:val="it-IT"/>
        </w:rPr>
        <w:t>e RELY-ABLE®, ai numerosi studi sull’impiego nella vita reale, sia sostenuti da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Boehringer Ingelheim</w:t>
      </w:r>
      <w:r>
        <w:rPr>
          <w:rFonts w:eastAsia="BISans" w:cstheme="minorHAnsi"/>
          <w:bCs/>
          <w:sz w:val="24"/>
          <w:szCs w:val="24"/>
          <w:lang w:val="it-IT"/>
        </w:rPr>
        <w:t>, sia indipendenti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, </w:t>
      </w:r>
      <w:r w:rsidR="001C6A2F" w:rsidRPr="00560B39">
        <w:rPr>
          <w:rFonts w:eastAsia="BISans" w:cstheme="minorHAnsi"/>
          <w:bCs/>
          <w:sz w:val="24"/>
          <w:szCs w:val="24"/>
          <w:lang w:val="it-IT"/>
        </w:rPr>
        <w:t>emerge costantemente un</w:t>
      </w:r>
      <w:r w:rsidRPr="001C6A2F">
        <w:rPr>
          <w:rFonts w:eastAsia="BISans" w:cstheme="minorHAnsi"/>
          <w:bCs/>
          <w:color w:val="FF0000"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 xml:space="preserve">profilo di sicurezza di dabigatran etexilato </w:t>
      </w:r>
      <w:r w:rsidR="001C6A2F">
        <w:rPr>
          <w:rFonts w:eastAsia="BISans" w:cstheme="minorHAnsi"/>
          <w:bCs/>
          <w:sz w:val="24"/>
          <w:szCs w:val="24"/>
          <w:lang w:val="it-IT"/>
        </w:rPr>
        <w:t xml:space="preserve">consistente e pienamente </w:t>
      </w:r>
      <w:r>
        <w:rPr>
          <w:rFonts w:eastAsia="BISans" w:cstheme="minorHAnsi"/>
          <w:bCs/>
          <w:sz w:val="24"/>
          <w:szCs w:val="24"/>
          <w:lang w:val="it-IT"/>
        </w:rPr>
        <w:t>favorevole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” </w:t>
      </w:r>
      <w:r>
        <w:rPr>
          <w:rFonts w:eastAsia="BISans" w:cstheme="minorHAnsi"/>
          <w:bCs/>
          <w:sz w:val="24"/>
          <w:szCs w:val="24"/>
          <w:lang w:val="it-IT"/>
        </w:rPr>
        <w:t xml:space="preserve">- ha commentato il </w:t>
      </w:r>
      <w:r w:rsidRPr="001720B0">
        <w:rPr>
          <w:rFonts w:cstheme="minorHAnsi"/>
          <w:sz w:val="24"/>
          <w:szCs w:val="24"/>
          <w:lang w:val="it-IT"/>
        </w:rPr>
        <w:t>Professor Jörg Kreuzer, Vice President</w:t>
      </w:r>
      <w:r>
        <w:rPr>
          <w:rFonts w:cstheme="minorHAnsi"/>
          <w:sz w:val="24"/>
          <w:szCs w:val="24"/>
          <w:lang w:val="it-IT"/>
        </w:rPr>
        <w:t>e</w:t>
      </w:r>
      <w:r w:rsidRPr="001720B0">
        <w:rPr>
          <w:rFonts w:cstheme="minorHAnsi"/>
          <w:sz w:val="24"/>
          <w:szCs w:val="24"/>
          <w:lang w:val="it-IT"/>
        </w:rPr>
        <w:t xml:space="preserve"> Medicin</w:t>
      </w:r>
      <w:r>
        <w:rPr>
          <w:rFonts w:cstheme="minorHAnsi"/>
          <w:sz w:val="24"/>
          <w:szCs w:val="24"/>
          <w:lang w:val="it-IT"/>
        </w:rPr>
        <w:t>e dell’</w:t>
      </w:r>
      <w:r w:rsidRPr="001720B0">
        <w:rPr>
          <w:rFonts w:cstheme="minorHAnsi"/>
          <w:sz w:val="24"/>
          <w:szCs w:val="24"/>
          <w:lang w:val="it-IT"/>
        </w:rPr>
        <w:t>Area Terapeutic</w:t>
      </w:r>
      <w:r>
        <w:rPr>
          <w:rFonts w:cstheme="minorHAnsi"/>
          <w:sz w:val="24"/>
          <w:szCs w:val="24"/>
          <w:lang w:val="it-IT"/>
        </w:rPr>
        <w:t>a</w:t>
      </w:r>
      <w:r w:rsidRPr="001720B0">
        <w:rPr>
          <w:rFonts w:cstheme="minorHAnsi"/>
          <w:sz w:val="24"/>
          <w:szCs w:val="24"/>
          <w:lang w:val="it-IT"/>
        </w:rPr>
        <w:t xml:space="preserve"> Cardiovasc</w:t>
      </w:r>
      <w:r>
        <w:rPr>
          <w:rFonts w:cstheme="minorHAnsi"/>
          <w:sz w:val="24"/>
          <w:szCs w:val="24"/>
          <w:lang w:val="it-IT"/>
        </w:rPr>
        <w:t>o</w:t>
      </w:r>
      <w:r w:rsidRPr="001720B0">
        <w:rPr>
          <w:rFonts w:cstheme="minorHAnsi"/>
          <w:sz w:val="24"/>
          <w:szCs w:val="24"/>
          <w:lang w:val="it-IT"/>
        </w:rPr>
        <w:t>lar</w:t>
      </w:r>
      <w:r>
        <w:rPr>
          <w:rFonts w:cstheme="minorHAnsi"/>
          <w:sz w:val="24"/>
          <w:szCs w:val="24"/>
          <w:lang w:val="it-IT"/>
        </w:rPr>
        <w:t>e di</w:t>
      </w:r>
      <w:r w:rsidRPr="001720B0">
        <w:rPr>
          <w:rFonts w:cstheme="minorHAnsi"/>
          <w:sz w:val="24"/>
          <w:szCs w:val="24"/>
          <w:lang w:val="it-IT"/>
        </w:rPr>
        <w:t xml:space="preserve"> Boehringer Ingelheim</w:t>
      </w:r>
      <w:r>
        <w:rPr>
          <w:rFonts w:cstheme="minorHAnsi"/>
          <w:sz w:val="24"/>
          <w:szCs w:val="24"/>
          <w:lang w:val="it-IT"/>
        </w:rPr>
        <w:t xml:space="preserve"> -</w:t>
      </w:r>
      <w:r w:rsidRPr="001720B0">
        <w:rPr>
          <w:rFonts w:cstheme="minorHAnsi"/>
          <w:sz w:val="24"/>
          <w:szCs w:val="24"/>
          <w:lang w:val="it-IT"/>
        </w:rPr>
        <w:t xml:space="preserve"> “</w:t>
      </w:r>
      <w:r>
        <w:rPr>
          <w:rFonts w:cstheme="minorHAnsi"/>
          <w:sz w:val="24"/>
          <w:szCs w:val="24"/>
          <w:lang w:val="it-IT"/>
        </w:rPr>
        <w:t>Anche r</w:t>
      </w:r>
      <w:r w:rsidRPr="001720B0">
        <w:rPr>
          <w:rFonts w:eastAsia="BISans" w:cstheme="minorHAnsi"/>
          <w:bCs/>
          <w:sz w:val="24"/>
          <w:szCs w:val="24"/>
          <w:lang w:val="it-IT"/>
        </w:rPr>
        <w:t>ecent</w:t>
      </w:r>
      <w:r>
        <w:rPr>
          <w:rFonts w:eastAsia="BISans" w:cstheme="minorHAnsi"/>
          <w:bCs/>
          <w:sz w:val="24"/>
          <w:szCs w:val="24"/>
          <w:lang w:val="it-IT"/>
        </w:rPr>
        <w:t xml:space="preserve">i studi clinici in contesti specifici come </w:t>
      </w:r>
      <w:r w:rsidRPr="001720B0">
        <w:rPr>
          <w:rFonts w:eastAsia="BISans" w:cstheme="minorHAnsi"/>
          <w:bCs/>
          <w:sz w:val="24"/>
          <w:szCs w:val="24"/>
          <w:lang w:val="it-IT"/>
        </w:rPr>
        <w:t>RE-CIRCUIT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TM3</w:t>
      </w:r>
      <w:r w:rsidR="001C6A2F">
        <w:rPr>
          <w:rFonts w:eastAsia="BISans" w:cstheme="minorHAnsi"/>
          <w:bCs/>
          <w:sz w:val="24"/>
          <w:szCs w:val="24"/>
          <w:lang w:val="it-IT"/>
        </w:rPr>
        <w:t>, in pazienti</w:t>
      </w:r>
      <w:r>
        <w:rPr>
          <w:rFonts w:eastAsia="BISans" w:cstheme="minorHAnsi"/>
          <w:bCs/>
          <w:sz w:val="24"/>
          <w:szCs w:val="24"/>
          <w:lang w:val="it-IT"/>
        </w:rPr>
        <w:t xml:space="preserve"> con Fibrillazione Atriale</w:t>
      </w:r>
      <w:r w:rsidR="001C6A2F">
        <w:rPr>
          <w:rFonts w:eastAsia="BISans" w:cstheme="minorHAnsi"/>
          <w:bCs/>
          <w:sz w:val="24"/>
          <w:szCs w:val="24"/>
          <w:lang w:val="it-IT"/>
        </w:rPr>
        <w:t xml:space="preserve"> sottoposti ad ablazione senza interrompere la terapia </w:t>
      </w:r>
      <w:r w:rsidR="001C6A2F">
        <w:rPr>
          <w:rFonts w:eastAsia="BISans" w:cstheme="minorHAnsi"/>
          <w:bCs/>
          <w:sz w:val="24"/>
          <w:szCs w:val="24"/>
          <w:lang w:val="it-IT"/>
        </w:rPr>
        <w:lastRenderedPageBreak/>
        <w:t>anticoagulante con dabigatran etexilato</w:t>
      </w:r>
      <w:r>
        <w:rPr>
          <w:rFonts w:eastAsia="BISans" w:cstheme="minorHAnsi"/>
          <w:bCs/>
          <w:sz w:val="24"/>
          <w:szCs w:val="24"/>
          <w:lang w:val="it-IT"/>
        </w:rPr>
        <w:t>,</w:t>
      </w:r>
      <w:r w:rsidRPr="002477C3">
        <w:rPr>
          <w:rFonts w:eastAsia="BISans" w:cstheme="minorHAnsi"/>
          <w:bCs/>
          <w:sz w:val="24"/>
          <w:szCs w:val="24"/>
          <w:lang w:val="it-IT"/>
        </w:rPr>
        <w:t xml:space="preserve"> </w:t>
      </w:r>
      <w:r>
        <w:rPr>
          <w:rFonts w:eastAsia="BISans" w:cstheme="minorHAnsi"/>
          <w:bCs/>
          <w:sz w:val="24"/>
          <w:szCs w:val="24"/>
          <w:lang w:val="it-IT"/>
        </w:rPr>
        <w:t xml:space="preserve">hanno ancora una volta </w:t>
      </w:r>
      <w:r w:rsidRPr="001720B0">
        <w:rPr>
          <w:rFonts w:eastAsia="BISans" w:cstheme="minorHAnsi"/>
          <w:bCs/>
          <w:sz w:val="24"/>
          <w:szCs w:val="24"/>
          <w:lang w:val="it-IT"/>
        </w:rPr>
        <w:t>d</w:t>
      </w:r>
      <w:r>
        <w:rPr>
          <w:rFonts w:eastAsia="BISans" w:cstheme="minorHAnsi"/>
          <w:bCs/>
          <w:sz w:val="24"/>
          <w:szCs w:val="24"/>
          <w:lang w:val="it-IT"/>
        </w:rPr>
        <w:t>i</w:t>
      </w:r>
      <w:r w:rsidRPr="001720B0">
        <w:rPr>
          <w:rFonts w:eastAsia="BISans" w:cstheme="minorHAnsi"/>
          <w:bCs/>
          <w:sz w:val="24"/>
          <w:szCs w:val="24"/>
          <w:lang w:val="it-IT"/>
        </w:rPr>
        <w:t>mostrat</w:t>
      </w:r>
      <w:r>
        <w:rPr>
          <w:rFonts w:eastAsia="BISans" w:cstheme="minorHAnsi"/>
          <w:bCs/>
          <w:sz w:val="24"/>
          <w:szCs w:val="24"/>
          <w:lang w:val="it-IT"/>
        </w:rPr>
        <w:t>o la superior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e </w:t>
      </w:r>
      <w:r>
        <w:rPr>
          <w:rFonts w:eastAsia="BISans" w:cstheme="minorHAnsi"/>
          <w:bCs/>
          <w:sz w:val="24"/>
          <w:szCs w:val="24"/>
          <w:lang w:val="it-IT"/>
        </w:rPr>
        <w:t xml:space="preserve">sicurezza di dabigatran etexilato rispetto allo standard terapeutico. </w:t>
      </w:r>
      <w:r w:rsidRPr="00560B39">
        <w:rPr>
          <w:rFonts w:eastAsia="BISans" w:cstheme="minorHAnsi"/>
          <w:bCs/>
          <w:sz w:val="24"/>
          <w:szCs w:val="24"/>
          <w:lang w:val="it-IT"/>
        </w:rPr>
        <w:t xml:space="preserve">I risultati prospettici di lungo termine </w:t>
      </w:r>
      <w:r w:rsidR="001C6A2F" w:rsidRPr="00560B39">
        <w:rPr>
          <w:rFonts w:eastAsia="BISans" w:cstheme="minorHAnsi"/>
          <w:bCs/>
          <w:sz w:val="24"/>
          <w:szCs w:val="24"/>
          <w:lang w:val="it-IT"/>
        </w:rPr>
        <w:t xml:space="preserve">del </w:t>
      </w:r>
      <w:r w:rsidRPr="00560B39">
        <w:rPr>
          <w:rFonts w:eastAsia="BISans" w:cstheme="minorHAnsi"/>
          <w:bCs/>
          <w:sz w:val="24"/>
          <w:szCs w:val="24"/>
          <w:lang w:val="it-IT"/>
        </w:rPr>
        <w:t>GLORIATM-AF aggiungono un ulteriore</w:t>
      </w:r>
      <w:r w:rsidR="001C6A2F" w:rsidRPr="00560B39">
        <w:rPr>
          <w:rFonts w:eastAsia="BISans" w:cstheme="minorHAnsi"/>
          <w:bCs/>
          <w:sz w:val="24"/>
          <w:szCs w:val="24"/>
          <w:lang w:val="it-IT"/>
        </w:rPr>
        <w:t xml:space="preserve"> tassello che completa il profilo di sicurezza di dabigatran etexilato</w:t>
      </w:r>
      <w:r w:rsidR="00EB17C0" w:rsidRPr="00560B39">
        <w:rPr>
          <w:rFonts w:eastAsia="BISans" w:cstheme="minorHAnsi"/>
          <w:bCs/>
          <w:sz w:val="24"/>
          <w:szCs w:val="24"/>
          <w:lang w:val="it-IT"/>
        </w:rPr>
        <w:t>,</w:t>
      </w:r>
      <w:r w:rsidRPr="00560B39">
        <w:rPr>
          <w:rFonts w:eastAsia="BISans" w:cstheme="minorHAnsi"/>
          <w:bCs/>
          <w:sz w:val="24"/>
          <w:szCs w:val="24"/>
          <w:lang w:val="it-IT"/>
        </w:rPr>
        <w:t xml:space="preserve"> con forti evidenze ottenute nell’impiego </w:t>
      </w:r>
      <w:r w:rsidRPr="00560B39">
        <w:rPr>
          <w:rFonts w:eastAsia="BISans" w:cstheme="minorHAnsi"/>
          <w:bCs/>
          <w:i/>
          <w:sz w:val="24"/>
          <w:szCs w:val="24"/>
          <w:lang w:val="it-IT"/>
        </w:rPr>
        <w:t>real life</w:t>
      </w:r>
      <w:r w:rsidRPr="00560B39">
        <w:rPr>
          <w:rFonts w:eastAsia="BISans" w:cstheme="minorHAnsi"/>
          <w:bCs/>
          <w:sz w:val="24"/>
          <w:szCs w:val="24"/>
          <w:lang w:val="it-IT"/>
        </w:rPr>
        <w:t>”.</w:t>
      </w: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lang w:val="it-IT"/>
        </w:rPr>
      </w:pP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jc w:val="both"/>
        <w:rPr>
          <w:rFonts w:eastAsia="BISans" w:cstheme="minorHAnsi"/>
          <w:bCs/>
          <w:sz w:val="24"/>
          <w:szCs w:val="24"/>
          <w:vertAlign w:val="superscript"/>
          <w:lang w:val="it-IT"/>
        </w:rPr>
      </w:pPr>
      <w:r w:rsidRPr="002477C3">
        <w:rPr>
          <w:rFonts w:eastAsia="BISans" w:cstheme="minorHAnsi"/>
          <w:bCs/>
          <w:sz w:val="24"/>
          <w:szCs w:val="24"/>
          <w:lang w:val="it-IT"/>
        </w:rPr>
        <w:t xml:space="preserve">La </w:t>
      </w:r>
      <w:r>
        <w:rPr>
          <w:rFonts w:eastAsia="BISans" w:cstheme="minorHAnsi"/>
          <w:bCs/>
          <w:sz w:val="24"/>
          <w:szCs w:val="24"/>
          <w:lang w:val="it-IT"/>
        </w:rPr>
        <w:t>F</w:t>
      </w:r>
      <w:r w:rsidRPr="002477C3">
        <w:rPr>
          <w:rFonts w:eastAsia="BISans" w:cstheme="minorHAnsi"/>
          <w:bCs/>
          <w:sz w:val="24"/>
          <w:szCs w:val="24"/>
          <w:lang w:val="it-IT"/>
        </w:rPr>
        <w:t xml:space="preserve">ibrillazione </w:t>
      </w:r>
      <w:r>
        <w:rPr>
          <w:rFonts w:eastAsia="BISans" w:cstheme="minorHAnsi"/>
          <w:bCs/>
          <w:sz w:val="24"/>
          <w:szCs w:val="24"/>
          <w:lang w:val="it-IT"/>
        </w:rPr>
        <w:t>A</w:t>
      </w:r>
      <w:r w:rsidRPr="002477C3">
        <w:rPr>
          <w:rFonts w:eastAsia="BISans" w:cstheme="minorHAnsi"/>
          <w:bCs/>
          <w:sz w:val="24"/>
          <w:szCs w:val="24"/>
          <w:lang w:val="it-IT"/>
        </w:rPr>
        <w:t>triale è l’aritmia cardiaca più diffusa al mond</w:t>
      </w:r>
      <w:r>
        <w:rPr>
          <w:rFonts w:eastAsia="BISans" w:cstheme="minorHAnsi"/>
          <w:bCs/>
          <w:sz w:val="24"/>
          <w:szCs w:val="24"/>
          <w:lang w:val="it-IT"/>
        </w:rPr>
        <w:t xml:space="preserve">o, e si prevede che aumenterà </w:t>
      </w:r>
      <w:r w:rsidRPr="002477C3">
        <w:rPr>
          <w:rFonts w:eastAsia="BISans" w:cstheme="minorHAnsi"/>
          <w:bCs/>
          <w:sz w:val="24"/>
          <w:szCs w:val="24"/>
          <w:lang w:val="it-IT"/>
        </w:rPr>
        <w:t xml:space="preserve"> negli anni a venire</w:t>
      </w:r>
      <w:r w:rsidRPr="001720B0">
        <w:rPr>
          <w:rFonts w:eastAsia="BISans" w:cstheme="minorHAnsi"/>
          <w:bCs/>
          <w:sz w:val="24"/>
          <w:szCs w:val="24"/>
          <w:lang w:val="it-IT"/>
        </w:rPr>
        <w:t>.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4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Pr="002477C3">
        <w:rPr>
          <w:rFonts w:eastAsia="BISans" w:cstheme="minorHAnsi"/>
          <w:bCs/>
          <w:sz w:val="24"/>
          <w:szCs w:val="24"/>
          <w:lang w:val="it-IT"/>
        </w:rPr>
        <w:t xml:space="preserve">I soggetti con diagnosi di </w:t>
      </w:r>
      <w:r>
        <w:rPr>
          <w:rFonts w:eastAsia="BISans" w:cstheme="minorHAnsi"/>
          <w:bCs/>
          <w:sz w:val="24"/>
          <w:szCs w:val="24"/>
          <w:lang w:val="it-IT"/>
        </w:rPr>
        <w:t>F</w:t>
      </w:r>
      <w:r w:rsidRPr="002477C3">
        <w:rPr>
          <w:rFonts w:eastAsia="BISans" w:cstheme="minorHAnsi"/>
          <w:bCs/>
          <w:sz w:val="24"/>
          <w:szCs w:val="24"/>
          <w:lang w:val="it-IT"/>
        </w:rPr>
        <w:t xml:space="preserve">ibrillazione </w:t>
      </w:r>
      <w:r>
        <w:rPr>
          <w:rFonts w:eastAsia="BISans" w:cstheme="minorHAnsi"/>
          <w:bCs/>
          <w:sz w:val="24"/>
          <w:szCs w:val="24"/>
          <w:lang w:val="it-IT"/>
        </w:rPr>
        <w:t>A</w:t>
      </w:r>
      <w:r w:rsidRPr="002477C3">
        <w:rPr>
          <w:rFonts w:eastAsia="BISans" w:cstheme="minorHAnsi"/>
          <w:bCs/>
          <w:sz w:val="24"/>
          <w:szCs w:val="24"/>
          <w:lang w:val="it-IT"/>
        </w:rPr>
        <w:t>triale hanno complessivamente un rischio cinque volte superiore di sviluppare ictus</w:t>
      </w:r>
      <w:r w:rsidRPr="001720B0">
        <w:rPr>
          <w:rFonts w:eastAsia="BISans" w:cstheme="minorHAnsi"/>
          <w:bCs/>
          <w:sz w:val="24"/>
          <w:szCs w:val="24"/>
          <w:lang w:val="it-IT"/>
        </w:rPr>
        <w:t>,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5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 </w:t>
      </w:r>
      <w:r w:rsidRPr="00B036B0">
        <w:rPr>
          <w:rFonts w:eastAsia="BISans" w:cstheme="minorHAnsi"/>
          <w:bCs/>
          <w:sz w:val="24"/>
          <w:szCs w:val="24"/>
          <w:lang w:val="it-IT"/>
        </w:rPr>
        <w:t>un evento patologico che si verifica a seguito dell’occlusione di</w:t>
      </w:r>
      <w:r w:rsidR="00053504">
        <w:rPr>
          <w:rFonts w:eastAsia="BISans" w:cstheme="minorHAnsi"/>
          <w:bCs/>
          <w:sz w:val="24"/>
          <w:szCs w:val="24"/>
          <w:lang w:val="it-IT"/>
        </w:rPr>
        <w:t xml:space="preserve"> un</w:t>
      </w:r>
      <w:r w:rsidRPr="00B036B0">
        <w:rPr>
          <w:rFonts w:eastAsia="BISans" w:cstheme="minorHAnsi"/>
          <w:bCs/>
          <w:sz w:val="24"/>
          <w:szCs w:val="24"/>
          <w:lang w:val="it-IT"/>
        </w:rPr>
        <w:t xml:space="preserve"> vaso cerebrale da parte di un trombo</w:t>
      </w:r>
      <w:r w:rsidRPr="001720B0">
        <w:rPr>
          <w:rFonts w:eastAsia="BISans" w:cstheme="minorHAnsi"/>
          <w:bCs/>
          <w:sz w:val="24"/>
          <w:szCs w:val="24"/>
          <w:lang w:val="it-IT"/>
        </w:rPr>
        <w:t xml:space="preserve">. </w:t>
      </w:r>
      <w:r w:rsidRPr="00B036B0">
        <w:rPr>
          <w:rFonts w:eastAsia="BISans" w:cstheme="minorHAnsi"/>
          <w:bCs/>
          <w:sz w:val="24"/>
          <w:szCs w:val="24"/>
          <w:lang w:val="it-IT"/>
        </w:rPr>
        <w:t xml:space="preserve">Ogni anno sono tre milioni le persone che subiscono un ictus correlato a </w:t>
      </w:r>
      <w:r>
        <w:rPr>
          <w:rFonts w:eastAsia="BISans" w:cstheme="minorHAnsi"/>
          <w:bCs/>
          <w:sz w:val="24"/>
          <w:szCs w:val="24"/>
          <w:lang w:val="it-IT"/>
        </w:rPr>
        <w:t>F</w:t>
      </w:r>
      <w:r w:rsidRPr="00B036B0">
        <w:rPr>
          <w:rFonts w:eastAsia="BISans" w:cstheme="minorHAnsi"/>
          <w:bCs/>
          <w:sz w:val="24"/>
          <w:szCs w:val="24"/>
          <w:lang w:val="it-IT"/>
        </w:rPr>
        <w:t xml:space="preserve">ibrillazione </w:t>
      </w:r>
      <w:r>
        <w:rPr>
          <w:rFonts w:eastAsia="BISans" w:cstheme="minorHAnsi"/>
          <w:bCs/>
          <w:sz w:val="24"/>
          <w:szCs w:val="24"/>
          <w:lang w:val="it-IT"/>
        </w:rPr>
        <w:t>A</w:t>
      </w:r>
      <w:r w:rsidRPr="00B036B0">
        <w:rPr>
          <w:rFonts w:eastAsia="BISans" w:cstheme="minorHAnsi"/>
          <w:bCs/>
          <w:sz w:val="24"/>
          <w:szCs w:val="24"/>
          <w:lang w:val="it-IT"/>
        </w:rPr>
        <w:t>tria</w:t>
      </w:r>
      <w:r>
        <w:rPr>
          <w:rFonts w:eastAsia="BISans" w:cstheme="minorHAnsi"/>
          <w:bCs/>
          <w:sz w:val="24"/>
          <w:szCs w:val="24"/>
          <w:lang w:val="it-IT"/>
        </w:rPr>
        <w:t>le</w:t>
      </w:r>
      <w:r w:rsidRPr="001720B0">
        <w:rPr>
          <w:rFonts w:eastAsia="BISans" w:cstheme="minorHAnsi"/>
          <w:bCs/>
          <w:sz w:val="24"/>
          <w:szCs w:val="24"/>
          <w:lang w:val="it-IT"/>
        </w:rPr>
        <w:t>.</w:t>
      </w:r>
      <w:r w:rsidRPr="001720B0">
        <w:rPr>
          <w:rFonts w:eastAsia="BISans" w:cstheme="minorHAnsi"/>
          <w:bCs/>
          <w:sz w:val="24"/>
          <w:szCs w:val="24"/>
          <w:vertAlign w:val="superscript"/>
          <w:lang w:val="it-IT"/>
        </w:rPr>
        <w:t>6,7</w:t>
      </w:r>
    </w:p>
    <w:p w:rsidR="002575EA" w:rsidRPr="001720B0" w:rsidRDefault="002575EA" w:rsidP="002575EA">
      <w:pPr>
        <w:autoSpaceDE w:val="0"/>
        <w:autoSpaceDN w:val="0"/>
        <w:adjustRightInd w:val="0"/>
        <w:spacing w:line="312" w:lineRule="auto"/>
        <w:contextualSpacing/>
        <w:rPr>
          <w:rFonts w:eastAsia="BISans" w:cstheme="minorHAnsi"/>
          <w:bCs/>
          <w:sz w:val="24"/>
          <w:szCs w:val="24"/>
          <w:lang w:val="it-IT"/>
        </w:rPr>
      </w:pPr>
    </w:p>
    <w:p w:rsidR="002575EA" w:rsidRPr="001720B0" w:rsidRDefault="002575EA" w:rsidP="002575EA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HAnsi"/>
          <w:b/>
          <w:bCs/>
          <w:lang w:val="it-IT" w:eastAsia="en-GB"/>
        </w:rPr>
      </w:pPr>
      <w:r w:rsidRPr="001720B0">
        <w:rPr>
          <w:rFonts w:asciiTheme="minorHAnsi" w:eastAsiaTheme="minorHAnsi" w:hAnsiTheme="minorHAnsi" w:cstheme="minorHAnsi"/>
          <w:b/>
          <w:bCs/>
          <w:lang w:val="it-IT" w:eastAsia="en-GB"/>
        </w:rPr>
        <w:t xml:space="preserve">GLORIA™-AF </w:t>
      </w:r>
    </w:p>
    <w:p w:rsidR="002575EA" w:rsidRPr="007E529D" w:rsidRDefault="002575EA" w:rsidP="002575EA">
      <w:pPr>
        <w:pStyle w:val="Normale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HAnsi"/>
          <w:b/>
          <w:bCs/>
          <w:lang w:val="it-IT" w:eastAsia="en-GB"/>
        </w:rPr>
      </w:pPr>
      <w:r w:rsidRPr="007E529D">
        <w:rPr>
          <w:rFonts w:asciiTheme="minorHAnsi" w:eastAsiaTheme="minorHAnsi" w:hAnsiTheme="minorHAnsi" w:cstheme="minorHAnsi"/>
          <w:b/>
          <w:bCs/>
          <w:lang w:val="it-IT" w:eastAsia="en-GB"/>
        </w:rPr>
        <w:t>Registro Mondiale sulla Terapia Antitrombotica Orale di Lungo Termine – In Pazienti Con Fibrillazione Atriale</w:t>
      </w:r>
    </w:p>
    <w:p w:rsidR="002575EA" w:rsidRDefault="002575EA" w:rsidP="002575EA">
      <w:pPr>
        <w:autoSpaceDE w:val="0"/>
        <w:autoSpaceDN w:val="0"/>
        <w:adjustRightInd w:val="0"/>
        <w:jc w:val="both"/>
        <w:rPr>
          <w:rFonts w:cstheme="minorHAnsi"/>
          <w:bCs/>
          <w:kern w:val="36"/>
          <w:sz w:val="24"/>
          <w:szCs w:val="24"/>
          <w:vertAlign w:val="superscript"/>
          <w:lang w:val="it-IT"/>
        </w:rPr>
      </w:pPr>
      <w:r w:rsidRPr="001720B0">
        <w:rPr>
          <w:rFonts w:cstheme="minorHAnsi"/>
          <w:bCs/>
          <w:kern w:val="36"/>
          <w:sz w:val="24"/>
          <w:szCs w:val="24"/>
          <w:lang w:val="it-IT"/>
        </w:rPr>
        <w:t xml:space="preserve">GLORIA™-AF 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è uno dei maggiori programmi di registro mondiale sull’uso </w:t>
      </w:r>
      <w:r>
        <w:rPr>
          <w:rFonts w:cstheme="minorHAnsi"/>
          <w:bCs/>
          <w:kern w:val="36"/>
          <w:sz w:val="24"/>
          <w:szCs w:val="24"/>
          <w:lang w:val="it-IT"/>
        </w:rPr>
        <w:t>a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 lungo te</w:t>
      </w:r>
      <w:r w:rsidR="00EB17C0">
        <w:rPr>
          <w:rFonts w:cstheme="minorHAnsi"/>
          <w:bCs/>
          <w:kern w:val="36"/>
          <w:sz w:val="24"/>
          <w:szCs w:val="24"/>
          <w:lang w:val="it-IT"/>
        </w:rPr>
        <w:t>rmine di terapie anticoagulanti orali per la prevenzione dell’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 ictus correlato a </w:t>
      </w:r>
      <w:r>
        <w:rPr>
          <w:rFonts w:cstheme="minorHAnsi"/>
          <w:bCs/>
          <w:kern w:val="36"/>
          <w:sz w:val="24"/>
          <w:szCs w:val="24"/>
          <w:lang w:val="it-IT"/>
        </w:rPr>
        <w:t>F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ibrillazione </w:t>
      </w:r>
      <w:r>
        <w:rPr>
          <w:rFonts w:cstheme="minorHAnsi"/>
          <w:bCs/>
          <w:kern w:val="36"/>
          <w:sz w:val="24"/>
          <w:szCs w:val="24"/>
          <w:lang w:val="it-IT"/>
        </w:rPr>
        <w:t>A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triale non valvolare, nella </w:t>
      </w:r>
      <w:r>
        <w:rPr>
          <w:rFonts w:cstheme="minorHAnsi"/>
          <w:bCs/>
          <w:kern w:val="36"/>
          <w:sz w:val="24"/>
          <w:szCs w:val="24"/>
          <w:lang w:val="it-IT"/>
        </w:rPr>
        <w:t>pratica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 clinica </w:t>
      </w:r>
      <w:r w:rsidR="00E13457">
        <w:rPr>
          <w:rFonts w:cstheme="minorHAnsi"/>
          <w:bCs/>
          <w:kern w:val="36"/>
          <w:sz w:val="24"/>
          <w:szCs w:val="24"/>
          <w:lang w:val="it-IT"/>
        </w:rPr>
        <w:t>quotidiana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. Il Registro esamina i comportamenti prescrittivi dei medici nel trattare la </w:t>
      </w:r>
      <w:r>
        <w:rPr>
          <w:rFonts w:cstheme="minorHAnsi"/>
          <w:bCs/>
          <w:kern w:val="36"/>
          <w:sz w:val="24"/>
          <w:szCs w:val="24"/>
          <w:lang w:val="it-IT"/>
        </w:rPr>
        <w:t>F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ibrillazione </w:t>
      </w:r>
      <w:r>
        <w:rPr>
          <w:rFonts w:cstheme="minorHAnsi"/>
          <w:bCs/>
          <w:kern w:val="36"/>
          <w:sz w:val="24"/>
          <w:szCs w:val="24"/>
          <w:lang w:val="it-IT"/>
        </w:rPr>
        <w:t>A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>triale, oltre ai fattori che stanno dietro alle loro decisioni prescrittive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 xml:space="preserve">. </w:t>
      </w:r>
      <w:r>
        <w:rPr>
          <w:rFonts w:cstheme="minorHAnsi"/>
          <w:bCs/>
          <w:kern w:val="36"/>
          <w:sz w:val="24"/>
          <w:szCs w:val="24"/>
          <w:lang w:val="it-IT"/>
        </w:rPr>
        <w:t>La Fase II di G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>LORIA</w:t>
      </w:r>
      <w:r w:rsidRPr="007E529D">
        <w:rPr>
          <w:rFonts w:cstheme="minorHAnsi"/>
          <w:bCs/>
          <w:kern w:val="36"/>
          <w:sz w:val="24"/>
          <w:szCs w:val="24"/>
          <w:vertAlign w:val="superscript"/>
          <w:lang w:val="it-IT"/>
        </w:rPr>
        <w:t>TM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>-AF</w:t>
      </w:r>
      <w:r>
        <w:rPr>
          <w:rFonts w:cstheme="minorHAnsi"/>
          <w:bCs/>
          <w:kern w:val="36"/>
          <w:sz w:val="24"/>
          <w:szCs w:val="24"/>
          <w:lang w:val="it-IT"/>
        </w:rPr>
        <w:t>,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 xml:space="preserve"> </w:t>
      </w:r>
      <w:r>
        <w:rPr>
          <w:rFonts w:cstheme="minorHAnsi"/>
          <w:bCs/>
          <w:kern w:val="36"/>
          <w:sz w:val="24"/>
          <w:szCs w:val="24"/>
          <w:lang w:val="it-IT"/>
        </w:rPr>
        <w:t>recentemente completata, fornisce conoscenze sulla sicurezza e sull’efficaci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>a</w:t>
      </w:r>
      <w:r>
        <w:rPr>
          <w:rFonts w:cstheme="minorHAnsi"/>
          <w:bCs/>
          <w:kern w:val="36"/>
          <w:sz w:val="24"/>
          <w:szCs w:val="24"/>
          <w:lang w:val="it-IT"/>
        </w:rPr>
        <w:t xml:space="preserve"> di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 xml:space="preserve"> </w:t>
      </w:r>
      <w:r>
        <w:rPr>
          <w:rFonts w:cstheme="minorHAnsi"/>
          <w:bCs/>
          <w:kern w:val="36"/>
          <w:sz w:val="24"/>
          <w:szCs w:val="24"/>
          <w:lang w:val="it-IT"/>
        </w:rPr>
        <w:t xml:space="preserve">dabigatran etexilato, sulla base dei dati raccolti </w:t>
      </w:r>
      <w:r w:rsidR="00E13457">
        <w:rPr>
          <w:rFonts w:cstheme="minorHAnsi"/>
          <w:bCs/>
          <w:kern w:val="36"/>
          <w:sz w:val="24"/>
          <w:szCs w:val="24"/>
          <w:lang w:val="it-IT"/>
        </w:rPr>
        <w:t>in</w:t>
      </w:r>
      <w:r>
        <w:rPr>
          <w:rFonts w:cstheme="minorHAnsi"/>
          <w:bCs/>
          <w:kern w:val="36"/>
          <w:sz w:val="24"/>
          <w:szCs w:val="24"/>
          <w:lang w:val="it-IT"/>
        </w:rPr>
        <w:t xml:space="preserve"> 2 anni di </w:t>
      </w:r>
      <w:r w:rsidRPr="00E13457">
        <w:rPr>
          <w:rFonts w:cstheme="minorHAnsi"/>
          <w:bCs/>
          <w:i/>
          <w:kern w:val="36"/>
          <w:sz w:val="24"/>
          <w:szCs w:val="24"/>
          <w:lang w:val="it-IT"/>
        </w:rPr>
        <w:t>follow-up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 xml:space="preserve">. </w:t>
      </w:r>
      <w:r>
        <w:rPr>
          <w:rFonts w:cstheme="minorHAnsi"/>
          <w:bCs/>
          <w:kern w:val="36"/>
          <w:sz w:val="24"/>
          <w:szCs w:val="24"/>
          <w:lang w:val="it-IT"/>
        </w:rPr>
        <w:t>La F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 xml:space="preserve">ase III, </w:t>
      </w:r>
      <w:r>
        <w:rPr>
          <w:rFonts w:cstheme="minorHAnsi"/>
          <w:bCs/>
          <w:kern w:val="36"/>
          <w:sz w:val="24"/>
          <w:szCs w:val="24"/>
          <w:lang w:val="it-IT"/>
        </w:rPr>
        <w:t>attualmente in corso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 xml:space="preserve">, </w:t>
      </w:r>
      <w:r>
        <w:rPr>
          <w:rFonts w:cstheme="minorHAnsi"/>
          <w:bCs/>
          <w:kern w:val="36"/>
          <w:sz w:val="24"/>
          <w:szCs w:val="24"/>
          <w:lang w:val="it-IT"/>
        </w:rPr>
        <w:t xml:space="preserve">seguirà i pazienti </w:t>
      </w:r>
      <w:r>
        <w:rPr>
          <w:rFonts w:cstheme="minorHAnsi"/>
          <w:sz w:val="24"/>
          <w:szCs w:val="24"/>
          <w:lang w:val="it-IT"/>
        </w:rPr>
        <w:t xml:space="preserve">per tre anni, indipendentemente dalla terapia </w:t>
      </w:r>
      <w:r w:rsidR="00EB17C0">
        <w:rPr>
          <w:rFonts w:cstheme="minorHAnsi"/>
          <w:sz w:val="24"/>
          <w:szCs w:val="24"/>
          <w:lang w:val="it-IT"/>
        </w:rPr>
        <w:t>anticoagulante</w:t>
      </w:r>
      <w:r>
        <w:rPr>
          <w:rFonts w:cstheme="minorHAnsi"/>
          <w:sz w:val="24"/>
          <w:szCs w:val="24"/>
          <w:lang w:val="it-IT"/>
        </w:rPr>
        <w:t xml:space="preserve">, per valutare </w:t>
      </w:r>
      <w:r w:rsidRPr="007E529D">
        <w:rPr>
          <w:rFonts w:cstheme="minorHAnsi"/>
          <w:sz w:val="24"/>
          <w:szCs w:val="24"/>
          <w:lang w:val="it-IT"/>
        </w:rPr>
        <w:t>s</w:t>
      </w:r>
      <w:r>
        <w:rPr>
          <w:rFonts w:cstheme="minorHAnsi"/>
          <w:sz w:val="24"/>
          <w:szCs w:val="24"/>
          <w:lang w:val="it-IT"/>
        </w:rPr>
        <w:t xml:space="preserve">icurezza ed efficacia degli anticoagulanti </w:t>
      </w:r>
      <w:r w:rsidRPr="007E529D">
        <w:rPr>
          <w:rFonts w:cstheme="minorHAnsi"/>
          <w:sz w:val="24"/>
          <w:szCs w:val="24"/>
          <w:lang w:val="it-IT"/>
        </w:rPr>
        <w:t>oral</w:t>
      </w:r>
      <w:r>
        <w:rPr>
          <w:rFonts w:cstheme="minorHAnsi"/>
          <w:sz w:val="24"/>
          <w:szCs w:val="24"/>
          <w:lang w:val="it-IT"/>
        </w:rPr>
        <w:t>i</w:t>
      </w:r>
      <w:r w:rsidRPr="007E529D">
        <w:rPr>
          <w:rFonts w:cstheme="minorHAnsi"/>
          <w:sz w:val="24"/>
          <w:szCs w:val="24"/>
          <w:lang w:val="it-IT"/>
        </w:rPr>
        <w:t xml:space="preserve">. </w:t>
      </w:r>
      <w:r w:rsidRPr="007E529D">
        <w:rPr>
          <w:rFonts w:cstheme="minorHAnsi"/>
          <w:bCs/>
          <w:kern w:val="36"/>
          <w:sz w:val="24"/>
          <w:szCs w:val="24"/>
          <w:lang w:val="it-IT"/>
        </w:rPr>
        <w:t>GLORIA</w:t>
      </w:r>
      <w:r w:rsidRPr="007E529D">
        <w:rPr>
          <w:rFonts w:cstheme="minorHAnsi"/>
          <w:bCs/>
          <w:kern w:val="36"/>
          <w:sz w:val="24"/>
          <w:szCs w:val="24"/>
          <w:vertAlign w:val="superscript"/>
          <w:lang w:val="it-IT"/>
        </w:rPr>
        <w:t>TM</w:t>
      </w:r>
      <w:r>
        <w:rPr>
          <w:rFonts w:cstheme="minorHAnsi"/>
          <w:bCs/>
          <w:kern w:val="36"/>
          <w:sz w:val="24"/>
          <w:szCs w:val="24"/>
          <w:lang w:val="it-IT"/>
        </w:rPr>
        <w:t xml:space="preserve">-AF è attualmente l’unico studio con l’obiettivo di fornire dati prospettici, comparativi sugli esiti di lungo termine </w:t>
      </w:r>
      <w:r>
        <w:rPr>
          <w:rFonts w:cstheme="minorHAnsi"/>
          <w:bCs/>
          <w:kern w:val="36"/>
          <w:sz w:val="24"/>
          <w:szCs w:val="24"/>
          <w:lang w:val="it-IT"/>
        </w:rPr>
        <w:lastRenderedPageBreak/>
        <w:t>nella vita reale dell’impiego di anticoagulanti orali in soggetti con Fibrillazione Atriale, in fase</w:t>
      </w:r>
      <w:r w:rsidR="00EB17C0" w:rsidRPr="00EB17C0">
        <w:rPr>
          <w:rFonts w:cstheme="minorHAnsi"/>
          <w:bCs/>
          <w:kern w:val="36"/>
          <w:sz w:val="24"/>
          <w:szCs w:val="24"/>
          <w:lang w:val="it-IT"/>
        </w:rPr>
        <w:t xml:space="preserve"> </w:t>
      </w:r>
      <w:r w:rsidR="00EB17C0">
        <w:rPr>
          <w:rFonts w:cstheme="minorHAnsi"/>
          <w:bCs/>
          <w:kern w:val="36"/>
          <w:sz w:val="24"/>
          <w:szCs w:val="24"/>
          <w:lang w:val="it-IT"/>
        </w:rPr>
        <w:t>terza</w:t>
      </w:r>
      <w:r>
        <w:rPr>
          <w:rFonts w:cstheme="minorHAnsi"/>
          <w:bCs/>
          <w:kern w:val="36"/>
          <w:sz w:val="24"/>
          <w:szCs w:val="24"/>
          <w:lang w:val="it-IT"/>
        </w:rPr>
        <w:t>.</w:t>
      </w:r>
      <w:r w:rsidRPr="007E529D">
        <w:rPr>
          <w:rFonts w:cstheme="minorHAnsi"/>
          <w:bCs/>
          <w:kern w:val="36"/>
          <w:sz w:val="24"/>
          <w:szCs w:val="24"/>
          <w:vertAlign w:val="superscript"/>
          <w:lang w:val="it-IT"/>
        </w:rPr>
        <w:t>8,9</w:t>
      </w:r>
    </w:p>
    <w:p w:rsidR="002575EA" w:rsidRPr="001720B0" w:rsidRDefault="002575EA" w:rsidP="002575EA">
      <w:pPr>
        <w:autoSpaceDE w:val="0"/>
        <w:autoSpaceDN w:val="0"/>
        <w:adjustRightInd w:val="0"/>
        <w:jc w:val="both"/>
        <w:rPr>
          <w:rFonts w:cstheme="minorHAnsi"/>
          <w:bCs/>
          <w:kern w:val="36"/>
          <w:sz w:val="24"/>
          <w:szCs w:val="24"/>
          <w:vertAlign w:val="superscript"/>
          <w:lang w:val="it-IT"/>
        </w:rPr>
      </w:pP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Il Programma di Registro arruolerà sino a 56.000 pazienti con nuova diagnosi di </w:t>
      </w:r>
      <w:r>
        <w:rPr>
          <w:rFonts w:cstheme="minorHAnsi"/>
          <w:bCs/>
          <w:kern w:val="36"/>
          <w:sz w:val="24"/>
          <w:szCs w:val="24"/>
          <w:lang w:val="it-IT"/>
        </w:rPr>
        <w:t>F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ibrillazione </w:t>
      </w:r>
      <w:r>
        <w:rPr>
          <w:rFonts w:cstheme="minorHAnsi"/>
          <w:bCs/>
          <w:kern w:val="36"/>
          <w:sz w:val="24"/>
          <w:szCs w:val="24"/>
          <w:lang w:val="it-IT"/>
        </w:rPr>
        <w:t>A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 xml:space="preserve">triale a rischio di ictus e coinvolgerà sino a 2.200 centri in quasi 50 </w:t>
      </w:r>
      <w:r>
        <w:rPr>
          <w:rFonts w:cstheme="minorHAnsi"/>
          <w:bCs/>
          <w:kern w:val="36"/>
          <w:sz w:val="24"/>
          <w:szCs w:val="24"/>
          <w:lang w:val="it-IT"/>
        </w:rPr>
        <w:t>P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>aesi</w:t>
      </w:r>
      <w:r w:rsidRPr="001720B0">
        <w:rPr>
          <w:rFonts w:cstheme="minorHAnsi"/>
          <w:bCs/>
          <w:kern w:val="36"/>
          <w:sz w:val="24"/>
          <w:szCs w:val="24"/>
          <w:lang w:val="it-IT"/>
        </w:rPr>
        <w:t>.</w:t>
      </w:r>
      <w:r w:rsidRPr="001720B0">
        <w:rPr>
          <w:rFonts w:cstheme="minorHAnsi"/>
          <w:bCs/>
          <w:kern w:val="36"/>
          <w:sz w:val="24"/>
          <w:szCs w:val="24"/>
          <w:vertAlign w:val="superscript"/>
          <w:lang w:val="it-IT"/>
        </w:rPr>
        <w:t>8</w:t>
      </w:r>
      <w:r>
        <w:rPr>
          <w:rFonts w:cstheme="minorHAnsi"/>
          <w:bCs/>
          <w:kern w:val="36"/>
          <w:sz w:val="24"/>
          <w:szCs w:val="24"/>
          <w:lang w:val="it-IT"/>
        </w:rPr>
        <w:t xml:space="preserve"> </w:t>
      </w:r>
      <w:r w:rsidRPr="004F52FF">
        <w:rPr>
          <w:rFonts w:cstheme="minorHAnsi"/>
          <w:bCs/>
          <w:kern w:val="36"/>
          <w:sz w:val="24"/>
          <w:szCs w:val="24"/>
          <w:lang w:val="it-IT"/>
        </w:rPr>
        <w:t>Ad oggi comprende oltre 38.000 pazienti</w:t>
      </w:r>
      <w:r w:rsidRPr="001720B0">
        <w:rPr>
          <w:rFonts w:cstheme="minorHAnsi"/>
          <w:bCs/>
          <w:kern w:val="36"/>
          <w:sz w:val="24"/>
          <w:szCs w:val="24"/>
          <w:lang w:val="it-IT"/>
        </w:rPr>
        <w:t xml:space="preserve">. </w:t>
      </w:r>
    </w:p>
    <w:p w:rsidR="002575EA" w:rsidRDefault="002575EA" w:rsidP="002575EA">
      <w:pPr>
        <w:autoSpaceDE w:val="0"/>
        <w:autoSpaceDN w:val="0"/>
        <w:adjustRightInd w:val="0"/>
        <w:jc w:val="both"/>
        <w:rPr>
          <w:rFonts w:cstheme="minorHAnsi"/>
          <w:bCs/>
          <w:kern w:val="36"/>
          <w:sz w:val="24"/>
          <w:szCs w:val="24"/>
          <w:lang w:val="it-IT"/>
        </w:rPr>
      </w:pPr>
    </w:p>
    <w:p w:rsidR="002575EA" w:rsidRPr="001720B0" w:rsidRDefault="002575EA" w:rsidP="002575EA">
      <w:pPr>
        <w:autoSpaceDE w:val="0"/>
        <w:autoSpaceDN w:val="0"/>
        <w:adjustRightInd w:val="0"/>
        <w:jc w:val="both"/>
        <w:rPr>
          <w:rFonts w:cstheme="minorHAnsi"/>
          <w:bCs/>
          <w:kern w:val="36"/>
          <w:sz w:val="24"/>
          <w:szCs w:val="24"/>
          <w:lang w:val="it-IT"/>
        </w:rPr>
      </w:pPr>
      <w:r>
        <w:rPr>
          <w:rFonts w:cstheme="minorHAnsi"/>
          <w:bCs/>
          <w:kern w:val="36"/>
          <w:sz w:val="24"/>
          <w:szCs w:val="24"/>
          <w:lang w:val="it-IT"/>
        </w:rPr>
        <w:t>Per maggiori informazioni:</w:t>
      </w:r>
      <w:r w:rsidRPr="001720B0">
        <w:rPr>
          <w:rFonts w:cstheme="minorHAnsi"/>
          <w:bCs/>
          <w:kern w:val="36"/>
          <w:sz w:val="24"/>
          <w:szCs w:val="24"/>
          <w:lang w:val="it-IT"/>
        </w:rPr>
        <w:t xml:space="preserve"> </w:t>
      </w:r>
      <w:hyperlink r:id="rId7" w:history="1">
        <w:r w:rsidRPr="001720B0">
          <w:rPr>
            <w:rStyle w:val="Collegamentoipertestuale"/>
            <w:rFonts w:cstheme="minorHAnsi"/>
            <w:kern w:val="36"/>
            <w:sz w:val="24"/>
            <w:szCs w:val="24"/>
            <w:lang w:val="it-IT"/>
          </w:rPr>
          <w:t>https://www.gloria-af.com/public/about.html</w:t>
        </w:r>
      </w:hyperlink>
      <w:r w:rsidRPr="001720B0">
        <w:rPr>
          <w:rFonts w:cstheme="minorHAnsi"/>
          <w:bCs/>
          <w:kern w:val="36"/>
          <w:sz w:val="24"/>
          <w:szCs w:val="24"/>
          <w:lang w:val="it-IT"/>
        </w:rPr>
        <w:t xml:space="preserve">  </w:t>
      </w:r>
    </w:p>
    <w:p w:rsidR="002575EA" w:rsidRDefault="002575EA" w:rsidP="002575EA">
      <w:pPr>
        <w:pStyle w:val="NormaleWeb"/>
        <w:shd w:val="clear" w:color="auto" w:fill="FFFFFF"/>
        <w:spacing w:before="0" w:beforeAutospacing="0" w:after="0" w:afterAutospacing="0" w:line="312" w:lineRule="auto"/>
        <w:rPr>
          <w:rFonts w:asciiTheme="minorHAnsi" w:eastAsiaTheme="minorHAnsi" w:hAnsiTheme="minorHAnsi" w:cstheme="minorHAnsi"/>
          <w:b/>
          <w:bCs/>
          <w:lang w:val="it-IT" w:eastAsia="en-GB"/>
        </w:rPr>
      </w:pPr>
    </w:p>
    <w:p w:rsidR="002575EA" w:rsidRPr="001720B0" w:rsidRDefault="002575EA" w:rsidP="002575EA">
      <w:pPr>
        <w:pStyle w:val="NormaleWeb"/>
        <w:shd w:val="clear" w:color="auto" w:fill="FFFFFF"/>
        <w:spacing w:before="0" w:beforeAutospacing="0" w:after="0" w:afterAutospacing="0" w:line="312" w:lineRule="auto"/>
        <w:rPr>
          <w:rFonts w:asciiTheme="minorHAnsi" w:eastAsiaTheme="minorHAnsi" w:hAnsiTheme="minorHAnsi" w:cstheme="minorHAnsi"/>
          <w:b/>
          <w:bCs/>
          <w:lang w:val="it-IT" w:eastAsia="en-GB"/>
        </w:rPr>
      </w:pPr>
      <w:r>
        <w:rPr>
          <w:rFonts w:asciiTheme="minorHAnsi" w:eastAsiaTheme="minorHAnsi" w:hAnsiTheme="minorHAnsi" w:cstheme="minorHAnsi"/>
          <w:b/>
          <w:bCs/>
          <w:lang w:val="it-IT" w:eastAsia="en-GB"/>
        </w:rPr>
        <w:t>Dabigatran etexilato</w:t>
      </w:r>
      <w:r w:rsidRPr="001720B0">
        <w:rPr>
          <w:rFonts w:asciiTheme="minorHAnsi" w:eastAsiaTheme="minorHAnsi" w:hAnsiTheme="minorHAnsi" w:cstheme="minorHAnsi"/>
          <w:b/>
          <w:bCs/>
          <w:lang w:val="it-IT" w:eastAsia="en-GB"/>
        </w:rPr>
        <w:t xml:space="preserve"> </w:t>
      </w:r>
    </w:p>
    <w:p w:rsidR="002575EA" w:rsidRPr="001720B0" w:rsidRDefault="002575EA" w:rsidP="002575EA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lang w:val="it-IT"/>
        </w:rPr>
      </w:pPr>
      <w:r w:rsidRPr="001720B0">
        <w:rPr>
          <w:rFonts w:asciiTheme="minorHAnsi" w:hAnsiTheme="minorHAnsi" w:cstheme="minorHAnsi"/>
          <w:color w:val="auto"/>
          <w:lang w:val="it-IT"/>
        </w:rPr>
        <w:t xml:space="preserve">L’esperienza clinica con </w:t>
      </w:r>
      <w:r>
        <w:rPr>
          <w:rFonts w:asciiTheme="minorHAnsi" w:hAnsiTheme="minorHAnsi" w:cstheme="minorHAnsi"/>
          <w:color w:val="auto"/>
          <w:lang w:val="it-IT"/>
        </w:rPr>
        <w:t>dabigatran etexilato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supera i 7,9 milioni di anni/paziente per tutte le indicazioni per </w:t>
      </w:r>
      <w:r>
        <w:rPr>
          <w:rFonts w:asciiTheme="minorHAnsi" w:hAnsiTheme="minorHAnsi" w:cstheme="minorHAnsi"/>
          <w:color w:val="auto"/>
          <w:lang w:val="it-IT"/>
        </w:rPr>
        <w:t>le quali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il farmaco è stato approvato nel mondo. </w:t>
      </w:r>
      <w:r>
        <w:rPr>
          <w:rFonts w:asciiTheme="minorHAnsi" w:hAnsiTheme="minorHAnsi" w:cstheme="minorHAnsi"/>
          <w:color w:val="auto"/>
          <w:lang w:val="it-IT"/>
        </w:rPr>
        <w:t>Dabigatran etexilato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è sul mercato da oltre otto anni ed è approvato in più di 100 Paesi.</w:t>
      </w:r>
      <w:r w:rsidRPr="001720B0">
        <w:rPr>
          <w:rFonts w:asciiTheme="minorHAnsi" w:hAnsiTheme="minorHAnsi" w:cstheme="minorHAnsi"/>
          <w:color w:val="auto"/>
          <w:vertAlign w:val="superscript"/>
          <w:lang w:val="it-IT"/>
        </w:rPr>
        <w:t>10</w:t>
      </w:r>
    </w:p>
    <w:p w:rsidR="002575EA" w:rsidRPr="001720B0" w:rsidRDefault="002575EA" w:rsidP="002575EA">
      <w:pPr>
        <w:pStyle w:val="Default"/>
        <w:spacing w:line="312" w:lineRule="auto"/>
        <w:ind w:right="-46"/>
        <w:jc w:val="both"/>
        <w:rPr>
          <w:rFonts w:asciiTheme="minorHAnsi" w:eastAsia="BISans" w:hAnsiTheme="minorHAnsi" w:cstheme="minorHAnsi"/>
          <w:color w:val="auto"/>
          <w:lang w:val="it-IT" w:eastAsia="zh-TW"/>
        </w:rPr>
      </w:pPr>
    </w:p>
    <w:p w:rsidR="002575EA" w:rsidRPr="001720B0" w:rsidRDefault="002575EA" w:rsidP="002575EA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lang w:val="it-IT"/>
        </w:rPr>
      </w:pPr>
      <w:r w:rsidRPr="001720B0">
        <w:rPr>
          <w:rFonts w:asciiTheme="minorHAnsi" w:hAnsiTheme="minorHAnsi" w:cstheme="minorHAnsi"/>
          <w:color w:val="auto"/>
          <w:lang w:val="it-IT"/>
        </w:rPr>
        <w:t xml:space="preserve">Le indicazioni per cui </w:t>
      </w:r>
      <w:r>
        <w:rPr>
          <w:rFonts w:asciiTheme="minorHAnsi" w:hAnsiTheme="minorHAnsi" w:cstheme="minorHAnsi"/>
          <w:color w:val="auto"/>
          <w:lang w:val="it-IT"/>
        </w:rPr>
        <w:t>dabigatran etexilato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è attualmente approvato sono le seguenti: </w:t>
      </w:r>
      <w:r w:rsidRPr="001720B0">
        <w:rPr>
          <w:rFonts w:asciiTheme="minorHAnsi" w:hAnsiTheme="minorHAnsi" w:cstheme="minorHAnsi"/>
          <w:color w:val="auto"/>
          <w:vertAlign w:val="superscript"/>
          <w:lang w:val="it-IT"/>
        </w:rPr>
        <w:t>11,12</w:t>
      </w:r>
    </w:p>
    <w:p w:rsidR="002575EA" w:rsidRPr="00E13457" w:rsidRDefault="002575EA" w:rsidP="002575EA">
      <w:pPr>
        <w:pStyle w:val="Paragrafoelenco"/>
        <w:keepNext w:val="0"/>
        <w:keepLines w:val="0"/>
        <w:widowControl/>
        <w:numPr>
          <w:ilvl w:val="0"/>
          <w:numId w:val="3"/>
        </w:numPr>
        <w:spacing w:line="312" w:lineRule="auto"/>
        <w:ind w:left="284" w:hanging="284"/>
        <w:jc w:val="both"/>
        <w:rPr>
          <w:rFonts w:eastAsia="BISans" w:cstheme="minorHAnsi"/>
          <w:sz w:val="22"/>
          <w:lang w:val="it-IT"/>
        </w:rPr>
      </w:pPr>
      <w:r w:rsidRPr="00E13457">
        <w:rPr>
          <w:rFonts w:eastAsia="BISans" w:cstheme="minorHAnsi"/>
          <w:sz w:val="22"/>
          <w:lang w:val="it-IT"/>
        </w:rPr>
        <w:t>Prevenzione dell’ictus e delle embolie sistemiche in pazienti con Fibrillazione Atriale non-valvolare e almeno un fattore di rischio per l’ictus;</w:t>
      </w:r>
    </w:p>
    <w:p w:rsidR="002575EA" w:rsidRPr="00E13457" w:rsidRDefault="002575EA" w:rsidP="002575EA">
      <w:pPr>
        <w:pStyle w:val="Paragrafoelenco"/>
        <w:keepNext w:val="0"/>
        <w:keepLines w:val="0"/>
        <w:widowControl/>
        <w:numPr>
          <w:ilvl w:val="0"/>
          <w:numId w:val="3"/>
        </w:numPr>
        <w:spacing w:line="312" w:lineRule="auto"/>
        <w:ind w:left="284" w:hanging="284"/>
        <w:jc w:val="both"/>
        <w:rPr>
          <w:rFonts w:eastAsia="BISans" w:cstheme="minorHAnsi"/>
          <w:sz w:val="22"/>
          <w:lang w:val="it-IT"/>
        </w:rPr>
      </w:pPr>
      <w:r w:rsidRPr="00E13457">
        <w:rPr>
          <w:rFonts w:eastAsia="BISans" w:cstheme="minorHAnsi"/>
          <w:sz w:val="22"/>
          <w:lang w:val="it-IT"/>
        </w:rPr>
        <w:t>Prevenzione primaria di eventi di tromboembolismo venoso in pazienti che si sottopongono a chirurgia elettiva di sostituzione totale dell’anca o del ginocchio;</w:t>
      </w:r>
    </w:p>
    <w:p w:rsidR="002575EA" w:rsidRPr="00E13457" w:rsidRDefault="002575EA" w:rsidP="002575EA">
      <w:pPr>
        <w:pStyle w:val="Paragrafoelenco"/>
        <w:keepNext w:val="0"/>
        <w:keepLines w:val="0"/>
        <w:widowControl/>
        <w:numPr>
          <w:ilvl w:val="0"/>
          <w:numId w:val="3"/>
        </w:numPr>
        <w:spacing w:line="312" w:lineRule="auto"/>
        <w:ind w:left="284" w:hanging="284"/>
        <w:jc w:val="both"/>
        <w:rPr>
          <w:rFonts w:eastAsia="BISans" w:cstheme="minorHAnsi"/>
          <w:sz w:val="22"/>
          <w:lang w:val="it-IT"/>
        </w:rPr>
      </w:pPr>
      <w:r w:rsidRPr="00E13457">
        <w:rPr>
          <w:rFonts w:eastAsia="BISans" w:cstheme="minorHAnsi"/>
          <w:sz w:val="22"/>
          <w:lang w:val="it-IT"/>
        </w:rPr>
        <w:t>Trattamento di trombosi venosa profonda (TVP) ed embolia polmonare (EP) e prevenzione delle recidive di TVP ed EP negli adulti.</w:t>
      </w:r>
    </w:p>
    <w:p w:rsidR="002575EA" w:rsidRPr="00E13457" w:rsidRDefault="002575EA" w:rsidP="002575EA">
      <w:pPr>
        <w:pStyle w:val="Default"/>
        <w:spacing w:line="312" w:lineRule="auto"/>
        <w:ind w:left="405" w:right="-46"/>
        <w:jc w:val="both"/>
        <w:rPr>
          <w:rFonts w:asciiTheme="minorHAnsi" w:eastAsia="BISans" w:hAnsiTheme="minorHAnsi" w:cstheme="minorHAnsi"/>
          <w:color w:val="auto"/>
          <w:sz w:val="22"/>
          <w:szCs w:val="22"/>
          <w:lang w:val="it-IT" w:eastAsia="zh-TW"/>
        </w:rPr>
      </w:pPr>
    </w:p>
    <w:p w:rsidR="002575EA" w:rsidRPr="001720B0" w:rsidRDefault="002575EA" w:rsidP="002575EA">
      <w:pPr>
        <w:spacing w:line="312" w:lineRule="auto"/>
        <w:jc w:val="both"/>
        <w:rPr>
          <w:rFonts w:eastAsia="BISans" w:cstheme="minorHAnsi"/>
          <w:sz w:val="24"/>
          <w:szCs w:val="24"/>
          <w:vertAlign w:val="superscript"/>
          <w:lang w:val="it-IT"/>
        </w:rPr>
      </w:pPr>
      <w:r>
        <w:rPr>
          <w:rFonts w:eastAsia="BISans" w:cstheme="minorHAnsi"/>
          <w:sz w:val="24"/>
          <w:szCs w:val="24"/>
          <w:lang w:val="it-IT"/>
        </w:rPr>
        <w:t>Dabigatran etexilato</w:t>
      </w:r>
      <w:r w:rsidRPr="001720B0">
        <w:rPr>
          <w:rFonts w:eastAsia="BISans" w:cstheme="minorHAnsi"/>
          <w:sz w:val="24"/>
          <w:szCs w:val="24"/>
          <w:lang w:val="it-IT"/>
        </w:rPr>
        <w:t>, che è un inibitore diretto della trombina, è stato il primo farmaco di una nuova generazione di anticoagulanti orali ad azione diretta</w:t>
      </w:r>
      <w:r>
        <w:rPr>
          <w:rFonts w:eastAsia="BISans" w:cstheme="minorHAnsi"/>
          <w:sz w:val="24"/>
          <w:szCs w:val="24"/>
          <w:lang w:val="it-IT"/>
        </w:rPr>
        <w:t>,</w:t>
      </w:r>
      <w:r w:rsidRPr="001720B0">
        <w:rPr>
          <w:rFonts w:eastAsia="BISans" w:cstheme="minorHAnsi"/>
          <w:sz w:val="24"/>
          <w:szCs w:val="24"/>
          <w:lang w:val="it-IT"/>
        </w:rPr>
        <w:t xml:space="preserve"> ad essere ampiamente approvato e disponibile sul mercato per rispondere a un forte bisogno insoddisfatto di terapie per la prevenzione e il </w:t>
      </w:r>
      <w:r w:rsidRPr="001720B0">
        <w:rPr>
          <w:rFonts w:eastAsia="BISans" w:cstheme="minorHAnsi"/>
          <w:sz w:val="24"/>
          <w:szCs w:val="24"/>
          <w:lang w:val="it-IT"/>
        </w:rPr>
        <w:lastRenderedPageBreak/>
        <w:t>trattamento delle malattie tromboemboliche acute e croniche.</w:t>
      </w:r>
      <w:r w:rsidRPr="001720B0">
        <w:rPr>
          <w:rFonts w:eastAsia="BISans" w:cstheme="minorHAnsi"/>
          <w:sz w:val="24"/>
          <w:szCs w:val="24"/>
          <w:vertAlign w:val="superscript"/>
          <w:lang w:val="it-IT"/>
        </w:rPr>
        <w:t>13-15</w:t>
      </w:r>
      <w:r w:rsidRPr="001720B0">
        <w:rPr>
          <w:rFonts w:eastAsia="BISans" w:cstheme="minorHAnsi"/>
          <w:sz w:val="24"/>
          <w:szCs w:val="24"/>
          <w:lang w:val="it-IT"/>
        </w:rPr>
        <w:t xml:space="preserve"> Gli inibitori diretti della trombina ottengono potenti effetti antitrombotici, bloccando in </w:t>
      </w:r>
      <w:r>
        <w:rPr>
          <w:rFonts w:eastAsia="BISans" w:cstheme="minorHAnsi"/>
          <w:sz w:val="24"/>
          <w:szCs w:val="24"/>
          <w:lang w:val="it-IT"/>
        </w:rPr>
        <w:t>modo</w:t>
      </w:r>
      <w:r w:rsidRPr="001720B0">
        <w:rPr>
          <w:rFonts w:eastAsia="BISans" w:cstheme="minorHAnsi"/>
          <w:sz w:val="24"/>
          <w:szCs w:val="24"/>
          <w:lang w:val="it-IT"/>
        </w:rPr>
        <w:t xml:space="preserve"> specific</w:t>
      </w:r>
      <w:r>
        <w:rPr>
          <w:rFonts w:eastAsia="BISans" w:cstheme="minorHAnsi"/>
          <w:sz w:val="24"/>
          <w:szCs w:val="24"/>
          <w:lang w:val="it-IT"/>
        </w:rPr>
        <w:t>o</w:t>
      </w:r>
      <w:r w:rsidRPr="001720B0">
        <w:rPr>
          <w:rFonts w:eastAsia="BISans" w:cstheme="minorHAnsi"/>
          <w:sz w:val="24"/>
          <w:szCs w:val="24"/>
          <w:lang w:val="it-IT"/>
        </w:rPr>
        <w:t xml:space="preserve"> l’attività della trombina, l’enzima centrale nel processo di formazione di coaguli (trombi).</w:t>
      </w:r>
      <w:r w:rsidRPr="001720B0">
        <w:rPr>
          <w:rFonts w:eastAsia="BISans" w:cstheme="minorHAnsi"/>
          <w:sz w:val="24"/>
          <w:szCs w:val="24"/>
          <w:vertAlign w:val="superscript"/>
          <w:lang w:val="it-IT"/>
        </w:rPr>
        <w:t>15</w:t>
      </w:r>
      <w:r w:rsidRPr="001720B0">
        <w:rPr>
          <w:rFonts w:eastAsia="BISans" w:cstheme="minorHAnsi"/>
          <w:sz w:val="24"/>
          <w:szCs w:val="24"/>
          <w:lang w:val="it-IT"/>
        </w:rPr>
        <w:t xml:space="preserve"> A differenza degli antagonisti della vitamina K, che agiscono in maniera variabile tramite i diversi fattori della coagulazione, </w:t>
      </w:r>
      <w:r>
        <w:rPr>
          <w:rFonts w:eastAsia="BISans" w:cstheme="minorHAnsi"/>
          <w:sz w:val="24"/>
          <w:szCs w:val="24"/>
          <w:lang w:val="it-IT"/>
        </w:rPr>
        <w:t>dabigatran etexilato</w:t>
      </w:r>
      <w:r w:rsidRPr="001720B0">
        <w:rPr>
          <w:rFonts w:eastAsia="BISans" w:cstheme="minorHAnsi"/>
          <w:sz w:val="24"/>
          <w:szCs w:val="24"/>
          <w:lang w:val="it-IT"/>
        </w:rPr>
        <w:t xml:space="preserve"> realizza un’anticoagulazione efficace, prevedibile e riproducibile con basso potenziale di interazione con altri farmaci e nessuna interazione con il cibo, senza richiedere il monitoraggio regolare della coagulazione né aggiustamenti di dosaggio.</w:t>
      </w:r>
      <w:r w:rsidRPr="001720B0">
        <w:rPr>
          <w:rFonts w:eastAsia="BISans" w:cstheme="minorHAnsi"/>
          <w:sz w:val="24"/>
          <w:szCs w:val="24"/>
          <w:vertAlign w:val="superscript"/>
          <w:lang w:val="it-IT"/>
        </w:rPr>
        <w:t>13,15</w:t>
      </w:r>
    </w:p>
    <w:p w:rsidR="002575EA" w:rsidRPr="001720B0" w:rsidRDefault="002575EA" w:rsidP="002575EA">
      <w:pPr>
        <w:pStyle w:val="Default"/>
        <w:spacing w:line="312" w:lineRule="auto"/>
        <w:jc w:val="both"/>
        <w:rPr>
          <w:rFonts w:asciiTheme="minorHAnsi" w:hAnsiTheme="minorHAnsi" w:cstheme="minorHAnsi"/>
          <w:color w:val="auto"/>
          <w:vertAlign w:val="superscript"/>
          <w:lang w:val="it-IT"/>
        </w:rPr>
      </w:pPr>
      <w:r>
        <w:rPr>
          <w:rFonts w:asciiTheme="minorHAnsi" w:hAnsiTheme="minorHAnsi" w:cstheme="minorHAnsi"/>
          <w:color w:val="auto"/>
          <w:lang w:val="it-IT"/>
        </w:rPr>
        <w:t>Dabigatran etexilato</w:t>
      </w:r>
      <w:r w:rsidRPr="00B924C9">
        <w:rPr>
          <w:rFonts w:asciiTheme="minorHAnsi" w:hAnsiTheme="minorHAnsi" w:cstheme="minorHAnsi"/>
          <w:color w:val="auto"/>
          <w:lang w:val="it-IT"/>
        </w:rPr>
        <w:t xml:space="preserve"> </w:t>
      </w:r>
      <w:r w:rsidRPr="001720B0">
        <w:rPr>
          <w:rFonts w:asciiTheme="minorHAnsi" w:hAnsiTheme="minorHAnsi" w:cstheme="minorHAnsi"/>
          <w:color w:val="auto"/>
          <w:lang w:val="it-IT"/>
        </w:rPr>
        <w:t>è l’unico anticoagulante orale non-antagonista della vitamina K per cui esist</w:t>
      </w:r>
      <w:r>
        <w:rPr>
          <w:rFonts w:asciiTheme="minorHAnsi" w:hAnsiTheme="minorHAnsi" w:cstheme="minorHAnsi"/>
          <w:color w:val="auto"/>
          <w:lang w:val="it-IT"/>
        </w:rPr>
        <w:t>a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un farmaco approvato</w:t>
      </w:r>
      <w:r>
        <w:rPr>
          <w:rFonts w:asciiTheme="minorHAnsi" w:hAnsiTheme="minorHAnsi" w:cstheme="minorHAnsi"/>
          <w:color w:val="auto"/>
          <w:lang w:val="it-IT"/>
        </w:rPr>
        <w:t>,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che ne inattiva in </w:t>
      </w:r>
      <w:r>
        <w:rPr>
          <w:rFonts w:asciiTheme="minorHAnsi" w:hAnsiTheme="minorHAnsi" w:cstheme="minorHAnsi"/>
          <w:color w:val="auto"/>
          <w:lang w:val="it-IT"/>
        </w:rPr>
        <w:t xml:space="preserve">modo </w:t>
      </w:r>
      <w:r w:rsidRPr="001720B0">
        <w:rPr>
          <w:rFonts w:asciiTheme="minorHAnsi" w:hAnsiTheme="minorHAnsi" w:cstheme="minorHAnsi"/>
          <w:color w:val="auto"/>
          <w:lang w:val="it-IT"/>
        </w:rPr>
        <w:t>specific</w:t>
      </w:r>
      <w:r>
        <w:rPr>
          <w:rFonts w:asciiTheme="minorHAnsi" w:hAnsiTheme="minorHAnsi" w:cstheme="minorHAnsi"/>
          <w:color w:val="auto"/>
          <w:lang w:val="it-IT"/>
        </w:rPr>
        <w:t>o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l’effetto. Questo farmaco è </w:t>
      </w:r>
      <w:r>
        <w:rPr>
          <w:rFonts w:asciiTheme="minorHAnsi" w:hAnsiTheme="minorHAnsi" w:cstheme="minorHAnsi"/>
          <w:color w:val="auto"/>
          <w:lang w:val="it-IT"/>
        </w:rPr>
        <w:t>idarucizumab,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approvato nell’Unione Europea e negli Stati Uniti per l’impiego in pazienti adulti trattati con </w:t>
      </w:r>
      <w:r>
        <w:rPr>
          <w:rFonts w:asciiTheme="minorHAnsi" w:hAnsiTheme="minorHAnsi" w:cstheme="minorHAnsi"/>
          <w:color w:val="auto"/>
          <w:lang w:val="it-IT"/>
        </w:rPr>
        <w:t>dabigatran etexilato,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che necessitano di </w:t>
      </w:r>
      <w:r>
        <w:rPr>
          <w:rFonts w:asciiTheme="minorHAnsi" w:hAnsiTheme="minorHAnsi" w:cstheme="minorHAnsi"/>
          <w:color w:val="auto"/>
          <w:lang w:val="it-IT"/>
        </w:rPr>
        <w:t xml:space="preserve">una </w:t>
      </w:r>
      <w:r w:rsidRPr="001720B0">
        <w:rPr>
          <w:rFonts w:asciiTheme="minorHAnsi" w:hAnsiTheme="minorHAnsi" w:cstheme="minorHAnsi"/>
          <w:color w:val="auto"/>
          <w:lang w:val="it-IT"/>
        </w:rPr>
        <w:t>rapida inattivazione del suo effetto anticoagulante</w:t>
      </w:r>
      <w:r>
        <w:rPr>
          <w:rFonts w:asciiTheme="minorHAnsi" w:hAnsiTheme="minorHAnsi" w:cstheme="minorHAnsi"/>
          <w:color w:val="auto"/>
          <w:lang w:val="it-IT"/>
        </w:rPr>
        <w:t>,</w:t>
      </w:r>
      <w:r w:rsidRPr="001720B0">
        <w:rPr>
          <w:rFonts w:asciiTheme="minorHAnsi" w:hAnsiTheme="minorHAnsi" w:cstheme="minorHAnsi"/>
          <w:color w:val="auto"/>
          <w:lang w:val="it-IT"/>
        </w:rPr>
        <w:t xml:space="preserve"> prima di interventi chirurgici d’urgenza/interventi di emergenza o in caso di sanguinamento incontrollato o che mette a rischio la vita del paziente.</w:t>
      </w:r>
      <w:r w:rsidRPr="001720B0">
        <w:rPr>
          <w:rFonts w:asciiTheme="minorHAnsi" w:hAnsiTheme="minorHAnsi" w:cstheme="minorHAnsi"/>
          <w:color w:val="auto"/>
          <w:vertAlign w:val="superscript"/>
          <w:lang w:val="it-IT"/>
        </w:rPr>
        <w:t>16,17</w:t>
      </w:r>
    </w:p>
    <w:p w:rsidR="009131C5" w:rsidRDefault="009131C5" w:rsidP="002575EA">
      <w:pPr>
        <w:pStyle w:val="Default"/>
        <w:spacing w:line="312" w:lineRule="auto"/>
        <w:rPr>
          <w:rStyle w:val="Highlight"/>
          <w:rFonts w:asciiTheme="minorHAnsi" w:hAnsiTheme="minorHAnsi" w:cstheme="minorHAnsi"/>
          <w:color w:val="auto"/>
          <w:lang w:val="it-IT"/>
        </w:rPr>
      </w:pPr>
    </w:p>
    <w:p w:rsidR="002575EA" w:rsidRPr="001720B0" w:rsidRDefault="002575EA" w:rsidP="002575EA">
      <w:pPr>
        <w:pStyle w:val="Default"/>
        <w:spacing w:line="312" w:lineRule="auto"/>
        <w:rPr>
          <w:rStyle w:val="Highlight"/>
          <w:rFonts w:asciiTheme="minorHAnsi" w:hAnsiTheme="minorHAnsi" w:cstheme="minorHAnsi"/>
          <w:color w:val="auto"/>
          <w:lang w:val="it-IT"/>
        </w:rPr>
      </w:pPr>
      <w:r w:rsidRPr="001720B0">
        <w:rPr>
          <w:rStyle w:val="Highlight"/>
          <w:rFonts w:asciiTheme="minorHAnsi" w:hAnsiTheme="minorHAnsi" w:cstheme="minorHAnsi"/>
          <w:color w:val="auto"/>
          <w:lang w:val="it-IT"/>
        </w:rPr>
        <w:t xml:space="preserve">Boehringer Ingelheim </w:t>
      </w:r>
    </w:p>
    <w:p w:rsidR="002575EA" w:rsidRPr="001720B0" w:rsidRDefault="002575EA" w:rsidP="002575EA">
      <w:pPr>
        <w:spacing w:line="312" w:lineRule="auto"/>
        <w:jc w:val="both"/>
        <w:rPr>
          <w:rFonts w:cstheme="minorHAnsi"/>
          <w:sz w:val="24"/>
          <w:szCs w:val="24"/>
          <w:lang w:val="it-IT"/>
        </w:rPr>
      </w:pPr>
      <w:r w:rsidRPr="001720B0">
        <w:rPr>
          <w:rFonts w:cstheme="minorHAnsi"/>
          <w:sz w:val="24"/>
          <w:szCs w:val="24"/>
          <w:lang w:val="it-IT"/>
        </w:rPr>
        <w:t xml:space="preserve">Farmaci innovativi per la salute umana e animale. Questo è quello per cui opera, da oltre 130 anni, prendendo le mosse dalla ricerca, Boehringer Ingelheim, una delle prime 20 aziende farmaceutiche al mondo, e tuttora un’azienda a proprietà familiare. I suoi circa 50.000 addetti ogni giorno creano valore, attraverso l’innovazione, nelle sue tre aree di business: farmaceutici per uso umano, salute animale e produzione biofarmaceutica per clienti industriali. Con un fatturato netto di </w:t>
      </w:r>
      <w:r w:rsidRPr="001720B0">
        <w:rPr>
          <w:rFonts w:cstheme="minorHAnsi"/>
          <w:sz w:val="24"/>
          <w:szCs w:val="24"/>
          <w:lang w:val="it-IT"/>
        </w:rPr>
        <w:lastRenderedPageBreak/>
        <w:t>circa 15,9 miliardi di euro nel 2016, Boehringer Ingelheim ha investito in ricerca e sviluppo una somma superiore ai tre miliardi di euro e pari al 19,6 percento di tale fatturato netto.</w:t>
      </w:r>
    </w:p>
    <w:p w:rsidR="002575EA" w:rsidRPr="001720B0" w:rsidRDefault="002575EA" w:rsidP="002575EA">
      <w:pPr>
        <w:spacing w:line="312" w:lineRule="auto"/>
        <w:jc w:val="both"/>
        <w:rPr>
          <w:rFonts w:cstheme="minorHAnsi"/>
          <w:sz w:val="24"/>
          <w:szCs w:val="24"/>
          <w:lang w:val="it-IT"/>
        </w:rPr>
      </w:pPr>
      <w:r w:rsidRPr="001720B0">
        <w:rPr>
          <w:rFonts w:cstheme="minorHAnsi"/>
          <w:sz w:val="24"/>
          <w:szCs w:val="24"/>
          <w:lang w:val="it-IT"/>
        </w:rPr>
        <w:t>Per Boehringer Ingelheim la responsabilità sociale è qualcosa di connaturato a sé, da cui discende la sua partecipazione a progetti sociali come, ad esempio, l’iniziativa “</w:t>
      </w:r>
      <w:r w:rsidRPr="00EB17C0">
        <w:rPr>
          <w:rFonts w:cstheme="minorHAnsi"/>
          <w:i/>
          <w:sz w:val="24"/>
          <w:szCs w:val="24"/>
          <w:lang w:val="it-IT"/>
        </w:rPr>
        <w:t>Making More Health</w:t>
      </w:r>
      <w:r w:rsidRPr="001720B0">
        <w:rPr>
          <w:rFonts w:cstheme="minorHAnsi"/>
          <w:sz w:val="24"/>
          <w:szCs w:val="24"/>
          <w:lang w:val="it-IT"/>
        </w:rPr>
        <w:t xml:space="preserve">”, la valorizzazione attiva della diversità delle risorse umane, che con le rispettive differenti competenze ed esperienze apportano beneficio all’azienda, e il suo essere sempre attenta alla sostenibilità e alla tutela dell’ambiente in ogni sua attività. </w:t>
      </w:r>
    </w:p>
    <w:p w:rsidR="002575EA" w:rsidRPr="009131C5" w:rsidRDefault="002575EA" w:rsidP="002575EA">
      <w:pPr>
        <w:spacing w:line="312" w:lineRule="auto"/>
        <w:jc w:val="both"/>
        <w:rPr>
          <w:rFonts w:cstheme="minorHAnsi"/>
          <w:sz w:val="22"/>
          <w:lang w:val="it-IT"/>
        </w:rPr>
      </w:pPr>
      <w:r w:rsidRPr="009131C5">
        <w:rPr>
          <w:rFonts w:cstheme="minorHAnsi"/>
          <w:sz w:val="22"/>
          <w:lang w:val="it-IT"/>
        </w:rPr>
        <w:t xml:space="preserve">Per maggiori informazioni visitate il sito www.boehringer-ingelheim.com o consultate il Bilancio all’indirizzo </w:t>
      </w:r>
      <w:hyperlink r:id="rId8" w:history="1">
        <w:r w:rsidRPr="009131C5">
          <w:rPr>
            <w:rStyle w:val="Collegamentoipertestuale"/>
            <w:rFonts w:cstheme="minorHAnsi"/>
            <w:sz w:val="22"/>
            <w:lang w:val="it-IT"/>
          </w:rPr>
          <w:t>http://annualreport.boehringer-ingelheim.com</w:t>
        </w:r>
      </w:hyperlink>
      <w:r w:rsidRPr="009131C5">
        <w:rPr>
          <w:rFonts w:cstheme="minorHAnsi"/>
          <w:sz w:val="22"/>
          <w:lang w:val="it-IT"/>
        </w:rPr>
        <w:t>.</w:t>
      </w:r>
    </w:p>
    <w:p w:rsidR="002575EA" w:rsidRPr="009131C5" w:rsidRDefault="002575EA" w:rsidP="00A0407F">
      <w:pPr>
        <w:pStyle w:val="Testocommento"/>
        <w:jc w:val="both"/>
        <w:rPr>
          <w:rStyle w:val="Highlight"/>
          <w:rFonts w:asciiTheme="minorHAnsi" w:hAnsiTheme="minorHAnsi" w:cstheme="minorHAnsi"/>
          <w:noProof w:val="0"/>
          <w:sz w:val="22"/>
          <w:szCs w:val="22"/>
          <w:lang w:val="it-IT"/>
        </w:rPr>
      </w:pPr>
    </w:p>
    <w:p w:rsidR="009131C5" w:rsidRPr="001720B0" w:rsidRDefault="009131C5" w:rsidP="009131C5">
      <w:pPr>
        <w:pStyle w:val="Default"/>
        <w:spacing w:line="264" w:lineRule="auto"/>
        <w:jc w:val="both"/>
        <w:rPr>
          <w:rFonts w:asciiTheme="minorHAnsi" w:hAnsiTheme="minorHAnsi" w:cstheme="minorHAnsi"/>
          <w:i/>
          <w:iCs/>
          <w:lang w:val="it-IT"/>
        </w:rPr>
      </w:pPr>
      <w:r w:rsidRPr="009131C5">
        <w:rPr>
          <w:rFonts w:asciiTheme="minorHAnsi" w:hAnsiTheme="minorHAnsi" w:cstheme="minorHAnsi"/>
          <w:i/>
          <w:iCs/>
          <w:sz w:val="20"/>
          <w:szCs w:val="20"/>
          <w:lang w:val="it-IT"/>
        </w:rPr>
        <w:t>Il presente comunicato stampa è stato emesso dalla Sede Centrale del Gruppo a Ingelheim, in Germania, ed è volto a informare sul nostro business a livello internazionale. Sappiate che le informazioni sullo stato di approvazione e le indicazioni dei prodotti approvati possono variare da Paese a Paese e potrebbero essere state diramate in un comunicato stampa specifico sull’argomento nei Paesi in cui operiamo</w:t>
      </w:r>
      <w:r w:rsidRPr="001720B0">
        <w:rPr>
          <w:rFonts w:asciiTheme="minorHAnsi" w:hAnsiTheme="minorHAnsi" w:cstheme="minorHAnsi"/>
          <w:i/>
          <w:iCs/>
          <w:lang w:val="it-IT"/>
        </w:rPr>
        <w:t>.</w:t>
      </w:r>
    </w:p>
    <w:p w:rsidR="00A24539" w:rsidRDefault="00A24539" w:rsidP="00A24539">
      <w:pPr>
        <w:spacing w:line="276" w:lineRule="auto"/>
        <w:jc w:val="both"/>
        <w:rPr>
          <w:color w:val="002060"/>
          <w:lang w:val="it-IT"/>
        </w:rPr>
      </w:pPr>
    </w:p>
    <w:p w:rsidR="00A24539" w:rsidRPr="00EB17C0" w:rsidRDefault="00262285" w:rsidP="00A24539">
      <w:pPr>
        <w:spacing w:line="276" w:lineRule="auto"/>
        <w:jc w:val="both"/>
        <w:rPr>
          <w:b/>
          <w:bCs/>
          <w:color w:val="002060"/>
          <w:sz w:val="24"/>
          <w:szCs w:val="24"/>
          <w:lang w:val="it-IT"/>
        </w:rPr>
      </w:pPr>
      <w:r>
        <w:rPr>
          <w:b/>
          <w:bCs/>
          <w:color w:val="002060"/>
          <w:sz w:val="24"/>
          <w:szCs w:val="24"/>
          <w:lang w:val="it-IT"/>
        </w:rPr>
        <w:t>C</w:t>
      </w:r>
      <w:r w:rsidR="00A24539" w:rsidRPr="00EB17C0">
        <w:rPr>
          <w:b/>
          <w:bCs/>
          <w:color w:val="002060"/>
          <w:sz w:val="24"/>
          <w:szCs w:val="24"/>
          <w:lang w:val="it-IT"/>
        </w:rPr>
        <w:t>ontatti: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it-IT"/>
        </w:rPr>
      </w:pPr>
      <w:r w:rsidRPr="00262285">
        <w:rPr>
          <w:szCs w:val="20"/>
          <w:lang w:val="it-IT"/>
        </w:rPr>
        <w:t>Marina Guffanti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it-IT"/>
        </w:rPr>
      </w:pPr>
      <w:r w:rsidRPr="00262285">
        <w:rPr>
          <w:szCs w:val="20"/>
          <w:lang w:val="it-IT"/>
        </w:rPr>
        <w:t>Comunicazione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it-IT"/>
        </w:rPr>
      </w:pPr>
      <w:r w:rsidRPr="00262285">
        <w:rPr>
          <w:szCs w:val="20"/>
          <w:lang w:val="it-IT"/>
        </w:rPr>
        <w:t>Boehringer Ingelheim Italia SpA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>Phone:  + 39 – 02 5355453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>Cell.     +39 348 3995284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 xml:space="preserve">e-mail:  </w:t>
      </w:r>
      <w:hyperlink r:id="rId9" w:history="1">
        <w:r w:rsidRPr="00262285">
          <w:rPr>
            <w:szCs w:val="20"/>
            <w:lang w:val="fr-FR"/>
          </w:rPr>
          <w:t>marina.guffanti@boehringer-ingelheim.com</w:t>
        </w:r>
      </w:hyperlink>
    </w:p>
    <w:p w:rsidR="00262285" w:rsidRDefault="00262285" w:rsidP="00A24539">
      <w:pPr>
        <w:spacing w:line="276" w:lineRule="auto"/>
        <w:jc w:val="both"/>
        <w:rPr>
          <w:sz w:val="22"/>
          <w:lang w:val="fr-FR"/>
        </w:rPr>
      </w:pP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>Maria Luisa Paleari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>Value Relations Srl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>Phone: + 39 – 02 20424941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>Cell. + 39 331 6718518</w:t>
      </w:r>
    </w:p>
    <w:p w:rsidR="00A24539" w:rsidRPr="00262285" w:rsidRDefault="00A24539" w:rsidP="00A24539">
      <w:pPr>
        <w:spacing w:line="276" w:lineRule="auto"/>
        <w:jc w:val="both"/>
        <w:rPr>
          <w:szCs w:val="20"/>
          <w:lang w:val="fr-FR"/>
        </w:rPr>
      </w:pPr>
      <w:r w:rsidRPr="00262285">
        <w:rPr>
          <w:szCs w:val="20"/>
          <w:lang w:val="fr-FR"/>
        </w:rPr>
        <w:t xml:space="preserve">e-mail: </w:t>
      </w:r>
      <w:hyperlink r:id="rId10" w:history="1">
        <w:r w:rsidRPr="00262285">
          <w:rPr>
            <w:szCs w:val="20"/>
            <w:lang w:val="fr-FR"/>
          </w:rPr>
          <w:t>ml.paleari@vrelations.it</w:t>
        </w:r>
      </w:hyperlink>
    </w:p>
    <w:p w:rsidR="009131C5" w:rsidRPr="001720B0" w:rsidRDefault="00262285" w:rsidP="009131C5">
      <w:pPr>
        <w:pStyle w:val="Default"/>
        <w:spacing w:line="312" w:lineRule="auto"/>
        <w:rPr>
          <w:rStyle w:val="Highlight"/>
          <w:rFonts w:asciiTheme="minorHAnsi" w:hAnsiTheme="minorHAnsi" w:cstheme="minorHAnsi"/>
          <w:color w:val="auto"/>
          <w:lang w:val="it-IT"/>
        </w:rPr>
      </w:pPr>
      <w:r>
        <w:rPr>
          <w:rStyle w:val="Highlight"/>
          <w:rFonts w:asciiTheme="minorHAnsi" w:hAnsiTheme="minorHAnsi" w:cstheme="minorHAnsi"/>
          <w:color w:val="auto"/>
          <w:lang w:val="it-IT"/>
        </w:rPr>
        <w:lastRenderedPageBreak/>
        <w:t>B</w:t>
      </w:r>
      <w:r w:rsidR="009131C5" w:rsidRPr="001720B0">
        <w:rPr>
          <w:rStyle w:val="Highlight"/>
          <w:rFonts w:asciiTheme="minorHAnsi" w:hAnsiTheme="minorHAnsi" w:cstheme="minorHAnsi"/>
          <w:color w:val="auto"/>
          <w:lang w:val="it-IT"/>
        </w:rPr>
        <w:t xml:space="preserve">IBLIOGRAFIA 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EB17C0">
        <w:rPr>
          <w:rFonts w:cstheme="minorHAnsi"/>
          <w:lang w:val="en-US"/>
        </w:rPr>
        <w:t xml:space="preserve">Lip GYH. </w:t>
      </w:r>
      <w:r w:rsidRPr="00EB17C0">
        <w:rPr>
          <w:rFonts w:cstheme="minorHAnsi"/>
          <w:i/>
          <w:lang w:val="en-US"/>
        </w:rPr>
        <w:t>et al</w:t>
      </w:r>
      <w:r w:rsidRPr="00EB17C0">
        <w:rPr>
          <w:rFonts w:cstheme="minorHAnsi"/>
          <w:lang w:val="en-US"/>
        </w:rPr>
        <w:t>. Two-year safety and effectiveness of dabigatran etexilato in patients with atrial fibrillation: Final Phase II results of the GLORIA-AF Registry Program. (Abstract 1055) Presented at EHRA 2018, the annual congress of the European Heart Rhythm Association (EHRA), March 20, 2018.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EB17C0">
        <w:rPr>
          <w:rFonts w:cstheme="minorHAnsi"/>
          <w:lang w:val="en-US"/>
        </w:rPr>
        <w:t xml:space="preserve">Lip GYH. </w:t>
      </w:r>
      <w:r w:rsidRPr="00EB17C0">
        <w:rPr>
          <w:rFonts w:cstheme="minorHAnsi"/>
          <w:i/>
          <w:lang w:val="en-US"/>
        </w:rPr>
        <w:t>et al</w:t>
      </w:r>
      <w:r w:rsidRPr="00EB17C0">
        <w:rPr>
          <w:rFonts w:cstheme="minorHAnsi"/>
          <w:lang w:val="en-US"/>
        </w:rPr>
        <w:t>. Safety of uninterrupted dabigatran etexilato for cardiovascular interventions in the GLORIA-AF Registry Program. (Abstract 200) Presented at EHRA 2018, the annual congress of the European Heart Rhythm Association (EHRA), March 18, 2018.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C6303B">
        <w:rPr>
          <w:rFonts w:cstheme="minorHAnsi"/>
        </w:rPr>
        <w:t xml:space="preserve">Calkins H. </w:t>
      </w:r>
      <w:r w:rsidRPr="00C6303B">
        <w:rPr>
          <w:rFonts w:cstheme="minorHAnsi"/>
          <w:i/>
        </w:rPr>
        <w:t>et al</w:t>
      </w:r>
      <w:r w:rsidRPr="00C6303B">
        <w:rPr>
          <w:rFonts w:cstheme="minorHAnsi"/>
        </w:rPr>
        <w:t xml:space="preserve">. Uninterrupted Dabigatran etexilato versus Warfarin for Ablation in Atrial Fibrillation. </w:t>
      </w:r>
      <w:r w:rsidRPr="001720B0">
        <w:rPr>
          <w:rFonts w:cstheme="minorHAnsi"/>
          <w:lang w:val="it-IT"/>
        </w:rPr>
        <w:t>NEJM. 2017. DOI: 10.1056/NEJMoa1701005.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EB17C0">
        <w:rPr>
          <w:rFonts w:cstheme="minorHAnsi"/>
          <w:lang w:val="da-DK"/>
        </w:rPr>
        <w:t xml:space="preserve">Lloyd-Jones. DM. </w:t>
      </w:r>
      <w:r w:rsidRPr="00EB17C0">
        <w:rPr>
          <w:rFonts w:cstheme="minorHAnsi"/>
          <w:i/>
          <w:lang w:val="da-DK"/>
        </w:rPr>
        <w:t>et al.</w:t>
      </w:r>
      <w:r w:rsidRPr="00EB17C0">
        <w:rPr>
          <w:rFonts w:cstheme="minorHAnsi"/>
          <w:lang w:val="da-DK"/>
        </w:rPr>
        <w:t xml:space="preserve"> </w:t>
      </w:r>
      <w:r w:rsidRPr="00EB17C0">
        <w:rPr>
          <w:rFonts w:cstheme="minorHAnsi"/>
          <w:lang w:val="en-US"/>
        </w:rPr>
        <w:t xml:space="preserve">Lifetime risk for development of atrial fibrillation: the Framingham Heart Study. </w:t>
      </w:r>
      <w:r w:rsidRPr="001720B0">
        <w:rPr>
          <w:rFonts w:cstheme="minorHAnsi"/>
          <w:lang w:val="it-IT"/>
        </w:rPr>
        <w:t>Circulation. 2004;110(9):1042-46.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EB17C0">
        <w:rPr>
          <w:rFonts w:cstheme="minorHAnsi"/>
          <w:lang w:val="en-US"/>
        </w:rPr>
        <w:t xml:space="preserve">Camm. AJ. </w:t>
      </w:r>
      <w:r w:rsidRPr="00EB17C0">
        <w:rPr>
          <w:rFonts w:cstheme="minorHAnsi"/>
          <w:i/>
          <w:lang w:val="en-US"/>
        </w:rPr>
        <w:t>et al</w:t>
      </w:r>
      <w:r w:rsidRPr="00EB17C0">
        <w:rPr>
          <w:rFonts w:cstheme="minorHAnsi"/>
          <w:lang w:val="en-US"/>
        </w:rPr>
        <w:t xml:space="preserve">. 2012 focused update of the ESC Guidelines for the management of atrial fibrillation. </w:t>
      </w:r>
      <w:r w:rsidRPr="001720B0">
        <w:rPr>
          <w:rFonts w:cstheme="minorHAnsi"/>
          <w:lang w:val="it-IT"/>
        </w:rPr>
        <w:t>Eur Heart J. 2012;33(21):2719-47.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EB17C0">
        <w:rPr>
          <w:rFonts w:cstheme="minorHAnsi"/>
          <w:lang w:val="en-US"/>
        </w:rPr>
        <w:t xml:space="preserve">Kirchhof. P. </w:t>
      </w:r>
      <w:r w:rsidRPr="00EB17C0">
        <w:rPr>
          <w:rFonts w:cstheme="minorHAnsi"/>
          <w:i/>
          <w:lang w:val="en-US"/>
        </w:rPr>
        <w:t>et al</w:t>
      </w:r>
      <w:r w:rsidRPr="00EB17C0">
        <w:rPr>
          <w:rFonts w:cstheme="minorHAnsi"/>
          <w:lang w:val="en-US"/>
        </w:rPr>
        <w:t xml:space="preserve">. 2016 ESC Guidelines for the management of atrial fibrillation developed in collaboration with EACTS. </w:t>
      </w:r>
      <w:r w:rsidRPr="001720B0">
        <w:rPr>
          <w:rFonts w:cstheme="minorHAnsi"/>
          <w:lang w:val="it-IT"/>
        </w:rPr>
        <w:t>Eur Heart J. 2016;37(38):2893-2962.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EB17C0">
        <w:rPr>
          <w:rFonts w:cstheme="minorHAnsi"/>
          <w:lang w:val="en-US"/>
        </w:rPr>
        <w:t>Atlas of Heart Disease and Stroke, World Health Organization, September 2004.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EB17C0">
        <w:rPr>
          <w:rFonts w:cstheme="minorHAnsi"/>
          <w:lang w:val="en-US"/>
        </w:rPr>
        <w:t xml:space="preserve">Huisman MV. </w:t>
      </w:r>
      <w:r w:rsidRPr="00EB17C0">
        <w:rPr>
          <w:rFonts w:cstheme="minorHAnsi"/>
          <w:i/>
          <w:lang w:val="en-US"/>
        </w:rPr>
        <w:t>et al</w:t>
      </w:r>
      <w:r w:rsidRPr="00EB17C0">
        <w:rPr>
          <w:rFonts w:cstheme="minorHAnsi"/>
          <w:lang w:val="en-US"/>
        </w:rPr>
        <w:t xml:space="preserve">. Design and rationale of Global Registry on Long-Term Oral Antithrombotic Treatment in Patients with Atrial Fibrillation: A global registry program on long-term oral antithrombotic treatment in patients with atrial fibrillation. </w:t>
      </w:r>
      <w:r w:rsidRPr="001720B0">
        <w:rPr>
          <w:rFonts w:cstheme="minorHAnsi"/>
          <w:lang w:val="it-IT"/>
        </w:rPr>
        <w:t>Am Heart J. 2014;167:329–34.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EB17C0">
        <w:rPr>
          <w:rFonts w:cstheme="minorHAnsi"/>
          <w:lang w:val="en-US"/>
        </w:rPr>
        <w:t>GLORIA-AF Registry website: Registry Design. https://www.gloria-af.com/public/about-regDesign.html Last accessed March 2018.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nb-NO"/>
        </w:rPr>
      </w:pPr>
      <w:r w:rsidRPr="00EB17C0">
        <w:rPr>
          <w:rFonts w:cstheme="minorHAnsi"/>
          <w:lang w:val="nb-NO"/>
        </w:rPr>
        <w:t>Boehringer Ingelheim, data on file.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1720B0">
        <w:rPr>
          <w:rFonts w:cstheme="minorHAnsi"/>
          <w:lang w:val="it-IT"/>
        </w:rPr>
        <w:t>Pradaxa® US Prescribing Information, 2015.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EB17C0">
        <w:rPr>
          <w:rFonts w:cstheme="minorHAnsi"/>
          <w:lang w:val="en-US"/>
        </w:rPr>
        <w:t>Pradaxa® European Summary of Product Characteristics, 2016.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EB17C0">
        <w:rPr>
          <w:rFonts w:cstheme="minorHAnsi"/>
          <w:lang w:val="en-US"/>
        </w:rPr>
        <w:t xml:space="preserve">Stangier J. Clinical pharmacokinetics and pharmacodynamics of the oral direct thrombin inhibitor dabigatran etexilato etexilate. </w:t>
      </w:r>
      <w:r w:rsidRPr="001720B0">
        <w:rPr>
          <w:rFonts w:cstheme="minorHAnsi"/>
          <w:lang w:val="it-IT"/>
        </w:rPr>
        <w:t>Clin Pharmacokinet. 2008;47(5):285–95.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1720B0">
        <w:rPr>
          <w:rFonts w:cstheme="minorHAnsi"/>
          <w:lang w:val="it-IT"/>
        </w:rPr>
        <w:lastRenderedPageBreak/>
        <w:t xml:space="preserve">Di Nisio M. </w:t>
      </w:r>
      <w:r w:rsidRPr="001720B0">
        <w:rPr>
          <w:rFonts w:cstheme="minorHAnsi"/>
          <w:i/>
          <w:lang w:val="it-IT"/>
        </w:rPr>
        <w:t>et al.</w:t>
      </w:r>
      <w:r w:rsidRPr="001720B0">
        <w:rPr>
          <w:rFonts w:cstheme="minorHAnsi"/>
          <w:lang w:val="it-IT"/>
        </w:rPr>
        <w:t xml:space="preserve"> </w:t>
      </w:r>
      <w:r w:rsidRPr="00EB17C0">
        <w:rPr>
          <w:rFonts w:cstheme="minorHAnsi"/>
          <w:lang w:val="en-US"/>
        </w:rPr>
        <w:t>Direct thrombin inhibitors. N Engl J Med.2005;353:1028–40.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EB17C0">
        <w:rPr>
          <w:rFonts w:cstheme="minorHAnsi"/>
          <w:lang w:val="en-US"/>
        </w:rPr>
        <w:t xml:space="preserve">Stangier J. </w:t>
      </w:r>
      <w:r w:rsidRPr="00EB17C0">
        <w:rPr>
          <w:rFonts w:cstheme="minorHAnsi"/>
          <w:i/>
          <w:lang w:val="en-US"/>
        </w:rPr>
        <w:t>et al.</w:t>
      </w:r>
      <w:r w:rsidRPr="00EB17C0">
        <w:rPr>
          <w:rFonts w:cstheme="minorHAnsi"/>
          <w:lang w:val="en-US"/>
        </w:rPr>
        <w:t xml:space="preserve"> Pharmacokinetic Profile of the Oral Direct Thrombin Inhibitor Dabigatran etexilato Etexilate in Healthy Volunteers and Patients Undergoing Total Hip Replacement. </w:t>
      </w:r>
      <w:r w:rsidRPr="001720B0">
        <w:rPr>
          <w:rFonts w:cstheme="minorHAnsi"/>
          <w:lang w:val="it-IT"/>
        </w:rPr>
        <w:t>J Clin Pharmacol. 2005;45:555–63.</w:t>
      </w:r>
    </w:p>
    <w:p w:rsidR="009131C5" w:rsidRPr="00EB17C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en-US"/>
        </w:rPr>
      </w:pPr>
      <w:r w:rsidRPr="00EB17C0">
        <w:rPr>
          <w:rFonts w:cstheme="minorHAnsi"/>
          <w:lang w:val="en-US"/>
        </w:rPr>
        <w:t>Praxbind® European Summary of Product Characteristics, 2016.</w:t>
      </w:r>
    </w:p>
    <w:p w:rsidR="009131C5" w:rsidRPr="001720B0" w:rsidRDefault="009131C5" w:rsidP="009131C5">
      <w:pPr>
        <w:pStyle w:val="Paragrafoelenco"/>
        <w:keepNext w:val="0"/>
        <w:keepLines w:val="0"/>
        <w:widowControl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theme="minorHAnsi"/>
          <w:lang w:val="it-IT"/>
        </w:rPr>
      </w:pPr>
      <w:r w:rsidRPr="001720B0">
        <w:rPr>
          <w:rFonts w:cstheme="minorHAnsi"/>
          <w:lang w:val="it-IT"/>
        </w:rPr>
        <w:t xml:space="preserve">Praxbind® US Prescribing Information, 2015. </w:t>
      </w:r>
    </w:p>
    <w:p w:rsidR="00A0407F" w:rsidRPr="00DD3D98" w:rsidRDefault="00A0407F" w:rsidP="00A0407F">
      <w:pPr>
        <w:tabs>
          <w:tab w:val="left" w:pos="2552"/>
        </w:tabs>
        <w:spacing w:line="240" w:lineRule="auto"/>
        <w:jc w:val="both"/>
        <w:rPr>
          <w:rFonts w:cstheme="minorHAnsi"/>
          <w:noProof w:val="0"/>
          <w:sz w:val="24"/>
          <w:szCs w:val="24"/>
          <w:u w:val="single"/>
          <w:lang w:val="it-IT"/>
        </w:rPr>
      </w:pPr>
    </w:p>
    <w:p w:rsidR="00A0407F" w:rsidRPr="00DD3D98" w:rsidRDefault="00A0407F" w:rsidP="00A0407F">
      <w:pPr>
        <w:tabs>
          <w:tab w:val="left" w:pos="2552"/>
        </w:tabs>
        <w:spacing w:line="240" w:lineRule="auto"/>
        <w:jc w:val="both"/>
        <w:rPr>
          <w:rFonts w:cstheme="minorHAnsi"/>
          <w:noProof w:val="0"/>
          <w:sz w:val="24"/>
          <w:szCs w:val="24"/>
          <w:u w:val="single"/>
          <w:lang w:val="it-IT"/>
        </w:rPr>
      </w:pPr>
    </w:p>
    <w:p w:rsidR="00A0407F" w:rsidRPr="00DD3D98" w:rsidRDefault="00A0407F" w:rsidP="00A0407F">
      <w:pPr>
        <w:tabs>
          <w:tab w:val="left" w:pos="2552"/>
        </w:tabs>
        <w:spacing w:line="240" w:lineRule="auto"/>
        <w:jc w:val="both"/>
        <w:rPr>
          <w:rFonts w:cstheme="minorHAnsi"/>
          <w:noProof w:val="0"/>
          <w:sz w:val="24"/>
          <w:szCs w:val="24"/>
          <w:u w:val="single"/>
          <w:lang w:val="it-IT"/>
        </w:rPr>
      </w:pPr>
    </w:p>
    <w:p w:rsidR="00A0407F" w:rsidRPr="00DD3D98" w:rsidRDefault="00A0407F" w:rsidP="00A0407F">
      <w:pPr>
        <w:pStyle w:val="Testocommento"/>
        <w:jc w:val="both"/>
        <w:rPr>
          <w:rFonts w:asciiTheme="minorHAnsi" w:hAnsiTheme="minorHAnsi" w:cstheme="minorHAnsi"/>
          <w:noProof w:val="0"/>
          <w:sz w:val="24"/>
          <w:szCs w:val="24"/>
          <w:lang w:val="it-IT"/>
        </w:rPr>
      </w:pPr>
    </w:p>
    <w:p w:rsidR="00A0407F" w:rsidRPr="00DD3D98" w:rsidRDefault="00A0407F" w:rsidP="00A0407F">
      <w:pPr>
        <w:tabs>
          <w:tab w:val="left" w:pos="2552"/>
        </w:tabs>
        <w:spacing w:line="240" w:lineRule="auto"/>
        <w:ind w:left="360" w:hanging="360"/>
        <w:jc w:val="both"/>
        <w:rPr>
          <w:rFonts w:cstheme="minorHAnsi"/>
          <w:b/>
          <w:noProof w:val="0"/>
          <w:sz w:val="24"/>
          <w:szCs w:val="24"/>
          <w:u w:val="single"/>
          <w:lang w:val="it-IT"/>
        </w:rPr>
      </w:pPr>
    </w:p>
    <w:p w:rsidR="00961FDE" w:rsidRPr="00DD3D98" w:rsidRDefault="00961FDE" w:rsidP="00A0407F">
      <w:pPr>
        <w:jc w:val="both"/>
        <w:rPr>
          <w:rFonts w:cstheme="minorHAnsi"/>
          <w:noProof w:val="0"/>
          <w:sz w:val="24"/>
          <w:szCs w:val="24"/>
          <w:lang w:val="it-IT"/>
        </w:rPr>
      </w:pPr>
    </w:p>
    <w:sectPr w:rsidR="00961FDE" w:rsidRPr="00DD3D98" w:rsidSect="00EA75D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3544" w:right="3968" w:bottom="184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1B" w:rsidRDefault="000A341B" w:rsidP="001541DD">
      <w:pPr>
        <w:spacing w:line="240" w:lineRule="auto"/>
      </w:pPr>
      <w:r>
        <w:separator/>
      </w:r>
    </w:p>
  </w:endnote>
  <w:endnote w:type="continuationSeparator" w:id="0">
    <w:p w:rsidR="000A341B" w:rsidRDefault="000A341B" w:rsidP="00154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Sans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73222627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55673625"/>
          <w:docPartObj>
            <w:docPartGallery w:val="Page Numbers (Top of Page)"/>
            <w:docPartUnique/>
          </w:docPartObj>
        </w:sdtPr>
        <w:sdtEndPr/>
        <w:sdtContent>
          <w:p w:rsidR="00CA23B5" w:rsidRDefault="00CA23B5" w:rsidP="00EA75D2">
            <w:pPr>
              <w:spacing w:line="240" w:lineRule="auto"/>
              <w:rPr>
                <w:rFonts w:cs="Arial"/>
                <w:sz w:val="14"/>
                <w:szCs w:val="16"/>
                <w:lang w:val="en-US"/>
              </w:rPr>
            </w:pPr>
          </w:p>
          <w:p w:rsidR="00CA23B5" w:rsidRPr="00EB17C0" w:rsidRDefault="00CA23B5" w:rsidP="00EA75D2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  <w:r w:rsidRPr="00EB17C0">
              <w:rPr>
                <w:rFonts w:cs="Arial"/>
                <w:sz w:val="16"/>
                <w:szCs w:val="16"/>
                <w:lang w:val="it-IT"/>
              </w:rPr>
              <w:t>Boehringer Ingelheim C</w:t>
            </w:r>
            <w:r>
              <w:rPr>
                <w:rFonts w:cs="Arial"/>
                <w:sz w:val="16"/>
                <w:szCs w:val="16"/>
                <w:lang w:val="it-IT"/>
              </w:rPr>
              <w:t>omunicato Stampa pagina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EB17C0">
              <w:rPr>
                <w:rFonts w:cs="Arial"/>
                <w:sz w:val="16"/>
                <w:szCs w:val="16"/>
                <w:lang w:val="it-IT"/>
              </w:rPr>
              <w:instrText xml:space="preserve"> PAGE </w:instrText>
            </w:r>
            <w:r w:rsidR="006A7E71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560B39">
              <w:rPr>
                <w:rFonts w:cs="Arial"/>
                <w:sz w:val="16"/>
                <w:szCs w:val="16"/>
                <w:lang w:val="it-IT"/>
              </w:rPr>
              <w:t>6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end"/>
            </w:r>
            <w:r w:rsidRPr="00EB17C0">
              <w:rPr>
                <w:rFonts w:cs="Arial"/>
                <w:sz w:val="16"/>
                <w:szCs w:val="16"/>
                <w:lang w:val="it-IT"/>
              </w:rPr>
              <w:t xml:space="preserve"> di  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begin"/>
            </w:r>
            <w:r w:rsidRPr="00EB17C0">
              <w:rPr>
                <w:rFonts w:cs="Arial"/>
                <w:sz w:val="16"/>
                <w:szCs w:val="16"/>
                <w:lang w:val="it-IT"/>
              </w:rPr>
              <w:instrText xml:space="preserve"> NUMPAGES  </w:instrText>
            </w:r>
            <w:r w:rsidR="006A7E71" w:rsidRPr="00FF7134">
              <w:rPr>
                <w:rFonts w:cs="Arial"/>
                <w:sz w:val="16"/>
                <w:szCs w:val="16"/>
              </w:rPr>
              <w:fldChar w:fldCharType="separate"/>
            </w:r>
            <w:r w:rsidR="00560B39">
              <w:rPr>
                <w:rFonts w:cs="Arial"/>
                <w:sz w:val="16"/>
                <w:szCs w:val="16"/>
                <w:lang w:val="it-IT"/>
              </w:rPr>
              <w:t>8</w:t>
            </w:r>
            <w:r w:rsidR="006A7E71" w:rsidRPr="00FF7134">
              <w:rPr>
                <w:rFonts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CA23B5" w:rsidRPr="00EB17C0" w:rsidRDefault="00CA23B5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12716339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518234568"/>
          <w:docPartObj>
            <w:docPartGallery w:val="Page Numbers (Top of Page)"/>
            <w:docPartUnique/>
          </w:docPartObj>
        </w:sdtPr>
        <w:sdtEndPr/>
        <w:sdtContent>
          <w:p w:rsidR="00CA23B5" w:rsidRDefault="00CA23B5">
            <w:pPr>
              <w:pStyle w:val="Pidipagina"/>
              <w:rPr>
                <w:rFonts w:cs="Arial"/>
                <w:sz w:val="16"/>
                <w:szCs w:val="16"/>
              </w:rPr>
            </w:pPr>
          </w:p>
          <w:p w:rsidR="00CA23B5" w:rsidRPr="00EB17C0" w:rsidRDefault="00CA23B5">
            <w:pPr>
              <w:pStyle w:val="Pidipagina"/>
              <w:rPr>
                <w:rFonts w:cs="Arial"/>
                <w:sz w:val="16"/>
                <w:szCs w:val="16"/>
                <w:lang w:val="it-IT"/>
              </w:rPr>
            </w:pP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Boehringer Ingelheim </w:t>
            </w:r>
            <w:r>
              <w:rPr>
                <w:rFonts w:cs="Arial"/>
                <w:sz w:val="16"/>
                <w:szCs w:val="16"/>
                <w:lang w:val="it-IT"/>
              </w:rPr>
              <w:t>C omunicato Stampa pagina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begin"/>
            </w:r>
            <w:r w:rsidRPr="002116F1">
              <w:rPr>
                <w:rFonts w:cs="Arial"/>
                <w:sz w:val="16"/>
                <w:szCs w:val="16"/>
                <w:lang w:val="it-IT"/>
              </w:rPr>
              <w:instrText xml:space="preserve"> PAGE </w:instrTex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separate"/>
            </w:r>
            <w:r w:rsidR="00560B39">
              <w:rPr>
                <w:rFonts w:cs="Arial"/>
                <w:sz w:val="16"/>
                <w:szCs w:val="16"/>
                <w:lang w:val="it-IT"/>
              </w:rPr>
              <w:t>1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end"/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cs="Arial"/>
                <w:sz w:val="16"/>
                <w:szCs w:val="16"/>
                <w:lang w:val="it-IT"/>
              </w:rPr>
              <w:t>di</w:t>
            </w:r>
            <w:r w:rsidRPr="002116F1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begin"/>
            </w:r>
            <w:r w:rsidRPr="002116F1">
              <w:rPr>
                <w:rFonts w:cs="Arial"/>
                <w:sz w:val="16"/>
                <w:szCs w:val="16"/>
                <w:lang w:val="it-IT"/>
              </w:rPr>
              <w:instrText xml:space="preserve"> NUMPAGES  </w:instrTex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separate"/>
            </w:r>
            <w:r w:rsidR="00560B39">
              <w:rPr>
                <w:rFonts w:cs="Arial"/>
                <w:sz w:val="16"/>
                <w:szCs w:val="16"/>
                <w:lang w:val="it-IT"/>
              </w:rPr>
              <w:t>8</w:t>
            </w:r>
            <w:r w:rsidR="006A7E71" w:rsidRPr="002116F1">
              <w:rPr>
                <w:rFonts w:cs="Arial"/>
                <w:sz w:val="16"/>
                <w:szCs w:val="16"/>
                <w:lang w:val="it-I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1B" w:rsidRDefault="000A341B" w:rsidP="001541DD">
      <w:pPr>
        <w:spacing w:line="240" w:lineRule="auto"/>
      </w:pPr>
      <w:r>
        <w:separator/>
      </w:r>
    </w:p>
  </w:footnote>
  <w:footnote w:type="continuationSeparator" w:id="0">
    <w:p w:rsidR="000A341B" w:rsidRDefault="000A341B" w:rsidP="00154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B5" w:rsidRDefault="001D6A68">
    <w:pPr>
      <w:pStyle w:val="Intestazione"/>
    </w:pP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A23B5" w:rsidRPr="002116F1" w:rsidRDefault="00CA23B5" w:rsidP="002116F1">
                          <w:pPr>
                            <w:rPr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C</w:t>
                          </w:r>
                          <w:r w:rsidRPr="002116F1"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408.85pt;margin-top:27.6pt;width:198.5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" fillcolor="#f90" stroked="f" strokecolor="#f2f2f2 [3041]" strokeweight="3pt">
              <v:shadow color="#974706 [1609]" opacity=".5" offset="1pt"/>
              <v:textbox inset="7.2mm,5mm,1.25mm,1.25mm">
                <w:txbxContent>
                  <w:p w:rsidR="00CA23B5" w:rsidRPr="002116F1" w:rsidRDefault="00CA23B5" w:rsidP="002116F1">
                    <w:pPr>
                      <w:rPr>
                        <w:szCs w:val="3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C</w:t>
                    </w:r>
                    <w:r w:rsidRPr="002116F1">
                      <w:rPr>
                        <w:rFonts w:asciiTheme="majorHAnsi" w:hAnsiTheme="majorHAnsi" w:cs="Arial"/>
                        <w:b/>
                        <w:color w:val="FFFFFF" w:themeColor="background1"/>
                        <w:sz w:val="30"/>
                        <w:szCs w:val="30"/>
                      </w:rPr>
                      <w:t>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0" b="0"/>
              <wp:wrapNone/>
              <wp:docPr id="1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63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86.1pt;margin-top:-7.7pt;width:59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0" b="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71B14" id="AutoShape 18" o:spid="_x0000_s1026" type="#_x0000_t32" style="position:absolute;margin-left:-86.1pt;margin-top:7.3pt;width:596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mUJAIAAD4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-97790</wp:posOffset>
              </wp:positionV>
              <wp:extent cx="450215" cy="190500"/>
              <wp:effectExtent l="0" t="0" r="0" b="0"/>
              <wp:wrapNone/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05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B5" w:rsidRPr="00FF7134" w:rsidRDefault="006A7E71" w:rsidP="00EA75D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A23B5"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60B39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6</w:t>
                          </w:r>
                          <w:r w:rsidRPr="00FF7134">
                            <w:rPr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7" style="position:absolute;margin-left:-43.35pt;margin-top:-7.7pt;width:35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" fillcolor="#036" stroked="f">
              <v:textbox inset="1.5mm,1.5mm,1.5mm,1.5mm">
                <w:txbxContent>
                  <w:p w:rsidR="00CA23B5" w:rsidRPr="00FF7134" w:rsidRDefault="006A7E71" w:rsidP="00EA75D2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="00CA23B5"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560B39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t>6</w:t>
                    </w:r>
                    <w:r w:rsidRPr="00FF7134">
                      <w:rPr>
                        <w:b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B5" w:rsidRDefault="001D6A68">
    <w:pPr>
      <w:pStyle w:val="Intestazione"/>
    </w:pP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0E6" w:rsidRPr="00EB17C0" w:rsidRDefault="007100E6" w:rsidP="007100E6">
                          <w:pPr>
                            <w:rPr>
                              <w:rFonts w:cs="Angsana New"/>
                              <w:b/>
                              <w:lang w:val="it-IT"/>
                            </w:rPr>
                          </w:pPr>
                          <w:r w:rsidRPr="00EB17C0">
                            <w:rPr>
                              <w:rFonts w:cs="Angsana New"/>
                              <w:b/>
                              <w:lang w:val="it-IT"/>
                            </w:rPr>
                            <w:t>Contact:</w:t>
                          </w:r>
                        </w:p>
                        <w:p w:rsidR="007100E6" w:rsidRPr="00EB17C0" w:rsidRDefault="007100E6" w:rsidP="007100E6">
                          <w:pPr>
                            <w:spacing w:line="240" w:lineRule="auto"/>
                            <w:rPr>
                              <w:b/>
                              <w:lang w:val="it-IT"/>
                            </w:rPr>
                          </w:pPr>
                          <w:r w:rsidRPr="00EB17C0">
                            <w:rPr>
                              <w:b/>
                              <w:lang w:val="it-IT"/>
                            </w:rPr>
                            <w:t>Boehringer Ingelheim</w:t>
                          </w:r>
                        </w:p>
                        <w:p w:rsidR="007100E6" w:rsidRPr="00EB17C0" w:rsidRDefault="007100E6" w:rsidP="007100E6">
                          <w:pPr>
                            <w:spacing w:line="240" w:lineRule="auto"/>
                            <w:rPr>
                              <w:b/>
                              <w:lang w:val="it-IT"/>
                            </w:rPr>
                          </w:pPr>
                          <w:r w:rsidRPr="00EB17C0">
                            <w:rPr>
                              <w:b/>
                              <w:lang w:val="it-IT"/>
                            </w:rPr>
                            <w:t>Comunicazione:</w:t>
                          </w:r>
                        </w:p>
                        <w:p w:rsidR="007100E6" w:rsidRPr="00EB17C0" w:rsidRDefault="007100E6" w:rsidP="007100E6">
                          <w:pPr>
                            <w:pStyle w:val="Intestazione"/>
                            <w:rPr>
                              <w:b/>
                              <w:color w:val="1F497D"/>
                              <w:lang w:val="it-IT"/>
                            </w:rPr>
                          </w:pPr>
                        </w:p>
                        <w:p w:rsidR="007100E6" w:rsidRPr="00EB17C0" w:rsidRDefault="007100E6" w:rsidP="007100E6">
                          <w:pPr>
                            <w:pStyle w:val="Intestazione"/>
                            <w:jc w:val="both"/>
                            <w:rPr>
                              <w:lang w:val="it-IT"/>
                            </w:rPr>
                          </w:pPr>
                          <w:r w:rsidRPr="00EB17C0">
                            <w:rPr>
                              <w:lang w:val="it-IT"/>
                            </w:rPr>
                            <w:t>Marina Guffanti</w:t>
                          </w:r>
                        </w:p>
                        <w:p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7100E6" w:rsidRPr="00956D7E" w:rsidRDefault="007100E6" w:rsidP="007100E6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7100E6" w:rsidRDefault="00FF2335" w:rsidP="007100E6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  <w:hyperlink r:id="rId1" w:history="1">
                            <w:r w:rsidR="007100E6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CA23B5" w:rsidRPr="009E31E7" w:rsidRDefault="00CA23B5" w:rsidP="00EA75D2">
                          <w:pPr>
                            <w:rPr>
                              <w:lang w:val="fr-BE"/>
                            </w:rPr>
                          </w:pPr>
                        </w:p>
                        <w:sdt>
                          <w:sdtPr>
                            <w:id w:val="-2049436089"/>
                            <w:lock w:val="contentLocked"/>
                          </w:sdtPr>
                          <w:sdtEndPr/>
                          <w:sdtContent>
                            <w:p w:rsidR="00CA23B5" w:rsidRDefault="00CA23B5"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047E8E05" wp14:editId="061B0267">
                                    <wp:extent cx="1800225" cy="107950"/>
                                    <wp:effectExtent l="19050" t="0" r="9525" b="0"/>
                                    <wp:docPr id="22" name="Bild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 cstate="print"/>
                                            <a:srcRect r="45002" b="4856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707" cy="1095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5537DFD1" wp14:editId="5B9229D1">
                                    <wp:extent cx="1800225" cy="1200647"/>
                                    <wp:effectExtent l="19050" t="0" r="9525" b="0"/>
                                    <wp:docPr id="23" name="Bild 10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Documents and Settings\Administrator\Desktop\SC_BI_News Centre_crop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 cstate="print"/>
                                            <a:srcRect t="106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225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23B5" w:rsidRPr="0002468D" w:rsidRDefault="00CA23B5" w:rsidP="00EA75D2">
                              <w:pPr>
                                <w:ind w:left="42"/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02468D"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  <w:t>More information</w:t>
                              </w:r>
                            </w:p>
                            <w:p w:rsidR="00CA23B5" w:rsidRPr="0002468D" w:rsidRDefault="00FF2335" w:rsidP="00EA75D2">
                              <w:pPr>
                                <w:spacing w:after="120"/>
                                <w:ind w:left="42"/>
                                <w:rPr>
                                  <w:lang w:val="en-US"/>
                                </w:rPr>
                              </w:pPr>
                              <w:hyperlink r:id="rId4" w:history="1">
                                <w:r w:rsidR="00CA23B5" w:rsidRPr="00831AC2">
                                  <w:rPr>
                                    <w:rStyle w:val="Collegamentoipertestuale"/>
                                    <w:lang w:val="en-US"/>
                                  </w:rPr>
                                  <w:t>www.boehringer-ingelheim.com</w:t>
                                </w:r>
                              </w:hyperlink>
                            </w:p>
                            <w:p w:rsidR="00CA23B5" w:rsidRPr="002C4B3E" w:rsidRDefault="00CA23B5">
                              <w:r w:rsidRPr="002C4B3E">
                                <w:rPr>
                                  <w:lang w:val="it-IT" w:eastAsia="zh-CN" w:bidi="th-TH"/>
                                </w:rPr>
                                <w:drawing>
                                  <wp:inline distT="0" distB="0" distL="0" distR="0" wp14:anchorId="115B2F6A" wp14:editId="7236ABFA">
                                    <wp:extent cx="1800000" cy="381000"/>
                                    <wp:effectExtent l="19050" t="0" r="0" b="0"/>
                                    <wp:docPr id="24" name="Bild 1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:\Documents and Settings\Administrator\Desktop\sm_icons_crop.png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11.75pt;margin-top:168.65pt;width:157.5pt;height:5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fhQIAABg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" stroked="f">
              <v:textbox>
                <w:txbxContent>
                  <w:p w:rsidR="007100E6" w:rsidRPr="00EB17C0" w:rsidRDefault="007100E6" w:rsidP="007100E6">
                    <w:pPr>
                      <w:rPr>
                        <w:rFonts w:cs="Angsana New"/>
                        <w:b/>
                        <w:lang w:val="it-IT"/>
                      </w:rPr>
                    </w:pPr>
                    <w:r w:rsidRPr="00EB17C0">
                      <w:rPr>
                        <w:rFonts w:cs="Angsana New"/>
                        <w:b/>
                        <w:lang w:val="it-IT"/>
                      </w:rPr>
                      <w:t>Contact:</w:t>
                    </w:r>
                  </w:p>
                  <w:p w:rsidR="007100E6" w:rsidRPr="00EB17C0" w:rsidRDefault="007100E6" w:rsidP="007100E6">
                    <w:pPr>
                      <w:spacing w:line="240" w:lineRule="auto"/>
                      <w:rPr>
                        <w:b/>
                        <w:lang w:val="it-IT"/>
                      </w:rPr>
                    </w:pPr>
                    <w:r w:rsidRPr="00EB17C0">
                      <w:rPr>
                        <w:b/>
                        <w:lang w:val="it-IT"/>
                      </w:rPr>
                      <w:t>Boehringer Ingelheim</w:t>
                    </w:r>
                  </w:p>
                  <w:p w:rsidR="007100E6" w:rsidRPr="00EB17C0" w:rsidRDefault="007100E6" w:rsidP="007100E6">
                    <w:pPr>
                      <w:spacing w:line="240" w:lineRule="auto"/>
                      <w:rPr>
                        <w:b/>
                        <w:lang w:val="it-IT"/>
                      </w:rPr>
                    </w:pPr>
                    <w:r w:rsidRPr="00EB17C0">
                      <w:rPr>
                        <w:b/>
                        <w:lang w:val="it-IT"/>
                      </w:rPr>
                      <w:t>Comunicazione:</w:t>
                    </w:r>
                  </w:p>
                  <w:p w:rsidR="007100E6" w:rsidRPr="00EB17C0" w:rsidRDefault="007100E6" w:rsidP="007100E6">
                    <w:pPr>
                      <w:pStyle w:val="Intestazione"/>
                      <w:rPr>
                        <w:b/>
                        <w:color w:val="1F497D"/>
                        <w:lang w:val="it-IT"/>
                      </w:rPr>
                    </w:pPr>
                  </w:p>
                  <w:p w:rsidR="007100E6" w:rsidRPr="00EB17C0" w:rsidRDefault="007100E6" w:rsidP="007100E6">
                    <w:pPr>
                      <w:pStyle w:val="Intestazione"/>
                      <w:jc w:val="both"/>
                      <w:rPr>
                        <w:lang w:val="it-IT"/>
                      </w:rPr>
                    </w:pPr>
                    <w:r w:rsidRPr="00EB17C0">
                      <w:rPr>
                        <w:lang w:val="it-IT"/>
                      </w:rPr>
                      <w:t>Marina Guffanti</w:t>
                    </w:r>
                  </w:p>
                  <w:p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7100E6" w:rsidRPr="00956D7E" w:rsidRDefault="007100E6" w:rsidP="007100E6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7100E6" w:rsidRDefault="00FF2335" w:rsidP="007100E6">
                    <w:pPr>
                      <w:spacing w:line="240" w:lineRule="auto"/>
                      <w:rPr>
                        <w:lang w:val="en-US"/>
                      </w:rPr>
                    </w:pPr>
                    <w:hyperlink r:id="rId6" w:history="1">
                      <w:r w:rsidR="007100E6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CA23B5" w:rsidRPr="009E31E7" w:rsidRDefault="00CA23B5" w:rsidP="00EA75D2">
                    <w:pPr>
                      <w:rPr>
                        <w:lang w:val="fr-BE"/>
                      </w:rPr>
                    </w:pPr>
                  </w:p>
                  <w:sdt>
                    <w:sdtPr>
                      <w:id w:val="-2049436089"/>
                      <w:lock w:val="contentLocked"/>
                    </w:sdtPr>
                    <w:sdtEndPr/>
                    <w:sdtContent>
                      <w:p w:rsidR="00CA23B5" w:rsidRDefault="00CA23B5"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047E8E05" wp14:editId="061B0267">
                              <wp:extent cx="1800225" cy="107950"/>
                              <wp:effectExtent l="19050" t="0" r="9525" b="0"/>
                              <wp:docPr id="22" name="Bild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 cstate="print"/>
                                      <a:srcRect r="45002" b="4856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707" cy="109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5537DFD1" wp14:editId="5B9229D1">
                              <wp:extent cx="1800225" cy="1200647"/>
                              <wp:effectExtent l="19050" t="0" r="9525" b="0"/>
                              <wp:docPr id="23" name="Bild 1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Documents and Settings\Administrator\Desktop\SC_BI_News Centre_crop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 cstate="print"/>
                                      <a:srcRect t="106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120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23B5" w:rsidRPr="0002468D" w:rsidRDefault="00CA23B5" w:rsidP="00EA75D2">
                        <w:pPr>
                          <w:ind w:left="42"/>
                          <w:rPr>
                            <w:b/>
                            <w:color w:val="000000" w:themeColor="text1"/>
                            <w:lang w:val="en-US"/>
                          </w:rPr>
                        </w:pPr>
                        <w:r w:rsidRPr="0002468D">
                          <w:rPr>
                            <w:b/>
                            <w:color w:val="000000" w:themeColor="text1"/>
                            <w:lang w:val="en-US"/>
                          </w:rPr>
                          <w:t>More information</w:t>
                        </w:r>
                      </w:p>
                      <w:p w:rsidR="00CA23B5" w:rsidRPr="0002468D" w:rsidRDefault="00FF2335" w:rsidP="00EA75D2">
                        <w:pPr>
                          <w:spacing w:after="120"/>
                          <w:ind w:left="42"/>
                          <w:rPr>
                            <w:lang w:val="en-US"/>
                          </w:rPr>
                        </w:pPr>
                        <w:hyperlink r:id="rId7" w:history="1">
                          <w:r w:rsidR="00CA23B5" w:rsidRPr="00831AC2">
                            <w:rPr>
                              <w:rStyle w:val="Collegamentoipertestuale"/>
                              <w:lang w:val="en-US"/>
                            </w:rPr>
                            <w:t>www.boehringer-ingelheim.com</w:t>
                          </w:r>
                        </w:hyperlink>
                      </w:p>
                      <w:p w:rsidR="00CA23B5" w:rsidRPr="002C4B3E" w:rsidRDefault="00CA23B5">
                        <w:r w:rsidRPr="002C4B3E">
                          <w:rPr>
                            <w:lang w:val="it-IT" w:eastAsia="zh-CN" w:bidi="th-TH"/>
                          </w:rPr>
                          <w:drawing>
                            <wp:inline distT="0" distB="0" distL="0" distR="0" wp14:anchorId="115B2F6A" wp14:editId="7236ABFA">
                              <wp:extent cx="1800000" cy="381000"/>
                              <wp:effectExtent l="19050" t="0" r="0" b="0"/>
                              <wp:docPr id="24" name="Bild 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Documents and Settings\Administrator\Desktop\sm_icons_crop.png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1352549</wp:posOffset>
              </wp:positionV>
              <wp:extent cx="7579995" cy="0"/>
              <wp:effectExtent l="0" t="0" r="0" b="0"/>
              <wp:wrapNone/>
              <wp:docPr id="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44A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86.1pt;margin-top:106.5pt;width:59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" strokecolor="#f90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90169</wp:posOffset>
              </wp:positionV>
              <wp:extent cx="7579995" cy="0"/>
              <wp:effectExtent l="0" t="0" r="0" b="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509FF" id="AutoShape 10" o:spid="_x0000_s1026" type="#_x0000_t32" style="position:absolute;margin-left:-85.05pt;margin-top:7.1pt;width:596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" strokecolor="white [3212]" strokeweight="1pt"/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517525</wp:posOffset>
              </wp:positionH>
              <wp:positionV relativeFrom="page">
                <wp:posOffset>1198880</wp:posOffset>
              </wp:positionV>
              <wp:extent cx="4434205" cy="74168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3B5" w:rsidRPr="00DD3D98" w:rsidRDefault="00CA23B5" w:rsidP="00EA75D2">
                          <w:pP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color w:val="FFFFFF" w:themeColor="background1"/>
                              <w:sz w:val="72"/>
                              <w:szCs w:val="72"/>
                              <w:lang w:val="it-IT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0.75pt;margin-top:94.4pt;width:349.15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MNsw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" o:allowincell="f" filled="f" stroked="f">
              <v:textbox inset="0,0,0,0">
                <w:txbxContent>
                  <w:p w:rsidR="00CA23B5" w:rsidRPr="00DD3D98" w:rsidRDefault="00CA23B5" w:rsidP="00EA75D2">
                    <w:pP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  <w:lang w:val="it-IT"/>
                      </w:rPr>
                    </w:pPr>
                    <w:r>
                      <w:rPr>
                        <w:rFonts w:asciiTheme="majorHAnsi" w:hAnsiTheme="majorHAnsi" w:cs="Arial"/>
                        <w:b/>
                        <w:color w:val="FFFFFF" w:themeColor="background1"/>
                        <w:sz w:val="72"/>
                        <w:szCs w:val="72"/>
                        <w:lang w:val="it-IT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A23B5" w:rsidRPr="006E7F1C">
      <w:rPr>
        <w:lang w:val="it-IT" w:eastAsia="zh-CN" w:bidi="th-T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5431022</wp:posOffset>
          </wp:positionH>
          <wp:positionV relativeFrom="page">
            <wp:posOffset>893135</wp:posOffset>
          </wp:positionV>
          <wp:extent cx="1543936" cy="478465"/>
          <wp:effectExtent l="19050" t="0" r="0" b="0"/>
          <wp:wrapNone/>
          <wp:docPr id="4" name="Bild 1" descr="C:\Dokumente und Einstellungen\Frank Neufurt\Desktop\BI-Logo_36pt_blue_ne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Frank Neufurt\Desktop\BI-Logo_36pt_blue_neg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37" cy="476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360045</wp:posOffset>
              </wp:positionV>
              <wp:extent cx="2521585" cy="125984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93E83" id="Rectangle 8" o:spid="_x0000_s1026" style="position:absolute;margin-left:396.85pt;margin-top:28.35pt;width:198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" fillcolor="#036" stroked="f">
              <w10:wrap anchorx="page" anchory="page"/>
            </v:rect>
          </w:pict>
        </mc:Fallback>
      </mc:AlternateContent>
    </w:r>
    <w:r>
      <w:rPr>
        <w:lang w:val="it-IT" w:eastAsia="zh-CN" w:bidi="th-TH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540385</wp:posOffset>
              </wp:positionV>
              <wp:extent cx="5039995" cy="125984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BAC9A" id="Rectangle 7" o:spid="_x0000_s1026" style="position:absolute;margin-left:0;margin-top:42.55pt;width:396.85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" fillcolor="#4f81bd [3204]" stroked="f" strokecolor="#f2f2f2 [3041]" strokeweight="3pt">
              <v:shadow color="#974706 [1609]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04"/>
    <w:multiLevelType w:val="hybridMultilevel"/>
    <w:tmpl w:val="9D184782"/>
    <w:lvl w:ilvl="0" w:tplc="04090001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B63"/>
    <w:multiLevelType w:val="hybridMultilevel"/>
    <w:tmpl w:val="97145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B40"/>
    <w:multiLevelType w:val="hybridMultilevel"/>
    <w:tmpl w:val="78221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E0D45AC"/>
    <w:multiLevelType w:val="hybridMultilevel"/>
    <w:tmpl w:val="902A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32E2"/>
    <w:multiLevelType w:val="hybridMultilevel"/>
    <w:tmpl w:val="FDA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7F"/>
    <w:rsid w:val="00053504"/>
    <w:rsid w:val="000A2533"/>
    <w:rsid w:val="000A341B"/>
    <w:rsid w:val="000B7603"/>
    <w:rsid w:val="000B7F68"/>
    <w:rsid w:val="000C5711"/>
    <w:rsid w:val="000F03AC"/>
    <w:rsid w:val="00104F82"/>
    <w:rsid w:val="001541DD"/>
    <w:rsid w:val="001C6A2F"/>
    <w:rsid w:val="001D6A68"/>
    <w:rsid w:val="002116F1"/>
    <w:rsid w:val="002167EC"/>
    <w:rsid w:val="00243C46"/>
    <w:rsid w:val="00245000"/>
    <w:rsid w:val="002575EA"/>
    <w:rsid w:val="00262285"/>
    <w:rsid w:val="002F0E42"/>
    <w:rsid w:val="00361C57"/>
    <w:rsid w:val="004647E8"/>
    <w:rsid w:val="00522E5A"/>
    <w:rsid w:val="00560B39"/>
    <w:rsid w:val="005B2734"/>
    <w:rsid w:val="00637F33"/>
    <w:rsid w:val="00683DB9"/>
    <w:rsid w:val="006918A7"/>
    <w:rsid w:val="006A7E71"/>
    <w:rsid w:val="006E060D"/>
    <w:rsid w:val="007100E6"/>
    <w:rsid w:val="00717589"/>
    <w:rsid w:val="00774368"/>
    <w:rsid w:val="007762C6"/>
    <w:rsid w:val="00780273"/>
    <w:rsid w:val="00795501"/>
    <w:rsid w:val="007967EE"/>
    <w:rsid w:val="009131C5"/>
    <w:rsid w:val="00915B88"/>
    <w:rsid w:val="00961FDE"/>
    <w:rsid w:val="009C1728"/>
    <w:rsid w:val="009F7491"/>
    <w:rsid w:val="00A0407F"/>
    <w:rsid w:val="00A05C6D"/>
    <w:rsid w:val="00A24539"/>
    <w:rsid w:val="00A42A7C"/>
    <w:rsid w:val="00A84DEF"/>
    <w:rsid w:val="00AD0A80"/>
    <w:rsid w:val="00B105A5"/>
    <w:rsid w:val="00C15ED5"/>
    <w:rsid w:val="00C268D3"/>
    <w:rsid w:val="00C6303B"/>
    <w:rsid w:val="00CA23B5"/>
    <w:rsid w:val="00CB61B5"/>
    <w:rsid w:val="00CE64A0"/>
    <w:rsid w:val="00CE74F0"/>
    <w:rsid w:val="00D77E27"/>
    <w:rsid w:val="00D96185"/>
    <w:rsid w:val="00DD3D98"/>
    <w:rsid w:val="00DF6B09"/>
    <w:rsid w:val="00E11635"/>
    <w:rsid w:val="00E13457"/>
    <w:rsid w:val="00E26423"/>
    <w:rsid w:val="00E316BC"/>
    <w:rsid w:val="00E44968"/>
    <w:rsid w:val="00E56DCE"/>
    <w:rsid w:val="00EA75D2"/>
    <w:rsid w:val="00EB17C0"/>
    <w:rsid w:val="00ED53AB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BA40BD"/>
  <w15:docId w15:val="{E5C401FC-8D96-4BFF-974C-149072A4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407F"/>
    <w:pPr>
      <w:spacing w:after="0" w:line="283" w:lineRule="atLeast"/>
    </w:pPr>
    <w:rPr>
      <w:noProof/>
      <w:sz w:val="20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07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07F"/>
    <w:rPr>
      <w:noProof/>
      <w:sz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0407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07F"/>
    <w:rPr>
      <w:noProof/>
      <w:sz w:val="20"/>
      <w:lang w:val="en-GB"/>
    </w:rPr>
  </w:style>
  <w:style w:type="paragraph" w:styleId="Paragrafoelenco">
    <w:name w:val="List Paragraph"/>
    <w:basedOn w:val="Normale"/>
    <w:link w:val="ParagrafoelencoCarattere"/>
    <w:uiPriority w:val="99"/>
    <w:qFormat/>
    <w:rsid w:val="00A0407F"/>
    <w:pPr>
      <w:keepNext/>
      <w:keepLines/>
      <w:widowControl w:val="0"/>
      <w:numPr>
        <w:numId w:val="1"/>
      </w:numPr>
      <w:contextualSpacing/>
    </w:pPr>
    <w:rPr>
      <w:color w:val="000000" w:themeColor="text1"/>
    </w:rPr>
  </w:style>
  <w:style w:type="paragraph" w:customStyle="1" w:styleId="Kapitelberschrift">
    <w:name w:val="Kapitelüberschrift"/>
    <w:basedOn w:val="Titolo2"/>
    <w:next w:val="Normale"/>
    <w:link w:val="KapitelberschriftZchn"/>
    <w:uiPriority w:val="1"/>
    <w:qFormat/>
    <w:rsid w:val="00A0407F"/>
    <w:pPr>
      <w:spacing w:before="0"/>
    </w:pPr>
    <w:rPr>
      <w:color w:val="000000" w:themeColor="text1"/>
      <w:sz w:val="20"/>
    </w:rPr>
  </w:style>
  <w:style w:type="character" w:customStyle="1" w:styleId="KapitelberschriftZchn">
    <w:name w:val="Kapitelüberschrift Zchn"/>
    <w:basedOn w:val="Carpredefinitoparagrafo"/>
    <w:link w:val="Kapitelberschrift"/>
    <w:uiPriority w:val="1"/>
    <w:rsid w:val="00A0407F"/>
    <w:rPr>
      <w:rFonts w:asciiTheme="majorHAnsi" w:eastAsiaTheme="majorEastAsia" w:hAnsiTheme="majorHAnsi" w:cstheme="majorBidi"/>
      <w:b/>
      <w:bCs/>
      <w:noProof/>
      <w:color w:val="000000" w:themeColor="text1"/>
      <w:sz w:val="20"/>
      <w:szCs w:val="26"/>
      <w:lang w:val="en-GB"/>
    </w:rPr>
  </w:style>
  <w:style w:type="character" w:styleId="Collegamentoipertestuale">
    <w:name w:val="Hyperlink"/>
    <w:basedOn w:val="Carpredefinitoparagrafo"/>
    <w:uiPriority w:val="99"/>
    <w:rsid w:val="00A0407F"/>
    <w:rPr>
      <w:color w:val="auto"/>
      <w:u w:val="none"/>
    </w:rPr>
  </w:style>
  <w:style w:type="character" w:customStyle="1" w:styleId="Highlight">
    <w:name w:val="Highlight"/>
    <w:uiPriority w:val="99"/>
    <w:rsid w:val="00A0407F"/>
    <w:rPr>
      <w:b/>
      <w:bCs/>
      <w:color w:val="1F3F79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0407F"/>
    <w:pPr>
      <w:spacing w:line="240" w:lineRule="auto"/>
    </w:pPr>
    <w:rPr>
      <w:rFonts w:ascii="Times New Roman" w:hAnsi="Times New Roman" w:cs="Times New Roman"/>
      <w:szCs w:val="20"/>
      <w:lang w:eastAsia="en-GB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A0407F"/>
    <w:rPr>
      <w:rFonts w:ascii="Times New Roman" w:hAnsi="Times New Roman" w:cs="Times New Roman"/>
      <w:noProof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unhideWhenUsed/>
    <w:rsid w:val="00A0407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407F"/>
    <w:pPr>
      <w:spacing w:line="240" w:lineRule="auto"/>
    </w:pPr>
    <w:rPr>
      <w:rFonts w:ascii="Arial" w:eastAsia="MS Mincho" w:hAnsi="Arial" w:cs="Arial"/>
      <w:szCs w:val="20"/>
      <w:lang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407F"/>
    <w:rPr>
      <w:rFonts w:ascii="Arial" w:eastAsia="MS Mincho" w:hAnsi="Arial" w:cs="Arial"/>
      <w:noProof/>
      <w:sz w:val="20"/>
      <w:szCs w:val="20"/>
      <w:lang w:val="en-GB" w:eastAsia="en-GB"/>
    </w:rPr>
  </w:style>
  <w:style w:type="character" w:customStyle="1" w:styleId="ParagrafoelencoCarattere">
    <w:name w:val="Paragrafo elenco Carattere"/>
    <w:link w:val="Paragrafoelenco"/>
    <w:uiPriority w:val="99"/>
    <w:qFormat/>
    <w:locked/>
    <w:rsid w:val="00A0407F"/>
    <w:rPr>
      <w:noProof/>
      <w:color w:val="000000" w:themeColor="text1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07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7F"/>
    <w:rPr>
      <w:rFonts w:ascii="Tahoma" w:hAnsi="Tahoma" w:cs="Tahoma"/>
      <w:noProof/>
      <w:sz w:val="16"/>
      <w:szCs w:val="16"/>
      <w:lang w:val="en-GB"/>
    </w:rPr>
  </w:style>
  <w:style w:type="paragraph" w:customStyle="1" w:styleId="Default">
    <w:name w:val="Default"/>
    <w:rsid w:val="00257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25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ualreport.boehringer-ingelheim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loria-af.com/public/abou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image" Target="media/image2.png"/><Relationship Id="rId7" Type="http://schemas.openxmlformats.org/officeDocument/2006/relationships/hyperlink" Target="http://www.boehringer-ingelheim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marina.guffanti@boehringer-ingelheim.com" TargetMode="External"/><Relationship Id="rId6" Type="http://schemas.openxmlformats.org/officeDocument/2006/relationships/hyperlink" Target="mailto:marina.guffanti@boehringer-ingelheim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boehringer-ingelhei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1691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Alessio Pappagallo</cp:lastModifiedBy>
  <cp:revision>4</cp:revision>
  <dcterms:created xsi:type="dcterms:W3CDTF">2018-03-21T09:10:00Z</dcterms:created>
  <dcterms:modified xsi:type="dcterms:W3CDTF">2018-03-21T09:18:00Z</dcterms:modified>
</cp:coreProperties>
</file>