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CAD" w:rsidRPr="00481DB6" w:rsidRDefault="0021781E" w:rsidP="0036377C">
      <w:pPr>
        <w:pStyle w:val="Testocommento"/>
        <w:spacing w:after="0" w:line="240" w:lineRule="auto"/>
        <w:contextualSpacing/>
        <w:jc w:val="both"/>
        <w:rPr>
          <w:rFonts w:ascii="BISans" w:hAnsi="BISans" w:cs="Arial"/>
          <w:b/>
          <w:bCs/>
          <w:sz w:val="28"/>
          <w:szCs w:val="28"/>
          <w:lang w:val="it-IT" w:eastAsia="de-DE"/>
        </w:rPr>
      </w:pPr>
      <w:r w:rsidRPr="00481DB6">
        <w:rPr>
          <w:rFonts w:ascii="BISans" w:hAnsi="BISans" w:cs="Arial"/>
          <w:b/>
          <w:bCs/>
          <w:sz w:val="28"/>
          <w:szCs w:val="28"/>
          <w:lang w:val="it-IT" w:eastAsia="de-DE"/>
        </w:rPr>
        <w:t xml:space="preserve">I risultati delle principali sotto analisi dello studio </w:t>
      </w:r>
      <w:bookmarkStart w:id="0" w:name="_Hlk498594759"/>
      <w:r w:rsidRPr="00481DB6">
        <w:rPr>
          <w:rFonts w:ascii="BISans" w:hAnsi="BISans" w:cs="Arial"/>
          <w:b/>
          <w:bCs/>
          <w:sz w:val="28"/>
          <w:szCs w:val="28"/>
          <w:lang w:val="it-IT" w:eastAsia="de-DE"/>
        </w:rPr>
        <w:t xml:space="preserve">RE-DUAL PCI™ </w:t>
      </w:r>
      <w:bookmarkEnd w:id="0"/>
      <w:r w:rsidRPr="00481DB6">
        <w:rPr>
          <w:rFonts w:ascii="BISans" w:hAnsi="BISans" w:cs="Arial"/>
          <w:b/>
          <w:bCs/>
          <w:sz w:val="28"/>
          <w:szCs w:val="28"/>
          <w:lang w:val="it-IT" w:eastAsia="de-DE"/>
        </w:rPr>
        <w:t xml:space="preserve">dimostrano </w:t>
      </w:r>
      <w:r w:rsidR="0010751B" w:rsidRPr="00481DB6">
        <w:rPr>
          <w:rFonts w:ascii="BISans" w:hAnsi="BISans" w:cs="Arial"/>
          <w:b/>
          <w:bCs/>
          <w:sz w:val="28"/>
          <w:szCs w:val="28"/>
          <w:lang w:val="it-IT" w:eastAsia="de-DE"/>
        </w:rPr>
        <w:t xml:space="preserve">ampie </w:t>
      </w:r>
      <w:r w:rsidRPr="00481DB6">
        <w:rPr>
          <w:rFonts w:ascii="BISans" w:hAnsi="BISans" w:cs="Arial"/>
          <w:b/>
          <w:bCs/>
          <w:sz w:val="28"/>
          <w:szCs w:val="28"/>
          <w:lang w:val="it-IT" w:eastAsia="de-DE"/>
        </w:rPr>
        <w:t>riduzioni dell’incidenza di complicanze emorragiche con la duplice terapia con dabigatran, rispetto alla triplice terapia con warfarin</w:t>
      </w:r>
    </w:p>
    <w:p w:rsidR="00D111F6" w:rsidRPr="00481DB6" w:rsidRDefault="00D111F6" w:rsidP="0036377C">
      <w:pPr>
        <w:pStyle w:val="Testocommento"/>
        <w:spacing w:after="0" w:line="240" w:lineRule="auto"/>
        <w:contextualSpacing/>
        <w:jc w:val="both"/>
        <w:rPr>
          <w:rFonts w:ascii="BISans" w:hAnsi="BISans"/>
          <w:b/>
          <w:bCs/>
          <w:sz w:val="28"/>
          <w:szCs w:val="28"/>
          <w:lang w:val="it-IT"/>
        </w:rPr>
      </w:pPr>
    </w:p>
    <w:p w:rsidR="00C43CAD" w:rsidRPr="00481DB6" w:rsidRDefault="0021781E" w:rsidP="0036377C">
      <w:pPr>
        <w:pStyle w:val="Paragrafoelenco"/>
        <w:numPr>
          <w:ilvl w:val="0"/>
          <w:numId w:val="24"/>
        </w:numPr>
        <w:jc w:val="both"/>
        <w:rPr>
          <w:rFonts w:ascii="BISans" w:hAnsi="BISans" w:cs="Arial"/>
          <w:i/>
          <w:iCs/>
          <w:sz w:val="20"/>
          <w:szCs w:val="22"/>
          <w:lang w:val="it-IT" w:eastAsia="de-DE"/>
        </w:rPr>
      </w:pPr>
      <w:r w:rsidRPr="00481DB6">
        <w:rPr>
          <w:rFonts w:ascii="BISans" w:hAnsi="BISans" w:cs="Arial"/>
          <w:i/>
          <w:iCs/>
          <w:sz w:val="20"/>
          <w:szCs w:val="22"/>
          <w:lang w:val="it-IT" w:eastAsia="de-DE"/>
        </w:rPr>
        <w:t xml:space="preserve">La duplice terapia con dabigatran risulta favorevole in modo consistente nei sottogruppi di pazienti con fibrillazione atriale dopo un intervento </w:t>
      </w:r>
      <w:r w:rsidR="00072B40" w:rsidRPr="00481DB6">
        <w:rPr>
          <w:rFonts w:ascii="BISans" w:hAnsi="BISans" w:cs="Arial"/>
          <w:i/>
          <w:iCs/>
          <w:sz w:val="20"/>
          <w:szCs w:val="22"/>
          <w:lang w:val="it-IT" w:eastAsia="de-DE"/>
        </w:rPr>
        <w:t xml:space="preserve">di angioplastica </w:t>
      </w:r>
      <w:r w:rsidR="00D111F6" w:rsidRPr="00481DB6">
        <w:rPr>
          <w:rFonts w:ascii="BISans" w:hAnsi="BISans" w:cs="Arial"/>
          <w:i/>
          <w:iCs/>
          <w:sz w:val="20"/>
          <w:szCs w:val="22"/>
          <w:lang w:val="it-IT" w:eastAsia="de-DE"/>
        </w:rPr>
        <w:t>coronarica con</w:t>
      </w:r>
      <w:r w:rsidRPr="00481DB6">
        <w:rPr>
          <w:rFonts w:ascii="BISans" w:hAnsi="BISans" w:cs="Arial"/>
          <w:i/>
          <w:iCs/>
          <w:sz w:val="20"/>
          <w:szCs w:val="22"/>
          <w:lang w:val="it-IT" w:eastAsia="de-DE"/>
        </w:rPr>
        <w:t xml:space="preserve"> </w:t>
      </w:r>
      <w:r w:rsidR="00072B40" w:rsidRPr="00481DB6">
        <w:rPr>
          <w:rFonts w:ascii="BISans" w:hAnsi="BISans" w:cs="Arial"/>
          <w:i/>
          <w:iCs/>
          <w:sz w:val="20"/>
          <w:szCs w:val="22"/>
          <w:lang w:val="it-IT" w:eastAsia="de-DE"/>
        </w:rPr>
        <w:t xml:space="preserve">inserimento </w:t>
      </w:r>
      <w:r w:rsidR="0045569E">
        <w:rPr>
          <w:rFonts w:ascii="BISans" w:hAnsi="BISans" w:cs="Arial"/>
          <w:i/>
          <w:iCs/>
          <w:sz w:val="20"/>
          <w:szCs w:val="22"/>
          <w:lang w:val="it-IT" w:eastAsia="de-DE"/>
        </w:rPr>
        <w:t>di stent;</w:t>
      </w:r>
    </w:p>
    <w:p w:rsidR="00C43CAD" w:rsidRPr="00481DB6" w:rsidRDefault="00C43CAD" w:rsidP="0036377C">
      <w:pPr>
        <w:pStyle w:val="Paragrafoelenco"/>
        <w:numPr>
          <w:ilvl w:val="0"/>
          <w:numId w:val="19"/>
        </w:numPr>
        <w:ind w:left="714" w:hanging="357"/>
        <w:jc w:val="both"/>
        <w:rPr>
          <w:rFonts w:ascii="BISans" w:hAnsi="BISans" w:cs="Arial"/>
          <w:i/>
          <w:iCs/>
          <w:sz w:val="20"/>
          <w:szCs w:val="22"/>
          <w:lang w:val="it-IT" w:eastAsia="de-DE"/>
        </w:rPr>
      </w:pPr>
      <w:r w:rsidRPr="00481DB6">
        <w:rPr>
          <w:rFonts w:ascii="BISans" w:hAnsi="BISans" w:cs="Arial"/>
          <w:i/>
          <w:iCs/>
          <w:sz w:val="20"/>
          <w:szCs w:val="22"/>
          <w:lang w:val="it-IT" w:eastAsia="de-DE"/>
        </w:rPr>
        <w:t xml:space="preserve">I benefici riscontrati nelle analisi di sottogruppo sono in linea con i risultati complessivi dello studio; </w:t>
      </w:r>
    </w:p>
    <w:p w:rsidR="00C43CAD" w:rsidRPr="00481DB6" w:rsidRDefault="00C43CAD" w:rsidP="0036377C">
      <w:pPr>
        <w:pStyle w:val="Paragrafoelenco"/>
        <w:numPr>
          <w:ilvl w:val="0"/>
          <w:numId w:val="19"/>
        </w:numPr>
        <w:ind w:left="714" w:hanging="357"/>
        <w:jc w:val="both"/>
        <w:rPr>
          <w:rFonts w:ascii="BISans" w:hAnsi="BISans" w:cs="Arial"/>
          <w:i/>
          <w:iCs/>
          <w:sz w:val="20"/>
          <w:szCs w:val="22"/>
          <w:lang w:val="it-IT" w:eastAsia="de-DE"/>
        </w:rPr>
      </w:pPr>
      <w:r w:rsidRPr="00481DB6">
        <w:rPr>
          <w:rFonts w:ascii="BISans" w:hAnsi="BISans" w:cs="Arial"/>
          <w:i/>
          <w:iCs/>
          <w:sz w:val="20"/>
          <w:szCs w:val="22"/>
          <w:lang w:val="it-IT" w:eastAsia="de-DE"/>
        </w:rPr>
        <w:t>I risultati presentati al Congresso AHA 2017 confermano ulteriormente i benefici di sicurezza di dabigatran.</w:t>
      </w:r>
    </w:p>
    <w:p w:rsidR="00764DD6" w:rsidRPr="00481DB6" w:rsidRDefault="00764DD6" w:rsidP="0036377C">
      <w:pPr>
        <w:spacing w:after="0" w:line="264" w:lineRule="auto"/>
        <w:jc w:val="both"/>
        <w:rPr>
          <w:rFonts w:ascii="BISans" w:eastAsia="MS Mincho" w:hAnsi="BISans" w:cs="Arial"/>
          <w:b/>
          <w:bCs/>
          <w:lang w:eastAsia="en-GB"/>
        </w:rPr>
      </w:pPr>
    </w:p>
    <w:p w:rsidR="00C43CAD" w:rsidRPr="00481DB6" w:rsidRDefault="00C43CAD" w:rsidP="0036377C">
      <w:pPr>
        <w:autoSpaceDE w:val="0"/>
        <w:autoSpaceDN w:val="0"/>
        <w:adjustRightInd w:val="0"/>
        <w:spacing w:after="0" w:line="240" w:lineRule="auto"/>
        <w:contextualSpacing/>
        <w:jc w:val="both"/>
        <w:rPr>
          <w:rFonts w:ascii="BISans" w:eastAsia="BISans" w:hAnsi="BISans" w:cs="BISans"/>
          <w:bCs/>
        </w:rPr>
      </w:pPr>
      <w:r w:rsidRPr="00481DB6">
        <w:rPr>
          <w:rFonts w:ascii="BISans" w:hAnsi="BISans"/>
          <w:b/>
          <w:lang w:eastAsia="en-GB"/>
        </w:rPr>
        <w:t>Ingelheim, Germania,</w:t>
      </w:r>
      <w:r w:rsidRPr="00481DB6">
        <w:rPr>
          <w:rFonts w:ascii="BISans" w:eastAsia="BISans" w:hAnsi="BISans"/>
          <w:b/>
          <w:bCs/>
          <w:spacing w:val="1"/>
        </w:rPr>
        <w:t xml:space="preserve"> 15 novembre</w:t>
      </w:r>
      <w:r w:rsidR="0045569E">
        <w:rPr>
          <w:rFonts w:ascii="BISans" w:eastAsia="BISans" w:hAnsi="BISans"/>
          <w:b/>
          <w:bCs/>
          <w:spacing w:val="1"/>
        </w:rPr>
        <w:t xml:space="preserve"> </w:t>
      </w:r>
      <w:r w:rsidRPr="00481DB6">
        <w:rPr>
          <w:rFonts w:ascii="BISans" w:eastAsia="BISans" w:hAnsi="BISans"/>
          <w:b/>
          <w:bCs/>
          <w:spacing w:val="1"/>
        </w:rPr>
        <w:t xml:space="preserve">2017 </w:t>
      </w:r>
      <w:r w:rsidRPr="00481DB6">
        <w:rPr>
          <w:rFonts w:ascii="BISans" w:eastAsia="BISans" w:hAnsi="BISans" w:cs="BISans"/>
          <w:bCs/>
        </w:rPr>
        <w:t xml:space="preserve">– Boehringer Ingelheim ha condiviso i risultati di sottoanalisi dello studio clinico RE-DUAL PCI™ in occasione del Congresso AHA 2017 </w:t>
      </w:r>
      <w:r w:rsidRPr="00481DB6">
        <w:rPr>
          <w:rFonts w:ascii="BISans" w:hAnsi="BISans" w:cs="Arial"/>
          <w:lang w:eastAsia="de-DE"/>
        </w:rPr>
        <w:t xml:space="preserve">ad Anaheim, California. Lo studio </w:t>
      </w:r>
      <w:r w:rsidRPr="00481DB6">
        <w:rPr>
          <w:rFonts w:ascii="BISans" w:eastAsia="BISans" w:hAnsi="BISans" w:cs="BISans"/>
          <w:bCs/>
        </w:rPr>
        <w:t>RE-DUAL PCI™ ha valutato approcci terapeutici diversi in pazienti con fibrillazione atriale non-valvolare dopo un</w:t>
      </w:r>
      <w:r w:rsidR="00227DB6" w:rsidRPr="00481DB6">
        <w:rPr>
          <w:rFonts w:ascii="BISans" w:eastAsia="BISans" w:hAnsi="BISans" w:cs="BISans"/>
          <w:bCs/>
        </w:rPr>
        <w:t>’angioplastica coronarica (</w:t>
      </w:r>
      <w:r w:rsidR="00BF28FD" w:rsidRPr="00481DB6">
        <w:rPr>
          <w:rFonts w:ascii="BISans" w:eastAsia="BISans" w:hAnsi="BISans" w:cs="BISans"/>
          <w:bCs/>
        </w:rPr>
        <w:t>PCI) con</w:t>
      </w:r>
      <w:r w:rsidRPr="00481DB6">
        <w:rPr>
          <w:rFonts w:ascii="BISans" w:eastAsia="BISans" w:hAnsi="BISans" w:cs="BISans"/>
          <w:bCs/>
        </w:rPr>
        <w:t xml:space="preserve"> </w:t>
      </w:r>
      <w:r w:rsidR="00227DB6" w:rsidRPr="00481DB6">
        <w:rPr>
          <w:rFonts w:ascii="BISans" w:eastAsia="BISans" w:hAnsi="BISans" w:cs="BISans"/>
          <w:bCs/>
        </w:rPr>
        <w:t xml:space="preserve">inserimento </w:t>
      </w:r>
      <w:r w:rsidRPr="00481DB6">
        <w:rPr>
          <w:rFonts w:ascii="BISans" w:eastAsia="BISans" w:hAnsi="BISans" w:cs="BISans"/>
          <w:bCs/>
        </w:rPr>
        <w:t xml:space="preserve">di stent. </w:t>
      </w:r>
      <w:r w:rsidR="00BF28FD" w:rsidRPr="00481DB6">
        <w:rPr>
          <w:rFonts w:ascii="BISans" w:eastAsia="BISans" w:hAnsi="BISans" w:cs="BISans"/>
          <w:bCs/>
        </w:rPr>
        <w:t>È</w:t>
      </w:r>
      <w:r w:rsidRPr="00481DB6">
        <w:rPr>
          <w:rFonts w:ascii="BISans" w:eastAsia="BISans" w:hAnsi="BISans" w:cs="BISans"/>
          <w:bCs/>
        </w:rPr>
        <w:t xml:space="preserve"> stata valutata la terapia anticoagulante con dabigatran etexilato</w:t>
      </w:r>
      <w:r w:rsidR="0021781E" w:rsidRPr="00481DB6">
        <w:rPr>
          <w:rFonts w:ascii="BISans" w:eastAsia="BISans" w:hAnsi="BISans" w:cs="BISans"/>
          <w:bCs/>
        </w:rPr>
        <w:t xml:space="preserve"> </w:t>
      </w:r>
      <w:r w:rsidRPr="00481DB6">
        <w:rPr>
          <w:rFonts w:ascii="BISans" w:eastAsia="BISans" w:hAnsi="BISans" w:cs="BISans"/>
          <w:bCs/>
        </w:rPr>
        <w:t>in duplice terapia con un unico antiaggregante piastrinico, senza aspirina, rispetto alla triplice terapia con warfarin. I risultati delle nuo</w:t>
      </w:r>
      <w:r w:rsidR="0021781E" w:rsidRPr="00481DB6">
        <w:rPr>
          <w:rFonts w:ascii="BISans" w:eastAsia="BISans" w:hAnsi="BISans" w:cs="BISans"/>
          <w:bCs/>
        </w:rPr>
        <w:t>ve sottoanalisi presentate hanno dimostrato</w:t>
      </w:r>
      <w:r w:rsidRPr="00481DB6">
        <w:rPr>
          <w:rFonts w:ascii="BISans" w:eastAsia="BISans" w:hAnsi="BISans" w:cs="BISans"/>
          <w:bCs/>
        </w:rPr>
        <w:t xml:space="preserve"> che la duplice terapia con dabigatran</w:t>
      </w:r>
      <w:r w:rsidR="0021781E" w:rsidRPr="00481DB6">
        <w:rPr>
          <w:rFonts w:ascii="BISans" w:eastAsia="BISans" w:hAnsi="BISans" w:cs="BISans"/>
          <w:bCs/>
        </w:rPr>
        <w:t xml:space="preserve"> offre </w:t>
      </w:r>
      <w:r w:rsidR="000912EA" w:rsidRPr="00481DB6">
        <w:rPr>
          <w:rFonts w:ascii="BISans" w:eastAsia="BISans" w:hAnsi="BISans" w:cs="BISans"/>
          <w:bCs/>
        </w:rPr>
        <w:t xml:space="preserve">grandi </w:t>
      </w:r>
      <w:r w:rsidR="0021781E" w:rsidRPr="00481DB6">
        <w:rPr>
          <w:rFonts w:ascii="BISans" w:eastAsia="BISans" w:hAnsi="BISans" w:cs="BISans"/>
          <w:bCs/>
        </w:rPr>
        <w:t xml:space="preserve">benefici </w:t>
      </w:r>
      <w:r w:rsidR="00BF28FD" w:rsidRPr="00481DB6">
        <w:rPr>
          <w:rFonts w:ascii="BISans" w:eastAsia="BISans" w:hAnsi="BISans" w:cs="BISans"/>
          <w:bCs/>
        </w:rPr>
        <w:t>consistenti in</w:t>
      </w:r>
      <w:r w:rsidRPr="00481DB6">
        <w:rPr>
          <w:rFonts w:ascii="BISans" w:eastAsia="BISans" w:hAnsi="BISans" w:cs="BISans"/>
          <w:bCs/>
        </w:rPr>
        <w:t xml:space="preserve"> diversi gruppi pre-specificati di pazienti, tra cui:</w:t>
      </w:r>
      <w:r w:rsidRPr="00481DB6">
        <w:rPr>
          <w:rFonts w:ascii="BISans" w:eastAsia="BISans" w:hAnsi="BISans" w:cs="BISans"/>
          <w:bCs/>
          <w:vertAlign w:val="superscript"/>
        </w:rPr>
        <w:t xml:space="preserve">1 </w:t>
      </w:r>
    </w:p>
    <w:p w:rsidR="00481DB6" w:rsidRPr="00481DB6" w:rsidRDefault="00481DB6" w:rsidP="0036377C">
      <w:pPr>
        <w:pStyle w:val="Paragrafoelenco"/>
        <w:autoSpaceDE w:val="0"/>
        <w:autoSpaceDN w:val="0"/>
        <w:adjustRightInd w:val="0"/>
        <w:jc w:val="both"/>
        <w:rPr>
          <w:rFonts w:ascii="BISans" w:eastAsia="BISans" w:hAnsi="BISans" w:cs="BISans"/>
          <w:bCs/>
          <w:sz w:val="22"/>
          <w:szCs w:val="22"/>
          <w:vertAlign w:val="superscript"/>
          <w:lang w:val="it-IT"/>
        </w:rPr>
      </w:pPr>
    </w:p>
    <w:p w:rsidR="00C43CAD" w:rsidRPr="00481DB6" w:rsidRDefault="00C43CAD" w:rsidP="0036377C">
      <w:pPr>
        <w:pStyle w:val="Paragrafoelenco"/>
        <w:numPr>
          <w:ilvl w:val="0"/>
          <w:numId w:val="20"/>
        </w:numPr>
        <w:autoSpaceDE w:val="0"/>
        <w:autoSpaceDN w:val="0"/>
        <w:adjustRightInd w:val="0"/>
        <w:jc w:val="both"/>
        <w:rPr>
          <w:rFonts w:ascii="BISans" w:eastAsia="BISans" w:hAnsi="BISans" w:cs="BISans"/>
          <w:bCs/>
          <w:sz w:val="22"/>
          <w:szCs w:val="22"/>
          <w:vertAlign w:val="superscript"/>
          <w:lang w:val="it-IT"/>
        </w:rPr>
      </w:pPr>
      <w:r w:rsidRPr="00481DB6">
        <w:rPr>
          <w:rFonts w:ascii="BISans" w:eastAsia="BISans" w:hAnsi="BISans" w:cs="BISans"/>
          <w:bCs/>
          <w:sz w:val="22"/>
          <w:szCs w:val="22"/>
          <w:lang w:val="it-IT"/>
        </w:rPr>
        <w:t>Pazienti che assumono diverse terapie antiaggreganti piastriniche (gli inibitori del recettore P2Y12 ticagrelor o clopidogrel);</w:t>
      </w:r>
    </w:p>
    <w:p w:rsidR="00C43CAD" w:rsidRPr="00481DB6" w:rsidRDefault="00C43CAD" w:rsidP="0036377C">
      <w:pPr>
        <w:pStyle w:val="Paragrafoelenco"/>
        <w:numPr>
          <w:ilvl w:val="0"/>
          <w:numId w:val="20"/>
        </w:numPr>
        <w:autoSpaceDE w:val="0"/>
        <w:autoSpaceDN w:val="0"/>
        <w:adjustRightInd w:val="0"/>
        <w:jc w:val="both"/>
        <w:rPr>
          <w:rFonts w:ascii="BISans" w:eastAsia="BISans" w:hAnsi="BISans" w:cs="BISans"/>
          <w:bCs/>
          <w:sz w:val="22"/>
          <w:szCs w:val="22"/>
          <w:vertAlign w:val="superscript"/>
          <w:lang w:val="it-IT"/>
        </w:rPr>
      </w:pPr>
      <w:r w:rsidRPr="00481DB6">
        <w:rPr>
          <w:rFonts w:ascii="BISans" w:eastAsia="BISans" w:hAnsi="BISans" w:cs="BISans"/>
          <w:bCs/>
          <w:sz w:val="22"/>
          <w:szCs w:val="22"/>
          <w:lang w:val="it-IT"/>
        </w:rPr>
        <w:t xml:space="preserve">Pazienti con o senza sindrome coronarica acuta; </w:t>
      </w:r>
    </w:p>
    <w:p w:rsidR="00C43CAD" w:rsidRPr="00481DB6" w:rsidRDefault="00C43CAD" w:rsidP="0036377C">
      <w:pPr>
        <w:pStyle w:val="Paragrafoelenco"/>
        <w:numPr>
          <w:ilvl w:val="0"/>
          <w:numId w:val="20"/>
        </w:numPr>
        <w:autoSpaceDE w:val="0"/>
        <w:autoSpaceDN w:val="0"/>
        <w:adjustRightInd w:val="0"/>
        <w:jc w:val="both"/>
        <w:rPr>
          <w:rFonts w:ascii="BISans" w:eastAsia="BISans" w:hAnsi="BISans" w:cs="BISans"/>
          <w:bCs/>
          <w:sz w:val="22"/>
          <w:szCs w:val="22"/>
          <w:vertAlign w:val="superscript"/>
          <w:lang w:val="it-IT"/>
        </w:rPr>
      </w:pPr>
      <w:r w:rsidRPr="00481DB6">
        <w:rPr>
          <w:rFonts w:ascii="BISans" w:eastAsia="BISans" w:hAnsi="BISans" w:cs="BISans"/>
          <w:bCs/>
          <w:sz w:val="22"/>
          <w:szCs w:val="22"/>
          <w:lang w:val="it-IT"/>
        </w:rPr>
        <w:t>Pazienti con impianto di stent medicato o con impianto</w:t>
      </w:r>
      <w:r w:rsidR="0021781E" w:rsidRPr="00481DB6">
        <w:rPr>
          <w:rFonts w:ascii="BISans" w:eastAsia="BISans" w:hAnsi="BISans" w:cs="BISans"/>
          <w:bCs/>
          <w:sz w:val="22"/>
          <w:szCs w:val="22"/>
          <w:lang w:val="it-IT"/>
        </w:rPr>
        <w:t xml:space="preserve"> di stent metallico</w:t>
      </w:r>
      <w:r w:rsidRPr="00481DB6">
        <w:rPr>
          <w:rFonts w:ascii="BISans" w:eastAsia="BISans" w:hAnsi="BISans" w:cs="BISans"/>
          <w:bCs/>
          <w:sz w:val="22"/>
          <w:szCs w:val="22"/>
          <w:lang w:val="it-IT"/>
        </w:rPr>
        <w:t xml:space="preserve">. </w:t>
      </w:r>
    </w:p>
    <w:p w:rsidR="0045569E" w:rsidRDefault="0045569E" w:rsidP="0036377C">
      <w:pPr>
        <w:autoSpaceDE w:val="0"/>
        <w:autoSpaceDN w:val="0"/>
        <w:adjustRightInd w:val="0"/>
        <w:spacing w:after="0" w:line="240" w:lineRule="auto"/>
        <w:contextualSpacing/>
        <w:jc w:val="both"/>
        <w:rPr>
          <w:rFonts w:ascii="BISans" w:eastAsia="BISans" w:hAnsi="BISans" w:cs="BISans"/>
          <w:bCs/>
        </w:rPr>
      </w:pPr>
    </w:p>
    <w:p w:rsidR="00C43CAD" w:rsidRPr="00481DB6" w:rsidRDefault="00227DB6" w:rsidP="0036377C">
      <w:pPr>
        <w:autoSpaceDE w:val="0"/>
        <w:autoSpaceDN w:val="0"/>
        <w:adjustRightInd w:val="0"/>
        <w:spacing w:after="0" w:line="240" w:lineRule="auto"/>
        <w:contextualSpacing/>
        <w:jc w:val="both"/>
        <w:rPr>
          <w:rFonts w:ascii="BISans" w:eastAsia="BISans" w:hAnsi="BISans" w:cs="BISans"/>
          <w:bCs/>
        </w:rPr>
      </w:pPr>
      <w:r w:rsidRPr="00481DB6">
        <w:rPr>
          <w:rFonts w:ascii="BISans" w:eastAsia="BISans" w:hAnsi="BISans" w:cs="BISans"/>
          <w:bCs/>
        </w:rPr>
        <w:t xml:space="preserve">L’angioplastica </w:t>
      </w:r>
      <w:r w:rsidR="00BF28FD" w:rsidRPr="00481DB6">
        <w:rPr>
          <w:rFonts w:ascii="BISans" w:eastAsia="BISans" w:hAnsi="BISans" w:cs="BISans"/>
          <w:bCs/>
        </w:rPr>
        <w:t>coronarica con</w:t>
      </w:r>
      <w:r w:rsidR="00C43CAD" w:rsidRPr="00481DB6">
        <w:rPr>
          <w:rFonts w:ascii="BISans" w:eastAsia="BISans" w:hAnsi="BISans" w:cs="BISans"/>
          <w:bCs/>
        </w:rPr>
        <w:t xml:space="preserve"> </w:t>
      </w:r>
      <w:r w:rsidRPr="00481DB6">
        <w:rPr>
          <w:rFonts w:ascii="BISans" w:eastAsia="BISans" w:hAnsi="BISans" w:cs="BISans"/>
          <w:bCs/>
        </w:rPr>
        <w:t xml:space="preserve">inserimento </w:t>
      </w:r>
      <w:r w:rsidR="00C43CAD" w:rsidRPr="00481DB6">
        <w:rPr>
          <w:rFonts w:ascii="BISans" w:eastAsia="BISans" w:hAnsi="BISans" w:cs="BISans"/>
          <w:bCs/>
        </w:rPr>
        <w:t>di stent viene eseguit</w:t>
      </w:r>
      <w:r w:rsidRPr="00481DB6">
        <w:rPr>
          <w:rFonts w:ascii="BISans" w:eastAsia="BISans" w:hAnsi="BISans" w:cs="BISans"/>
          <w:bCs/>
        </w:rPr>
        <w:t>a</w:t>
      </w:r>
      <w:r w:rsidR="00C43CAD" w:rsidRPr="00481DB6">
        <w:rPr>
          <w:rFonts w:ascii="BISans" w:eastAsia="BISans" w:hAnsi="BISans" w:cs="BISans"/>
          <w:bCs/>
        </w:rPr>
        <w:t xml:space="preserve"> per migliorare l’afflusso di sangue al cuore. Può essere necessari</w:t>
      </w:r>
      <w:r w:rsidR="00605541" w:rsidRPr="00481DB6">
        <w:rPr>
          <w:rFonts w:ascii="BISans" w:eastAsia="BISans" w:hAnsi="BISans" w:cs="BISans"/>
          <w:bCs/>
        </w:rPr>
        <w:t>a</w:t>
      </w:r>
      <w:r w:rsidR="00C43CAD" w:rsidRPr="00481DB6">
        <w:rPr>
          <w:rFonts w:ascii="BISans" w:eastAsia="BISans" w:hAnsi="BISans" w:cs="BISans"/>
          <w:bCs/>
        </w:rPr>
        <w:t xml:space="preserve"> nel 20-30% dei soggetti con fibrillazione atriale, già in terapia con anticoagulante orale per ridurre il rischio di ictus.</w:t>
      </w:r>
      <w:r w:rsidR="00C43CAD" w:rsidRPr="00481DB6">
        <w:rPr>
          <w:rFonts w:ascii="BISans" w:eastAsia="BISans" w:hAnsi="BISans" w:cs="BISans"/>
          <w:bCs/>
          <w:vertAlign w:val="superscript"/>
        </w:rPr>
        <w:t>2</w:t>
      </w:r>
      <w:r w:rsidR="00C43CAD" w:rsidRPr="00481DB6">
        <w:rPr>
          <w:rFonts w:ascii="BISans" w:eastAsia="BISans" w:hAnsi="BISans" w:cs="BISans"/>
          <w:bCs/>
        </w:rPr>
        <w:t xml:space="preserve"> L’attuale combinazione di terapie  antitrombotiche potenti, ovvero la triplice terapia con warfarin e due antiaggreganti piastrinici, è associata ad alte percentuali di </w:t>
      </w:r>
      <w:r w:rsidRPr="00481DB6">
        <w:rPr>
          <w:rFonts w:ascii="BISans" w:eastAsia="BISans" w:hAnsi="BISans" w:cs="BISans"/>
          <w:bCs/>
        </w:rPr>
        <w:t xml:space="preserve">sanguinamenti </w:t>
      </w:r>
      <w:r w:rsidR="00C43CAD" w:rsidRPr="00481DB6">
        <w:rPr>
          <w:rFonts w:ascii="BISans" w:eastAsia="BISans" w:hAnsi="BISans" w:cs="BISans"/>
          <w:bCs/>
        </w:rPr>
        <w:t>maggior</w:t>
      </w:r>
      <w:r w:rsidRPr="00481DB6">
        <w:rPr>
          <w:rFonts w:ascii="BISans" w:eastAsia="BISans" w:hAnsi="BISans" w:cs="BISans"/>
          <w:bCs/>
        </w:rPr>
        <w:t>i</w:t>
      </w:r>
      <w:r w:rsidR="00C43CAD" w:rsidRPr="00481DB6">
        <w:rPr>
          <w:rFonts w:ascii="BISans" w:eastAsia="BISans" w:hAnsi="BISans" w:cs="BISans"/>
          <w:bCs/>
        </w:rPr>
        <w:t>.</w:t>
      </w:r>
      <w:r w:rsidR="00C43CAD" w:rsidRPr="00481DB6">
        <w:rPr>
          <w:rFonts w:ascii="BISans" w:eastAsia="BISans" w:hAnsi="BISans" w:cs="BISans"/>
          <w:bCs/>
          <w:vertAlign w:val="superscript"/>
        </w:rPr>
        <w:t xml:space="preserve">3-6 </w:t>
      </w:r>
      <w:r w:rsidR="00C43CAD" w:rsidRPr="00481DB6">
        <w:rPr>
          <w:rFonts w:ascii="BISans" w:eastAsia="BISans" w:hAnsi="BISans" w:cs="BISans"/>
          <w:bCs/>
        </w:rPr>
        <w:t xml:space="preserve">I principali </w:t>
      </w:r>
      <w:hyperlink r:id="rId8" w:history="1">
        <w:r w:rsidR="00C43CAD" w:rsidRPr="00481DB6">
          <w:rPr>
            <w:rStyle w:val="Collegamentoipertestuale"/>
            <w:rFonts w:ascii="BISans" w:eastAsia="BISans" w:hAnsi="BISans" w:cs="BISans"/>
            <w:bCs/>
          </w:rPr>
          <w:t>risultati di</w:t>
        </w:r>
      </w:hyperlink>
      <w:r w:rsidR="00C43CAD" w:rsidRPr="00481DB6">
        <w:rPr>
          <w:rStyle w:val="Collegamentoipertestuale"/>
          <w:rFonts w:ascii="BISans" w:eastAsia="BISans" w:hAnsi="BISans" w:cs="BISans"/>
          <w:bCs/>
        </w:rPr>
        <w:t xml:space="preserve"> RE-DUAL PCI</w:t>
      </w:r>
      <w:r w:rsidR="00C43CAD" w:rsidRPr="00481DB6">
        <w:rPr>
          <w:rFonts w:ascii="BISans" w:eastAsia="BISans" w:hAnsi="BISans" w:cs="BISans"/>
          <w:bCs/>
        </w:rPr>
        <w:t>™</w:t>
      </w:r>
      <w:r w:rsidR="00C43CAD" w:rsidRPr="00481DB6">
        <w:rPr>
          <w:rFonts w:ascii="BISans" w:eastAsia="BISans" w:hAnsi="BISans" w:cs="BISans"/>
          <w:bCs/>
          <w:vertAlign w:val="superscript"/>
        </w:rPr>
        <w:t>7,8</w:t>
      </w:r>
      <w:r w:rsidR="00C43CAD" w:rsidRPr="00481DB6">
        <w:rPr>
          <w:rFonts w:ascii="BISans" w:eastAsia="BISans" w:hAnsi="BISans" w:cs="BISans"/>
          <w:bCs/>
        </w:rPr>
        <w:t xml:space="preserve">, presentati al Congresso ESC di quest’anno e pubblicati sul </w:t>
      </w:r>
      <w:r w:rsidR="00C43CAD" w:rsidRPr="00481DB6">
        <w:rPr>
          <w:rFonts w:ascii="BISans" w:eastAsia="BISans" w:hAnsi="BISans" w:cs="BISans"/>
          <w:bCs/>
          <w:i/>
        </w:rPr>
        <w:t>New England Journal of Medicine</w:t>
      </w:r>
      <w:r w:rsidR="00C43CAD" w:rsidRPr="00481DB6">
        <w:rPr>
          <w:rFonts w:ascii="BISans" w:eastAsia="BISans" w:hAnsi="BISans" w:cs="BISans"/>
          <w:bCs/>
        </w:rPr>
        <w:t xml:space="preserve">, hanno dimostrato percentuali significativamente </w:t>
      </w:r>
      <w:r w:rsidR="00C87792" w:rsidRPr="00481DB6">
        <w:rPr>
          <w:rFonts w:ascii="BISans" w:eastAsia="BISans" w:hAnsi="BISans" w:cs="BISans"/>
          <w:bCs/>
        </w:rPr>
        <w:t xml:space="preserve">più basse sia </w:t>
      </w:r>
      <w:r w:rsidR="00C43CAD" w:rsidRPr="00481DB6">
        <w:rPr>
          <w:rFonts w:ascii="BISans" w:eastAsia="BISans" w:hAnsi="BISans" w:cs="BISans"/>
          <w:bCs/>
        </w:rPr>
        <w:t xml:space="preserve"> di </w:t>
      </w:r>
      <w:r w:rsidR="00C87792" w:rsidRPr="00481DB6">
        <w:rPr>
          <w:rFonts w:ascii="BISans" w:eastAsia="BISans" w:hAnsi="BISans" w:cs="BISans"/>
          <w:bCs/>
        </w:rPr>
        <w:t>sanguinamenti</w:t>
      </w:r>
      <w:r w:rsidRPr="00481DB6">
        <w:rPr>
          <w:rFonts w:ascii="BISans" w:eastAsia="BISans" w:hAnsi="BISans" w:cs="BISans"/>
          <w:bCs/>
        </w:rPr>
        <w:t xml:space="preserve"> </w:t>
      </w:r>
      <w:r w:rsidR="00C43CAD" w:rsidRPr="00481DB6">
        <w:rPr>
          <w:rFonts w:ascii="BISans" w:eastAsia="BISans" w:hAnsi="BISans" w:cs="BISans"/>
          <w:bCs/>
        </w:rPr>
        <w:t>maggior</w:t>
      </w:r>
      <w:r w:rsidR="00C87792" w:rsidRPr="00481DB6">
        <w:rPr>
          <w:rFonts w:ascii="BISans" w:eastAsia="BISans" w:hAnsi="BISans" w:cs="BISans"/>
          <w:bCs/>
        </w:rPr>
        <w:t xml:space="preserve">i che di </w:t>
      </w:r>
      <w:r w:rsidR="00C43CAD" w:rsidRPr="00481DB6">
        <w:rPr>
          <w:rFonts w:ascii="BISans" w:eastAsia="BISans" w:hAnsi="BISans" w:cs="BISans"/>
          <w:bCs/>
        </w:rPr>
        <w:t xml:space="preserve"> </w:t>
      </w:r>
      <w:r w:rsidR="00C87792" w:rsidRPr="00481DB6">
        <w:rPr>
          <w:rFonts w:ascii="BISans" w:eastAsia="BISans" w:hAnsi="BISans" w:cs="BISans"/>
          <w:bCs/>
        </w:rPr>
        <w:t>sanguinamenti</w:t>
      </w:r>
      <w:r w:rsidRPr="00481DB6">
        <w:rPr>
          <w:rFonts w:ascii="BISans" w:eastAsia="BISans" w:hAnsi="BISans" w:cs="BISans"/>
          <w:bCs/>
        </w:rPr>
        <w:t xml:space="preserve"> </w:t>
      </w:r>
      <w:r w:rsidR="00C87792" w:rsidRPr="00481DB6">
        <w:rPr>
          <w:rFonts w:ascii="BISans" w:eastAsia="BISans" w:hAnsi="BISans" w:cs="BISans"/>
          <w:bCs/>
        </w:rPr>
        <w:t xml:space="preserve">non maggiori </w:t>
      </w:r>
      <w:r w:rsidR="00C43CAD" w:rsidRPr="00481DB6">
        <w:rPr>
          <w:rFonts w:ascii="BISans" w:eastAsia="BISans" w:hAnsi="BISans" w:cs="BISans"/>
          <w:bCs/>
        </w:rPr>
        <w:t>clinicamente rilevant</w:t>
      </w:r>
      <w:r w:rsidR="00C87792" w:rsidRPr="00481DB6">
        <w:rPr>
          <w:rFonts w:ascii="BISans" w:eastAsia="BISans" w:hAnsi="BISans" w:cs="BISans"/>
          <w:bCs/>
        </w:rPr>
        <w:t>i</w:t>
      </w:r>
      <w:r w:rsidR="00C43CAD" w:rsidRPr="00481DB6">
        <w:rPr>
          <w:rFonts w:ascii="BISans" w:eastAsia="BISans" w:hAnsi="BISans" w:cs="BISans"/>
          <w:bCs/>
        </w:rPr>
        <w:t xml:space="preserve"> con la duplice </w:t>
      </w:r>
      <w:r w:rsidR="00C43CAD" w:rsidRPr="00481DB6">
        <w:rPr>
          <w:rFonts w:ascii="BISans" w:eastAsia="BISans" w:hAnsi="BISans" w:cs="BISans"/>
          <w:bCs/>
        </w:rPr>
        <w:lastRenderedPageBreak/>
        <w:t xml:space="preserve">terapia con dabigatran, rispetto alla triplice terapia con il warfarin, e percentuali simili di eventi tromboembolici complessivi. </w:t>
      </w:r>
    </w:p>
    <w:p w:rsidR="00C43CAD" w:rsidRPr="00481DB6" w:rsidRDefault="00C43CAD" w:rsidP="0036377C">
      <w:pPr>
        <w:autoSpaceDE w:val="0"/>
        <w:autoSpaceDN w:val="0"/>
        <w:adjustRightInd w:val="0"/>
        <w:spacing w:after="0" w:line="240" w:lineRule="auto"/>
        <w:contextualSpacing/>
        <w:jc w:val="both"/>
        <w:rPr>
          <w:rFonts w:ascii="BISans" w:eastAsia="BISans" w:hAnsi="BISans" w:cs="BISans"/>
          <w:bCs/>
        </w:rPr>
      </w:pPr>
    </w:p>
    <w:p w:rsidR="00C43CAD" w:rsidRPr="00481DB6" w:rsidRDefault="00C43CAD" w:rsidP="0036377C">
      <w:pPr>
        <w:autoSpaceDE w:val="0"/>
        <w:autoSpaceDN w:val="0"/>
        <w:adjustRightInd w:val="0"/>
        <w:spacing w:after="0" w:line="240" w:lineRule="auto"/>
        <w:contextualSpacing/>
        <w:jc w:val="both"/>
        <w:rPr>
          <w:rFonts w:ascii="BISans" w:eastAsia="BISans" w:hAnsi="BISans" w:cs="BISans"/>
          <w:bCs/>
        </w:rPr>
      </w:pPr>
      <w:r w:rsidRPr="00481DB6">
        <w:rPr>
          <w:rFonts w:ascii="BISans" w:eastAsia="BISans" w:hAnsi="BISans" w:cs="BISans"/>
          <w:bCs/>
        </w:rPr>
        <w:t>“Quando si trattano pazienti con fibrillazione atriale dopo un</w:t>
      </w:r>
      <w:r w:rsidR="00C87792" w:rsidRPr="00481DB6">
        <w:rPr>
          <w:rFonts w:ascii="BISans" w:eastAsia="BISans" w:hAnsi="BISans" w:cs="BISans"/>
          <w:bCs/>
        </w:rPr>
        <w:t xml:space="preserve">’angioplastica coronarica </w:t>
      </w:r>
      <w:r w:rsidRPr="00481DB6">
        <w:rPr>
          <w:rFonts w:ascii="BISans" w:eastAsia="BISans" w:hAnsi="BISans" w:cs="BISans"/>
          <w:bCs/>
        </w:rPr>
        <w:t xml:space="preserve"> con </w:t>
      </w:r>
      <w:r w:rsidR="00C87792" w:rsidRPr="00481DB6">
        <w:rPr>
          <w:rFonts w:ascii="BISans" w:eastAsia="BISans" w:hAnsi="BISans" w:cs="BISans"/>
          <w:bCs/>
        </w:rPr>
        <w:t xml:space="preserve">inserimento </w:t>
      </w:r>
      <w:r w:rsidRPr="00481DB6">
        <w:rPr>
          <w:rFonts w:ascii="BISans" w:eastAsia="BISans" w:hAnsi="BISans" w:cs="BISans"/>
          <w:bCs/>
        </w:rPr>
        <w:t>di stent è importante capire come le diverse variabili cliniche</w:t>
      </w:r>
      <w:r w:rsidR="00363E91" w:rsidRPr="00481DB6">
        <w:rPr>
          <w:rFonts w:ascii="BISans" w:eastAsia="BISans" w:hAnsi="BISans" w:cs="BISans"/>
          <w:bCs/>
        </w:rPr>
        <w:t>,</w:t>
      </w:r>
      <w:r w:rsidR="007D58E0" w:rsidRPr="00481DB6">
        <w:rPr>
          <w:rFonts w:ascii="BISans" w:eastAsia="BISans" w:hAnsi="BISans" w:cs="BISans"/>
          <w:bCs/>
        </w:rPr>
        <w:t xml:space="preserve"> come la presenza</w:t>
      </w:r>
      <w:r w:rsidRPr="00481DB6">
        <w:rPr>
          <w:rFonts w:ascii="BISans" w:eastAsia="BISans" w:hAnsi="BISans" w:cs="BISans"/>
          <w:bCs/>
        </w:rPr>
        <w:t xml:space="preserve"> di sindrome coronarica acuta, la scelta del tipo di stent</w:t>
      </w:r>
      <w:r w:rsidR="007D58E0" w:rsidRPr="00481DB6">
        <w:rPr>
          <w:rFonts w:ascii="BISans" w:eastAsia="BISans" w:hAnsi="BISans" w:cs="BISans"/>
          <w:bCs/>
        </w:rPr>
        <w:t xml:space="preserve"> o la scelta della</w:t>
      </w:r>
      <w:r w:rsidRPr="00481DB6">
        <w:rPr>
          <w:rFonts w:ascii="BISans" w:eastAsia="BISans" w:hAnsi="BISans" w:cs="BISans"/>
          <w:bCs/>
        </w:rPr>
        <w:t xml:space="preserve"> terapia antiaggregante piastrinica concomitant</w:t>
      </w:r>
      <w:r w:rsidR="007D58E0" w:rsidRPr="00481DB6">
        <w:rPr>
          <w:rFonts w:ascii="BISans" w:eastAsia="BISans" w:hAnsi="BISans" w:cs="BISans"/>
          <w:bCs/>
        </w:rPr>
        <w:t>e, possano influenzare i risultati</w:t>
      </w:r>
      <w:r w:rsidRPr="00481DB6">
        <w:rPr>
          <w:rFonts w:ascii="BISans" w:eastAsia="BISans" w:hAnsi="BISans" w:cs="BISans"/>
          <w:bCs/>
        </w:rPr>
        <w:t xml:space="preserve">” - ha spiegato il Professor Jonas Oldgren, del Centro di Ricerca Cinica di Uppsala, Ospedale Universitario di Uppsala, Svezia - “Le ulteriori analisi dello studio RE-DUAL PCI presentate al Congresso AHA dimostrano che i risultati della duplice terapia con dabigatran in </w:t>
      </w:r>
      <w:r w:rsidR="007D58E0" w:rsidRPr="00481DB6">
        <w:rPr>
          <w:rFonts w:ascii="BISans" w:eastAsia="BISans" w:hAnsi="BISans" w:cs="BISans"/>
          <w:bCs/>
        </w:rPr>
        <w:t xml:space="preserve">questi sottogruppi sono </w:t>
      </w:r>
      <w:r w:rsidR="00A25A26" w:rsidRPr="00481DB6">
        <w:rPr>
          <w:rFonts w:ascii="BISans" w:eastAsia="BISans" w:hAnsi="BISans" w:cs="BISans"/>
          <w:bCs/>
        </w:rPr>
        <w:t xml:space="preserve">in linea  </w:t>
      </w:r>
      <w:r w:rsidR="007D58E0" w:rsidRPr="00481DB6">
        <w:rPr>
          <w:rFonts w:ascii="BISans" w:eastAsia="BISans" w:hAnsi="BISans" w:cs="BISans"/>
          <w:bCs/>
        </w:rPr>
        <w:t>con i risultati globali</w:t>
      </w:r>
      <w:r w:rsidRPr="00481DB6">
        <w:rPr>
          <w:rFonts w:ascii="BISans" w:eastAsia="BISans" w:hAnsi="BISans" w:cs="BISans"/>
          <w:bCs/>
        </w:rPr>
        <w:t xml:space="preserve"> dello studio”.</w:t>
      </w:r>
    </w:p>
    <w:p w:rsidR="00C43CAD" w:rsidRPr="00481DB6" w:rsidRDefault="00C43CAD" w:rsidP="0036377C">
      <w:pPr>
        <w:autoSpaceDE w:val="0"/>
        <w:autoSpaceDN w:val="0"/>
        <w:adjustRightInd w:val="0"/>
        <w:spacing w:after="0" w:line="240" w:lineRule="auto"/>
        <w:contextualSpacing/>
        <w:jc w:val="both"/>
        <w:rPr>
          <w:rFonts w:ascii="BISans" w:eastAsia="BISans" w:hAnsi="BISans" w:cs="BISans"/>
          <w:bCs/>
        </w:rPr>
      </w:pPr>
    </w:p>
    <w:p w:rsidR="00C43CAD" w:rsidRPr="00481DB6" w:rsidRDefault="00C43CAD" w:rsidP="0036377C">
      <w:pPr>
        <w:autoSpaceDE w:val="0"/>
        <w:autoSpaceDN w:val="0"/>
        <w:adjustRightInd w:val="0"/>
        <w:spacing w:after="0" w:line="240" w:lineRule="auto"/>
        <w:contextualSpacing/>
        <w:jc w:val="both"/>
        <w:rPr>
          <w:rFonts w:ascii="BISans" w:eastAsia="BISans" w:hAnsi="BISans" w:cs="BISans"/>
          <w:bCs/>
          <w:vertAlign w:val="superscript"/>
        </w:rPr>
      </w:pPr>
      <w:r w:rsidRPr="00481DB6">
        <w:rPr>
          <w:rFonts w:ascii="BISans" w:eastAsia="BISans" w:hAnsi="BISans" w:cs="BISans"/>
          <w:bCs/>
        </w:rPr>
        <w:t>I risultati complessivi dello studio RE-DUAL PCI™ sono stati i seguenti:</w:t>
      </w:r>
      <w:r w:rsidRPr="00481DB6">
        <w:rPr>
          <w:rFonts w:ascii="BISans" w:eastAsia="BISans" w:hAnsi="BISans" w:cs="BISans"/>
          <w:bCs/>
          <w:vertAlign w:val="superscript"/>
        </w:rPr>
        <w:t>7,8</w:t>
      </w:r>
    </w:p>
    <w:p w:rsidR="00C43CAD" w:rsidRPr="00481DB6" w:rsidRDefault="00C43CAD" w:rsidP="0036377C">
      <w:pPr>
        <w:pStyle w:val="Paragrafoelenco"/>
        <w:numPr>
          <w:ilvl w:val="0"/>
          <w:numId w:val="22"/>
        </w:numPr>
        <w:autoSpaceDE w:val="0"/>
        <w:autoSpaceDN w:val="0"/>
        <w:adjustRightInd w:val="0"/>
        <w:jc w:val="both"/>
        <w:rPr>
          <w:rFonts w:ascii="BISans" w:eastAsia="BISans" w:hAnsi="BISans" w:cs="BISans"/>
          <w:bCs/>
          <w:sz w:val="22"/>
          <w:szCs w:val="22"/>
          <w:lang w:val="it-IT"/>
        </w:rPr>
      </w:pPr>
      <w:r w:rsidRPr="00481DB6">
        <w:rPr>
          <w:rFonts w:ascii="BISans" w:eastAsia="BISans" w:hAnsi="BISans" w:cs="BISans"/>
          <w:bCs/>
          <w:sz w:val="22"/>
          <w:szCs w:val="22"/>
          <w:lang w:val="it-IT"/>
        </w:rPr>
        <w:t>Incidenza dell’endpoint primario (t</w:t>
      </w:r>
      <w:r w:rsidR="007D58E0" w:rsidRPr="00481DB6">
        <w:rPr>
          <w:rFonts w:ascii="BISans" w:eastAsia="BISans" w:hAnsi="BISans" w:cs="BISans"/>
          <w:bCs/>
          <w:sz w:val="22"/>
          <w:szCs w:val="22"/>
          <w:lang w:val="it-IT"/>
        </w:rPr>
        <w:t>empo</w:t>
      </w:r>
      <w:r w:rsidRPr="00481DB6">
        <w:rPr>
          <w:rFonts w:ascii="BISans" w:eastAsia="BISans" w:hAnsi="BISans" w:cs="BISans"/>
          <w:bCs/>
          <w:sz w:val="22"/>
          <w:szCs w:val="22"/>
          <w:lang w:val="it-IT"/>
        </w:rPr>
        <w:t xml:space="preserve"> a</w:t>
      </w:r>
      <w:r w:rsidR="00142696" w:rsidRPr="00481DB6">
        <w:rPr>
          <w:rFonts w:ascii="BISans" w:eastAsia="BISans" w:hAnsi="BISans" w:cs="BISans"/>
          <w:bCs/>
          <w:sz w:val="22"/>
          <w:szCs w:val="22"/>
          <w:lang w:val="it-IT"/>
        </w:rPr>
        <w:t xml:space="preserve">l primo episodio di </w:t>
      </w:r>
      <w:r w:rsidR="00C87792" w:rsidRPr="00481DB6">
        <w:rPr>
          <w:rFonts w:ascii="BISans" w:eastAsia="BISans" w:hAnsi="BISans" w:cs="BISans"/>
          <w:bCs/>
          <w:sz w:val="22"/>
          <w:szCs w:val="22"/>
          <w:lang w:val="it-IT"/>
        </w:rPr>
        <w:t xml:space="preserve">sanguinamento </w:t>
      </w:r>
      <w:r w:rsidRPr="00481DB6">
        <w:rPr>
          <w:rFonts w:ascii="BISans" w:eastAsia="BISans" w:hAnsi="BISans" w:cs="BISans"/>
          <w:bCs/>
          <w:sz w:val="22"/>
          <w:szCs w:val="22"/>
          <w:lang w:val="it-IT"/>
        </w:rPr>
        <w:t xml:space="preserve">maggiore o di </w:t>
      </w:r>
      <w:r w:rsidR="00C87792" w:rsidRPr="00481DB6">
        <w:rPr>
          <w:rFonts w:ascii="BISans" w:eastAsia="BISans" w:hAnsi="BISans" w:cs="BISans"/>
          <w:bCs/>
          <w:sz w:val="22"/>
          <w:szCs w:val="22"/>
          <w:lang w:val="it-IT"/>
        </w:rPr>
        <w:t xml:space="preserve">sanguinamento non-maggiore </w:t>
      </w:r>
      <w:r w:rsidRPr="00481DB6">
        <w:rPr>
          <w:rFonts w:ascii="BISans" w:eastAsia="BISans" w:hAnsi="BISans" w:cs="BISans"/>
          <w:bCs/>
          <w:sz w:val="22"/>
          <w:szCs w:val="22"/>
          <w:lang w:val="it-IT"/>
        </w:rPr>
        <w:t>clinicamente rilevante):</w:t>
      </w:r>
    </w:p>
    <w:p w:rsidR="00C43CAD" w:rsidRPr="00481DB6" w:rsidRDefault="00C43CAD" w:rsidP="0036377C">
      <w:pPr>
        <w:pStyle w:val="Paragrafoelenco"/>
        <w:numPr>
          <w:ilvl w:val="1"/>
          <w:numId w:val="22"/>
        </w:numPr>
        <w:autoSpaceDE w:val="0"/>
        <w:autoSpaceDN w:val="0"/>
        <w:adjustRightInd w:val="0"/>
        <w:jc w:val="both"/>
        <w:rPr>
          <w:rFonts w:ascii="BISans" w:eastAsia="BISans" w:hAnsi="BISans" w:cs="BISans"/>
          <w:bCs/>
          <w:sz w:val="22"/>
          <w:szCs w:val="22"/>
          <w:lang w:val="it-IT"/>
        </w:rPr>
      </w:pPr>
      <w:r w:rsidRPr="00481DB6">
        <w:rPr>
          <w:rFonts w:ascii="BISans" w:eastAsia="BISans" w:hAnsi="BISans" w:cs="BISans"/>
          <w:bCs/>
          <w:sz w:val="22"/>
          <w:szCs w:val="22"/>
          <w:lang w:val="it-IT"/>
        </w:rPr>
        <w:t>Inferiore del 48% con la duplice terapia con dabigatran 110 mg;</w:t>
      </w:r>
    </w:p>
    <w:p w:rsidR="00C43CAD" w:rsidRPr="00481DB6" w:rsidRDefault="00C43CAD" w:rsidP="0036377C">
      <w:pPr>
        <w:pStyle w:val="Paragrafoelenco"/>
        <w:numPr>
          <w:ilvl w:val="1"/>
          <w:numId w:val="22"/>
        </w:numPr>
        <w:autoSpaceDE w:val="0"/>
        <w:autoSpaceDN w:val="0"/>
        <w:adjustRightInd w:val="0"/>
        <w:jc w:val="both"/>
        <w:rPr>
          <w:rFonts w:ascii="BISans" w:eastAsia="BISans" w:hAnsi="BISans" w:cs="BISans"/>
          <w:bCs/>
          <w:sz w:val="22"/>
          <w:szCs w:val="22"/>
          <w:lang w:val="it-IT"/>
        </w:rPr>
      </w:pPr>
      <w:r w:rsidRPr="00481DB6">
        <w:rPr>
          <w:rFonts w:ascii="BISans" w:eastAsia="BISans" w:hAnsi="BISans" w:cs="BISans"/>
          <w:bCs/>
          <w:sz w:val="22"/>
          <w:szCs w:val="22"/>
          <w:lang w:val="it-IT"/>
        </w:rPr>
        <w:t>inferiore del 28% con la duplice terapia con dabigatr</w:t>
      </w:r>
      <w:r w:rsidR="0036377C">
        <w:rPr>
          <w:rFonts w:ascii="BISans" w:eastAsia="BISans" w:hAnsi="BISans" w:cs="BISans"/>
          <w:bCs/>
          <w:sz w:val="22"/>
          <w:szCs w:val="22"/>
          <w:lang w:val="it-IT"/>
        </w:rPr>
        <w:t>an 150 mg (differenza relativa).</w:t>
      </w:r>
    </w:p>
    <w:p w:rsidR="00C43CAD" w:rsidRPr="00481DB6" w:rsidRDefault="00142696" w:rsidP="0036377C">
      <w:pPr>
        <w:pStyle w:val="Paragrafoelenco"/>
        <w:numPr>
          <w:ilvl w:val="0"/>
          <w:numId w:val="21"/>
        </w:numPr>
        <w:autoSpaceDE w:val="0"/>
        <w:autoSpaceDN w:val="0"/>
        <w:adjustRightInd w:val="0"/>
        <w:jc w:val="both"/>
        <w:rPr>
          <w:rFonts w:ascii="BISans" w:eastAsia="BISans" w:hAnsi="BISans" w:cs="BISans"/>
          <w:bCs/>
          <w:sz w:val="22"/>
          <w:szCs w:val="22"/>
          <w:lang w:val="it-IT"/>
        </w:rPr>
      </w:pPr>
      <w:r w:rsidRPr="00481DB6">
        <w:rPr>
          <w:rFonts w:ascii="BISans" w:eastAsia="BISans" w:hAnsi="BISans" w:cs="BISans"/>
          <w:bCs/>
          <w:sz w:val="22"/>
          <w:szCs w:val="22"/>
          <w:lang w:val="it-IT"/>
        </w:rPr>
        <w:t>Gli e</w:t>
      </w:r>
      <w:r w:rsidR="00C43CAD" w:rsidRPr="00481DB6">
        <w:rPr>
          <w:rFonts w:ascii="BISans" w:eastAsia="BISans" w:hAnsi="BISans" w:cs="BISans"/>
          <w:bCs/>
          <w:sz w:val="22"/>
          <w:szCs w:val="22"/>
          <w:lang w:val="it-IT"/>
        </w:rPr>
        <w:t>venti tromboembolici complessivi</w:t>
      </w:r>
      <w:r w:rsidRPr="00481DB6">
        <w:rPr>
          <w:rFonts w:ascii="BISans" w:eastAsia="BISans" w:hAnsi="BISans" w:cs="BISans"/>
          <w:bCs/>
          <w:sz w:val="22"/>
          <w:szCs w:val="22"/>
          <w:lang w:val="it-IT"/>
        </w:rPr>
        <w:t xml:space="preserve"> (principali endpoint secondari) sono risultati simili</w:t>
      </w:r>
      <w:r w:rsidR="00C43CAD" w:rsidRPr="00481DB6">
        <w:rPr>
          <w:rFonts w:ascii="BISans" w:eastAsia="BISans" w:hAnsi="BISans" w:cs="BISans"/>
          <w:bCs/>
          <w:sz w:val="22"/>
          <w:szCs w:val="22"/>
          <w:lang w:val="it-IT"/>
        </w:rPr>
        <w:t xml:space="preserve"> per la duplice terapia con dabigatran</w:t>
      </w:r>
      <w:r w:rsidRPr="00481DB6">
        <w:rPr>
          <w:rFonts w:ascii="BISans" w:eastAsia="BISans" w:hAnsi="BISans" w:cs="BISans"/>
          <w:bCs/>
          <w:sz w:val="22"/>
          <w:szCs w:val="22"/>
          <w:lang w:val="it-IT"/>
        </w:rPr>
        <w:t xml:space="preserve"> </w:t>
      </w:r>
      <w:r w:rsidR="00E73B7B" w:rsidRPr="00481DB6">
        <w:rPr>
          <w:rFonts w:ascii="BISans" w:eastAsia="BISans" w:hAnsi="BISans" w:cs="BISans"/>
          <w:bCs/>
          <w:sz w:val="22"/>
          <w:szCs w:val="22"/>
          <w:lang w:val="it-IT"/>
        </w:rPr>
        <w:t xml:space="preserve">per </w:t>
      </w:r>
      <w:r w:rsidR="00C43CAD" w:rsidRPr="00481DB6">
        <w:rPr>
          <w:rFonts w:ascii="BISans" w:eastAsia="BISans" w:hAnsi="BISans" w:cs="BISans"/>
          <w:bCs/>
          <w:sz w:val="22"/>
          <w:szCs w:val="22"/>
          <w:lang w:val="it-IT"/>
        </w:rPr>
        <w:t>entrambi i dosaggi, rispetto all</w:t>
      </w:r>
      <w:r w:rsidR="00E73B7B" w:rsidRPr="00481DB6">
        <w:rPr>
          <w:rFonts w:ascii="BISans" w:eastAsia="BISans" w:hAnsi="BISans" w:cs="BISans"/>
          <w:bCs/>
          <w:sz w:val="22"/>
          <w:szCs w:val="22"/>
          <w:lang w:val="it-IT"/>
        </w:rPr>
        <w:t>a triplice terapia con warfarin</w:t>
      </w:r>
      <w:r w:rsidR="00C43CAD" w:rsidRPr="00481DB6">
        <w:rPr>
          <w:rFonts w:ascii="BISans" w:eastAsia="BISans" w:hAnsi="BISans" w:cs="BISans"/>
          <w:bCs/>
          <w:sz w:val="22"/>
          <w:szCs w:val="22"/>
          <w:lang w:val="it-IT"/>
        </w:rPr>
        <w:t>.</w:t>
      </w:r>
    </w:p>
    <w:p w:rsidR="00C43CAD" w:rsidRPr="00481DB6" w:rsidRDefault="00C43CAD" w:rsidP="0036377C">
      <w:pPr>
        <w:autoSpaceDE w:val="0"/>
        <w:autoSpaceDN w:val="0"/>
        <w:adjustRightInd w:val="0"/>
        <w:spacing w:after="0" w:line="240" w:lineRule="auto"/>
        <w:contextualSpacing/>
        <w:jc w:val="both"/>
        <w:rPr>
          <w:rFonts w:ascii="BISans" w:eastAsia="BISans" w:hAnsi="BISans" w:cs="BISans"/>
          <w:bCs/>
        </w:rPr>
      </w:pPr>
    </w:p>
    <w:p w:rsidR="00C43CAD" w:rsidRPr="00481DB6" w:rsidRDefault="00C43CAD" w:rsidP="0036377C">
      <w:pPr>
        <w:autoSpaceDE w:val="0"/>
        <w:autoSpaceDN w:val="0"/>
        <w:spacing w:after="0" w:line="240" w:lineRule="auto"/>
        <w:jc w:val="both"/>
        <w:rPr>
          <w:rFonts w:ascii="BISans" w:eastAsia="BISans" w:hAnsi="BISans" w:cs="BISans"/>
          <w:bCs/>
        </w:rPr>
      </w:pPr>
      <w:r w:rsidRPr="00481DB6">
        <w:rPr>
          <w:rFonts w:ascii="BISans" w:eastAsia="BISans" w:hAnsi="BISans" w:cs="BISans"/>
          <w:bCs/>
        </w:rPr>
        <w:t xml:space="preserve">“Volevamo rispondere ai quesiti che si pongono i medici quando si tratta di terapia anticoagulante in pazienti con stent” - ha </w:t>
      </w:r>
      <w:r w:rsidRPr="00481DB6">
        <w:rPr>
          <w:rFonts w:ascii="BISans" w:hAnsi="BISans"/>
        </w:rPr>
        <w:t>commentato il Professor Jörg Kreuzer, Vice Presidente Medicina, Area Terapeutica Cardiovascolare di Boehringer Ingelheim -</w:t>
      </w:r>
      <w:r w:rsidRPr="00481DB6">
        <w:rPr>
          <w:rFonts w:ascii="BISans" w:eastAsia="BISans" w:hAnsi="BISans" w:cs="BISans"/>
          <w:bCs/>
        </w:rPr>
        <w:t xml:space="preserve"> “Le sottoanalisi di </w:t>
      </w:r>
      <w:r w:rsidRPr="00481DB6">
        <w:rPr>
          <w:rFonts w:ascii="BISans" w:hAnsi="BISans"/>
        </w:rPr>
        <w:t xml:space="preserve">RE-DUAL PCI™ confermano gli straordinari risultati riscontrati nella popolazione complessiva dello </w:t>
      </w:r>
      <w:r w:rsidR="00BF28FD" w:rsidRPr="00481DB6">
        <w:rPr>
          <w:rFonts w:ascii="BISans" w:hAnsi="BISans"/>
        </w:rPr>
        <w:t>studio RE</w:t>
      </w:r>
      <w:r w:rsidRPr="00481DB6">
        <w:rPr>
          <w:rFonts w:ascii="BISans" w:hAnsi="BISans"/>
        </w:rPr>
        <w:t>-DUAL</w:t>
      </w:r>
      <w:r w:rsidR="0036377C">
        <w:rPr>
          <w:rFonts w:ascii="BISans" w:hAnsi="BISans"/>
        </w:rPr>
        <w:t xml:space="preserve">. </w:t>
      </w:r>
      <w:r w:rsidRPr="00481DB6">
        <w:rPr>
          <w:rFonts w:ascii="BISans" w:hAnsi="BISans"/>
        </w:rPr>
        <w:t>Anche nei sottogruppi, la duplice terapia con dabigatran ha dimostrato un profilo rischio-beneficio significativamente migliore rispetto alla triplice terapia con il warfarin”.</w:t>
      </w:r>
    </w:p>
    <w:p w:rsidR="00C43CAD" w:rsidRPr="00481DB6" w:rsidRDefault="00C43CAD" w:rsidP="0036377C">
      <w:pPr>
        <w:autoSpaceDE w:val="0"/>
        <w:autoSpaceDN w:val="0"/>
        <w:adjustRightInd w:val="0"/>
        <w:spacing w:after="0" w:line="240" w:lineRule="auto"/>
        <w:jc w:val="both"/>
        <w:rPr>
          <w:rStyle w:val="Highlight"/>
          <w:rFonts w:ascii="BISans" w:hAnsi="BISans"/>
        </w:rPr>
      </w:pPr>
    </w:p>
    <w:p w:rsidR="00C43CAD" w:rsidRPr="00481DB6" w:rsidRDefault="00C43CAD" w:rsidP="0036377C">
      <w:pPr>
        <w:spacing w:after="0" w:line="240" w:lineRule="auto"/>
        <w:jc w:val="both"/>
        <w:rPr>
          <w:rFonts w:ascii="BISans" w:hAnsi="BISans"/>
          <w:b/>
          <w:bCs/>
          <w:sz w:val="20"/>
          <w:szCs w:val="20"/>
          <w:lang w:eastAsia="en-GB"/>
        </w:rPr>
      </w:pPr>
      <w:r w:rsidRPr="00481DB6">
        <w:rPr>
          <w:rFonts w:ascii="BISans" w:hAnsi="BISans"/>
          <w:b/>
          <w:bCs/>
          <w:sz w:val="20"/>
          <w:szCs w:val="20"/>
          <w:lang w:eastAsia="en-GB"/>
        </w:rPr>
        <w:t>Lo Studio RE-DUAL PCI™</w:t>
      </w:r>
    </w:p>
    <w:p w:rsidR="00C43CAD" w:rsidRPr="00481DB6" w:rsidRDefault="00C43CAD" w:rsidP="0036377C">
      <w:pPr>
        <w:spacing w:after="0" w:line="240" w:lineRule="auto"/>
        <w:jc w:val="both"/>
        <w:rPr>
          <w:rFonts w:ascii="BISans" w:hAnsi="BISans"/>
          <w:sz w:val="20"/>
          <w:szCs w:val="20"/>
          <w:vertAlign w:val="superscript"/>
          <w:lang w:eastAsia="en-GB"/>
        </w:rPr>
      </w:pPr>
      <w:r w:rsidRPr="00481DB6">
        <w:rPr>
          <w:rFonts w:ascii="BISans" w:hAnsi="BISans"/>
          <w:sz w:val="20"/>
          <w:szCs w:val="20"/>
          <w:lang w:eastAsia="en-GB"/>
        </w:rPr>
        <w:t xml:space="preserve">RE-DUAL PCI™ è uno studio </w:t>
      </w:r>
      <w:r w:rsidR="0010751B" w:rsidRPr="00481DB6">
        <w:rPr>
          <w:rFonts w:ascii="BISans" w:hAnsi="BISans"/>
          <w:sz w:val="20"/>
          <w:szCs w:val="20"/>
          <w:lang w:eastAsia="en-GB"/>
        </w:rPr>
        <w:t>che ha valutato la</w:t>
      </w:r>
      <w:r w:rsidRPr="00481DB6">
        <w:rPr>
          <w:rFonts w:ascii="BISans" w:hAnsi="BISans"/>
          <w:sz w:val="20"/>
          <w:szCs w:val="20"/>
          <w:lang w:eastAsia="en-GB"/>
        </w:rPr>
        <w:t xml:space="preserve"> duplice terapia con dabigatran etexilato </w:t>
      </w:r>
      <w:r w:rsidR="00592982" w:rsidRPr="00481DB6">
        <w:rPr>
          <w:rFonts w:ascii="BISans" w:hAnsi="BISans"/>
          <w:sz w:val="20"/>
          <w:szCs w:val="20"/>
          <w:lang w:eastAsia="en-GB"/>
        </w:rPr>
        <w:t xml:space="preserve">associato ad una singola terapia </w:t>
      </w:r>
      <w:r w:rsidR="00C87792" w:rsidRPr="00481DB6">
        <w:rPr>
          <w:rFonts w:ascii="BISans" w:hAnsi="BISans"/>
          <w:sz w:val="20"/>
          <w:szCs w:val="20"/>
          <w:lang w:eastAsia="en-GB"/>
        </w:rPr>
        <w:t xml:space="preserve">con </w:t>
      </w:r>
      <w:r w:rsidRPr="00481DB6">
        <w:rPr>
          <w:rFonts w:ascii="BISans" w:hAnsi="BISans"/>
          <w:sz w:val="20"/>
          <w:szCs w:val="20"/>
          <w:lang w:eastAsia="en-GB"/>
        </w:rPr>
        <w:t>antiaggregante piastrinic</w:t>
      </w:r>
      <w:r w:rsidR="00C87792" w:rsidRPr="00481DB6">
        <w:rPr>
          <w:rFonts w:ascii="BISans" w:hAnsi="BISans"/>
          <w:sz w:val="20"/>
          <w:szCs w:val="20"/>
          <w:lang w:eastAsia="en-GB"/>
        </w:rPr>
        <w:t>o</w:t>
      </w:r>
      <w:r w:rsidRPr="00481DB6">
        <w:rPr>
          <w:rFonts w:ascii="BISans" w:hAnsi="BISans"/>
          <w:sz w:val="20"/>
          <w:szCs w:val="20"/>
          <w:lang w:eastAsia="en-GB"/>
        </w:rPr>
        <w:t xml:space="preserve"> (senza aspirina), rispetto alla triplice terapia con warfarin e due antiaggreganti piastrinici</w:t>
      </w:r>
      <w:r w:rsidR="00272877" w:rsidRPr="00481DB6">
        <w:rPr>
          <w:rFonts w:ascii="BISans" w:hAnsi="BISans"/>
          <w:sz w:val="20"/>
          <w:szCs w:val="20"/>
          <w:lang w:eastAsia="en-GB"/>
        </w:rPr>
        <w:t>,</w:t>
      </w:r>
      <w:r w:rsidRPr="00481DB6">
        <w:rPr>
          <w:rFonts w:ascii="BISans" w:hAnsi="BISans"/>
          <w:sz w:val="20"/>
          <w:szCs w:val="20"/>
          <w:lang w:eastAsia="en-GB"/>
        </w:rPr>
        <w:t xml:space="preserve"> </w:t>
      </w:r>
      <w:r w:rsidR="00592982" w:rsidRPr="00481DB6">
        <w:rPr>
          <w:rFonts w:ascii="BISans" w:hAnsi="BISans"/>
          <w:sz w:val="20"/>
          <w:szCs w:val="20"/>
          <w:lang w:eastAsia="en-GB"/>
        </w:rPr>
        <w:t xml:space="preserve">tra cui </w:t>
      </w:r>
      <w:r w:rsidRPr="00481DB6">
        <w:rPr>
          <w:rFonts w:ascii="BISans" w:hAnsi="BISans"/>
          <w:sz w:val="20"/>
          <w:szCs w:val="20"/>
          <w:lang w:eastAsia="en-GB"/>
        </w:rPr>
        <w:t>aspirina, in pazienti con fibrillazione atriale</w:t>
      </w:r>
      <w:r w:rsidR="00272877" w:rsidRPr="00481DB6">
        <w:rPr>
          <w:rFonts w:ascii="BISans" w:hAnsi="BISans"/>
          <w:sz w:val="20"/>
          <w:szCs w:val="20"/>
          <w:lang w:eastAsia="en-GB"/>
        </w:rPr>
        <w:t>,</w:t>
      </w:r>
      <w:r w:rsidRPr="00481DB6">
        <w:rPr>
          <w:rFonts w:ascii="BISans" w:hAnsi="BISans"/>
          <w:sz w:val="20"/>
          <w:szCs w:val="20"/>
          <w:lang w:eastAsia="en-GB"/>
        </w:rPr>
        <w:t xml:space="preserve"> </w:t>
      </w:r>
      <w:r w:rsidRPr="00481DB6">
        <w:rPr>
          <w:rFonts w:ascii="BISans" w:hAnsi="BISans"/>
          <w:sz w:val="20"/>
          <w:szCs w:val="20"/>
          <w:lang w:eastAsia="en-GB"/>
        </w:rPr>
        <w:lastRenderedPageBreak/>
        <w:t>dopo un</w:t>
      </w:r>
      <w:r w:rsidR="00592982" w:rsidRPr="00481DB6">
        <w:rPr>
          <w:rFonts w:ascii="BISans" w:hAnsi="BISans"/>
          <w:sz w:val="20"/>
          <w:szCs w:val="20"/>
          <w:lang w:eastAsia="en-GB"/>
        </w:rPr>
        <w:t>a procedura di angioplastica</w:t>
      </w:r>
      <w:r w:rsidR="005F1067" w:rsidRPr="00481DB6">
        <w:rPr>
          <w:rFonts w:ascii="BISans" w:hAnsi="BISans"/>
          <w:sz w:val="20"/>
          <w:szCs w:val="20"/>
          <w:lang w:eastAsia="en-GB"/>
        </w:rPr>
        <w:t xml:space="preserve"> </w:t>
      </w:r>
      <w:r w:rsidR="00BF28FD" w:rsidRPr="00481DB6">
        <w:rPr>
          <w:rFonts w:ascii="BISans" w:hAnsi="BISans"/>
          <w:sz w:val="20"/>
          <w:szCs w:val="20"/>
          <w:lang w:eastAsia="en-GB"/>
        </w:rPr>
        <w:t>coronarica (</w:t>
      </w:r>
      <w:r w:rsidR="00592982" w:rsidRPr="00481DB6">
        <w:rPr>
          <w:rFonts w:ascii="BISans" w:eastAsia="BISans" w:hAnsi="BISans" w:cs="BISans"/>
          <w:bCs/>
          <w:sz w:val="20"/>
          <w:szCs w:val="20"/>
        </w:rPr>
        <w:t xml:space="preserve">PCI) </w:t>
      </w:r>
      <w:r w:rsidRPr="00481DB6">
        <w:rPr>
          <w:rFonts w:ascii="BISans" w:eastAsia="BISans" w:hAnsi="BISans" w:cs="BISans"/>
          <w:bCs/>
          <w:sz w:val="20"/>
          <w:szCs w:val="20"/>
        </w:rPr>
        <w:t xml:space="preserve">con </w:t>
      </w:r>
      <w:r w:rsidR="00592982" w:rsidRPr="00481DB6">
        <w:rPr>
          <w:rFonts w:ascii="BISans" w:eastAsia="BISans" w:hAnsi="BISans" w:cs="BISans"/>
          <w:bCs/>
          <w:sz w:val="20"/>
          <w:szCs w:val="20"/>
        </w:rPr>
        <w:t xml:space="preserve">inserimento </w:t>
      </w:r>
      <w:r w:rsidRPr="00481DB6">
        <w:rPr>
          <w:rFonts w:ascii="BISans" w:eastAsia="BISans" w:hAnsi="BISans" w:cs="BISans"/>
          <w:bCs/>
          <w:sz w:val="20"/>
          <w:szCs w:val="20"/>
        </w:rPr>
        <w:t>di stent</w:t>
      </w:r>
      <w:r w:rsidRPr="00481DB6">
        <w:rPr>
          <w:rFonts w:ascii="BISans" w:hAnsi="BISans"/>
          <w:sz w:val="20"/>
          <w:szCs w:val="20"/>
          <w:lang w:eastAsia="en-GB"/>
        </w:rPr>
        <w:t>.</w:t>
      </w:r>
      <w:r w:rsidRPr="00481DB6">
        <w:rPr>
          <w:rFonts w:ascii="BISans" w:hAnsi="BISans"/>
          <w:sz w:val="20"/>
          <w:szCs w:val="20"/>
          <w:vertAlign w:val="superscript"/>
          <w:lang w:eastAsia="en-GB"/>
        </w:rPr>
        <w:t>7-9</w:t>
      </w:r>
    </w:p>
    <w:p w:rsidR="00C43CAD" w:rsidRPr="00481DB6" w:rsidRDefault="00C43CAD" w:rsidP="0036377C">
      <w:pPr>
        <w:spacing w:after="0" w:line="240" w:lineRule="auto"/>
        <w:jc w:val="both"/>
        <w:rPr>
          <w:rFonts w:ascii="BISans" w:hAnsi="BISans"/>
          <w:sz w:val="20"/>
          <w:szCs w:val="20"/>
          <w:lang w:eastAsia="en-GB"/>
        </w:rPr>
      </w:pPr>
    </w:p>
    <w:p w:rsidR="00C43CAD" w:rsidRPr="00481DB6" w:rsidRDefault="00C43CAD" w:rsidP="0036377C">
      <w:pPr>
        <w:spacing w:after="0" w:line="240" w:lineRule="auto"/>
        <w:jc w:val="both"/>
        <w:rPr>
          <w:rFonts w:ascii="BISans" w:hAnsi="BISans"/>
          <w:sz w:val="20"/>
          <w:szCs w:val="20"/>
          <w:vertAlign w:val="superscript"/>
          <w:lang w:eastAsia="en-GB"/>
        </w:rPr>
      </w:pPr>
      <w:r w:rsidRPr="00481DB6">
        <w:rPr>
          <w:rFonts w:ascii="BISans" w:hAnsi="BISans"/>
          <w:sz w:val="20"/>
          <w:szCs w:val="20"/>
          <w:lang w:eastAsia="en-GB"/>
        </w:rPr>
        <w:t>Nello studio RE-DUAL PCI™ sono stati randomizzati 2.725 pazienti adulti sottoposti a intervento coronarico percutaneo</w:t>
      </w:r>
      <w:r w:rsidR="00592982" w:rsidRPr="00481DB6">
        <w:rPr>
          <w:rFonts w:ascii="BISans" w:hAnsi="BISans"/>
          <w:sz w:val="20"/>
          <w:szCs w:val="20"/>
          <w:lang w:eastAsia="en-GB"/>
        </w:rPr>
        <w:t xml:space="preserve"> (PCI)</w:t>
      </w:r>
      <w:r w:rsidRPr="00481DB6">
        <w:rPr>
          <w:rFonts w:ascii="BISans" w:hAnsi="BISans"/>
          <w:sz w:val="20"/>
          <w:szCs w:val="20"/>
          <w:lang w:eastAsia="en-GB"/>
        </w:rPr>
        <w:t xml:space="preserve"> con </w:t>
      </w:r>
      <w:r w:rsidR="005F1067" w:rsidRPr="00481DB6">
        <w:rPr>
          <w:rFonts w:ascii="BISans" w:hAnsi="BISans"/>
          <w:sz w:val="20"/>
          <w:szCs w:val="20"/>
          <w:lang w:eastAsia="en-GB"/>
        </w:rPr>
        <w:t xml:space="preserve">inserimento </w:t>
      </w:r>
      <w:r w:rsidRPr="00481DB6">
        <w:rPr>
          <w:rFonts w:ascii="BISans" w:hAnsi="BISans"/>
          <w:sz w:val="20"/>
          <w:szCs w:val="20"/>
          <w:lang w:eastAsia="en-GB"/>
        </w:rPr>
        <w:t>di stent (intervento elettivo o dovuto a sindrome coronarica acuta) in 414 centri di oltre 41 Paesi del mondo.</w:t>
      </w:r>
      <w:r w:rsidRPr="00481DB6">
        <w:rPr>
          <w:rFonts w:ascii="BISans" w:hAnsi="BISans"/>
          <w:sz w:val="20"/>
          <w:szCs w:val="20"/>
          <w:vertAlign w:val="superscript"/>
          <w:lang w:eastAsia="en-GB"/>
        </w:rPr>
        <w:t>7</w:t>
      </w:r>
    </w:p>
    <w:p w:rsidR="00C43CAD" w:rsidRPr="00481DB6" w:rsidRDefault="00C43CAD" w:rsidP="0036377C">
      <w:pPr>
        <w:spacing w:after="0" w:line="240" w:lineRule="auto"/>
        <w:jc w:val="both"/>
        <w:rPr>
          <w:rFonts w:ascii="BISans" w:hAnsi="BISans"/>
          <w:sz w:val="20"/>
          <w:szCs w:val="20"/>
          <w:lang w:eastAsia="en-GB"/>
        </w:rPr>
      </w:pPr>
    </w:p>
    <w:p w:rsidR="00C43CAD" w:rsidRPr="00481DB6" w:rsidRDefault="00C43CAD" w:rsidP="0036377C">
      <w:pPr>
        <w:spacing w:after="0" w:line="240" w:lineRule="auto"/>
        <w:jc w:val="both"/>
        <w:rPr>
          <w:rFonts w:ascii="BISans" w:hAnsi="BISans"/>
          <w:sz w:val="20"/>
          <w:szCs w:val="20"/>
          <w:vertAlign w:val="superscript"/>
          <w:lang w:eastAsia="en-GB"/>
        </w:rPr>
      </w:pPr>
      <w:r w:rsidRPr="00481DB6">
        <w:rPr>
          <w:rFonts w:ascii="BISans" w:hAnsi="BISans"/>
          <w:sz w:val="20"/>
          <w:szCs w:val="20"/>
          <w:lang w:eastAsia="en-GB"/>
        </w:rPr>
        <w:t xml:space="preserve">L’obiettivo principale dello studio </w:t>
      </w:r>
      <w:r w:rsidR="00592982" w:rsidRPr="00481DB6">
        <w:rPr>
          <w:rFonts w:ascii="BISans" w:hAnsi="BISans"/>
          <w:sz w:val="20"/>
          <w:szCs w:val="20"/>
          <w:lang w:eastAsia="en-GB"/>
        </w:rPr>
        <w:t>è stato quello di confrontare un regime di</w:t>
      </w:r>
      <w:r w:rsidRPr="00481DB6">
        <w:rPr>
          <w:rFonts w:ascii="BISans" w:hAnsi="BISans"/>
          <w:sz w:val="20"/>
          <w:szCs w:val="20"/>
          <w:lang w:eastAsia="en-GB"/>
        </w:rPr>
        <w:t xml:space="preserve"> duplice terapia antitrombotica con dabigatran etexilato due volte/die al dosaggio di 110 mg o 150 mg</w:t>
      </w:r>
      <w:r w:rsidR="00592982" w:rsidRPr="00481DB6">
        <w:rPr>
          <w:rFonts w:ascii="BISans" w:hAnsi="BISans"/>
          <w:sz w:val="20"/>
          <w:szCs w:val="20"/>
          <w:lang w:eastAsia="en-GB"/>
        </w:rPr>
        <w:t>,</w:t>
      </w:r>
      <w:r w:rsidRPr="00481DB6">
        <w:rPr>
          <w:rFonts w:ascii="BISans" w:hAnsi="BISans"/>
          <w:sz w:val="20"/>
          <w:szCs w:val="20"/>
          <w:lang w:eastAsia="en-GB"/>
        </w:rPr>
        <w:t xml:space="preserve"> più clopidogrel o ticagrelor, rispetto a triplice terapia antitrombotica con warfarin più clopidogrel o ticagrelor più aspirina </w:t>
      </w:r>
      <w:r w:rsidR="00592982" w:rsidRPr="00481DB6">
        <w:rPr>
          <w:rFonts w:ascii="BISans" w:hAnsi="BISans"/>
          <w:sz w:val="20"/>
          <w:szCs w:val="20"/>
          <w:lang w:eastAsia="en-GB"/>
        </w:rPr>
        <w:t>ad un dosaggio uguale o inferiore a</w:t>
      </w:r>
      <w:r w:rsidR="0010751B" w:rsidRPr="00481DB6">
        <w:rPr>
          <w:rFonts w:ascii="BISans" w:hAnsi="BISans"/>
          <w:sz w:val="20"/>
          <w:szCs w:val="20"/>
          <w:lang w:eastAsia="en-GB"/>
        </w:rPr>
        <w:t xml:space="preserve"> </w:t>
      </w:r>
      <w:r w:rsidRPr="00481DB6">
        <w:rPr>
          <w:rFonts w:ascii="BISans" w:hAnsi="BISans"/>
          <w:sz w:val="20"/>
          <w:szCs w:val="20"/>
          <w:lang w:eastAsia="en-GB"/>
        </w:rPr>
        <w:t>100 mg una volta/die.</w:t>
      </w:r>
      <w:r w:rsidRPr="00481DB6">
        <w:rPr>
          <w:rFonts w:ascii="BISans" w:hAnsi="BISans"/>
          <w:sz w:val="20"/>
          <w:szCs w:val="20"/>
          <w:vertAlign w:val="superscript"/>
          <w:lang w:eastAsia="en-GB"/>
        </w:rPr>
        <w:t>7-9</w:t>
      </w:r>
    </w:p>
    <w:p w:rsidR="00C43CAD" w:rsidRPr="00481DB6" w:rsidRDefault="00C43CAD" w:rsidP="0036377C">
      <w:pPr>
        <w:spacing w:after="0" w:line="240" w:lineRule="auto"/>
        <w:jc w:val="both"/>
        <w:rPr>
          <w:rFonts w:ascii="BISans" w:hAnsi="BISans"/>
          <w:sz w:val="20"/>
          <w:szCs w:val="20"/>
          <w:lang w:eastAsia="en-GB"/>
        </w:rPr>
      </w:pPr>
    </w:p>
    <w:p w:rsidR="00C43CAD" w:rsidRPr="00481DB6" w:rsidRDefault="00C43CAD" w:rsidP="0036377C">
      <w:pPr>
        <w:spacing w:after="0" w:line="240" w:lineRule="auto"/>
        <w:jc w:val="both"/>
        <w:rPr>
          <w:rFonts w:ascii="BISans" w:hAnsi="BISans"/>
          <w:sz w:val="20"/>
          <w:szCs w:val="20"/>
          <w:vertAlign w:val="superscript"/>
          <w:lang w:eastAsia="en-GB"/>
        </w:rPr>
      </w:pPr>
      <w:r w:rsidRPr="00481DB6">
        <w:rPr>
          <w:rFonts w:ascii="BISans" w:hAnsi="BISans"/>
          <w:sz w:val="20"/>
          <w:szCs w:val="20"/>
          <w:lang w:eastAsia="en-GB"/>
        </w:rPr>
        <w:t xml:space="preserve">L’endpoint </w:t>
      </w:r>
      <w:r w:rsidR="00BF28FD" w:rsidRPr="00481DB6">
        <w:rPr>
          <w:rFonts w:ascii="BISans" w:hAnsi="BISans"/>
          <w:sz w:val="20"/>
          <w:szCs w:val="20"/>
          <w:lang w:eastAsia="en-GB"/>
        </w:rPr>
        <w:t>principale di</w:t>
      </w:r>
      <w:r w:rsidRPr="00481DB6">
        <w:rPr>
          <w:rFonts w:ascii="BISans" w:hAnsi="BISans"/>
          <w:sz w:val="20"/>
          <w:szCs w:val="20"/>
          <w:lang w:eastAsia="en-GB"/>
        </w:rPr>
        <w:t xml:space="preserve"> sicurezza dello studi</w:t>
      </w:r>
      <w:r w:rsidR="00E73B7B" w:rsidRPr="00481DB6">
        <w:rPr>
          <w:rFonts w:ascii="BISans" w:hAnsi="BISans"/>
          <w:sz w:val="20"/>
          <w:szCs w:val="20"/>
          <w:lang w:eastAsia="en-GB"/>
        </w:rPr>
        <w:t>o</w:t>
      </w:r>
      <w:r w:rsidR="00592982" w:rsidRPr="00481DB6">
        <w:rPr>
          <w:rFonts w:ascii="BISans" w:hAnsi="BISans"/>
          <w:sz w:val="20"/>
          <w:szCs w:val="20"/>
          <w:lang w:eastAsia="en-GB"/>
        </w:rPr>
        <w:t>,</w:t>
      </w:r>
      <w:r w:rsidR="00E73B7B" w:rsidRPr="00481DB6">
        <w:rPr>
          <w:rFonts w:ascii="BISans" w:hAnsi="BISans"/>
          <w:sz w:val="20"/>
          <w:szCs w:val="20"/>
          <w:lang w:eastAsia="en-GB"/>
        </w:rPr>
        <w:t xml:space="preserve"> durato</w:t>
      </w:r>
      <w:r w:rsidRPr="00481DB6">
        <w:rPr>
          <w:rFonts w:ascii="BISans" w:hAnsi="BISans"/>
          <w:sz w:val="20"/>
          <w:szCs w:val="20"/>
          <w:lang w:eastAsia="en-GB"/>
        </w:rPr>
        <w:t xml:space="preserve"> 30 mesi</w:t>
      </w:r>
      <w:r w:rsidR="00592982" w:rsidRPr="00481DB6">
        <w:rPr>
          <w:rFonts w:ascii="BISans" w:hAnsi="BISans"/>
          <w:sz w:val="20"/>
          <w:szCs w:val="20"/>
          <w:lang w:eastAsia="en-GB"/>
        </w:rPr>
        <w:t>,</w:t>
      </w:r>
      <w:r w:rsidRPr="00481DB6">
        <w:rPr>
          <w:rFonts w:ascii="BISans" w:hAnsi="BISans"/>
          <w:sz w:val="20"/>
          <w:szCs w:val="20"/>
          <w:lang w:eastAsia="en-GB"/>
        </w:rPr>
        <w:t xml:space="preserve"> è la non-inferiorità in termini di tempo </w:t>
      </w:r>
      <w:r w:rsidR="00592982" w:rsidRPr="00481DB6">
        <w:rPr>
          <w:rFonts w:ascii="BISans" w:hAnsi="BISans"/>
          <w:sz w:val="20"/>
          <w:szCs w:val="20"/>
          <w:lang w:eastAsia="en-GB"/>
        </w:rPr>
        <w:t xml:space="preserve">intercorso </w:t>
      </w:r>
      <w:r w:rsidRPr="00481DB6">
        <w:rPr>
          <w:rFonts w:ascii="BISans" w:hAnsi="BISans"/>
          <w:sz w:val="20"/>
          <w:szCs w:val="20"/>
          <w:lang w:eastAsia="en-GB"/>
        </w:rPr>
        <w:t xml:space="preserve">sino all’insorgenza del primo evento di </w:t>
      </w:r>
      <w:r w:rsidR="00592982" w:rsidRPr="00481DB6">
        <w:rPr>
          <w:rFonts w:ascii="BISans" w:hAnsi="BISans"/>
          <w:sz w:val="20"/>
          <w:szCs w:val="20"/>
          <w:lang w:eastAsia="en-GB"/>
        </w:rPr>
        <w:t xml:space="preserve">sanguinamento </w:t>
      </w:r>
      <w:r w:rsidRPr="00481DB6">
        <w:rPr>
          <w:rFonts w:ascii="BISans" w:hAnsi="BISans"/>
          <w:sz w:val="20"/>
          <w:szCs w:val="20"/>
          <w:lang w:eastAsia="en-GB"/>
        </w:rPr>
        <w:t>maggiore, come definito dall’International Society on Thrombosis and</w:t>
      </w:r>
      <w:r w:rsidR="00E73B7B" w:rsidRPr="00481DB6">
        <w:rPr>
          <w:rFonts w:ascii="BISans" w:hAnsi="BISans"/>
          <w:sz w:val="20"/>
          <w:szCs w:val="20"/>
          <w:lang w:eastAsia="en-GB"/>
        </w:rPr>
        <w:t xml:space="preserve"> Haemostasis (ISTH), o evento di </w:t>
      </w:r>
      <w:r w:rsidR="00BF28FD" w:rsidRPr="00481DB6">
        <w:rPr>
          <w:rFonts w:ascii="BISans" w:hAnsi="BISans"/>
          <w:sz w:val="20"/>
          <w:szCs w:val="20"/>
          <w:lang w:eastAsia="en-GB"/>
        </w:rPr>
        <w:t>sanguinamento non</w:t>
      </w:r>
      <w:r w:rsidRPr="00481DB6">
        <w:rPr>
          <w:rFonts w:ascii="BISans" w:hAnsi="BISans"/>
          <w:sz w:val="20"/>
          <w:szCs w:val="20"/>
          <w:lang w:eastAsia="en-GB"/>
        </w:rPr>
        <w:t>-maggiore</w:t>
      </w:r>
      <w:r w:rsidR="00592982" w:rsidRPr="00481DB6">
        <w:rPr>
          <w:rFonts w:ascii="BISans" w:hAnsi="BISans"/>
          <w:sz w:val="20"/>
          <w:szCs w:val="20"/>
          <w:lang w:eastAsia="en-GB"/>
        </w:rPr>
        <w:t xml:space="preserve"> clinicamente rilevante</w:t>
      </w:r>
      <w:r w:rsidRPr="00481DB6">
        <w:rPr>
          <w:rFonts w:ascii="BISans" w:hAnsi="BISans"/>
          <w:sz w:val="20"/>
          <w:szCs w:val="20"/>
          <w:lang w:eastAsia="en-GB"/>
        </w:rPr>
        <w:t xml:space="preserve">. Il principale endpoint tromboembolico valutato per la non-inferiorità era l’endpoint composito costituito da tempo intercorso sino a decesso, primo evento trombotico (infarto del miocardio, ictus o embolia sistemica) e rivascolarizzazione non </w:t>
      </w:r>
      <w:r w:rsidR="008D4C12" w:rsidRPr="00481DB6">
        <w:rPr>
          <w:rFonts w:ascii="BISans" w:hAnsi="BISans"/>
          <w:sz w:val="20"/>
          <w:szCs w:val="20"/>
          <w:lang w:eastAsia="en-GB"/>
        </w:rPr>
        <w:t>pianificata</w:t>
      </w:r>
      <w:r w:rsidRPr="00481DB6">
        <w:rPr>
          <w:rFonts w:ascii="BISans" w:hAnsi="BISans"/>
          <w:sz w:val="20"/>
          <w:szCs w:val="20"/>
          <w:lang w:eastAsia="en-GB"/>
        </w:rPr>
        <w:t>.</w:t>
      </w:r>
      <w:r w:rsidRPr="00481DB6">
        <w:rPr>
          <w:rFonts w:ascii="BISans" w:hAnsi="BISans"/>
          <w:sz w:val="20"/>
          <w:szCs w:val="20"/>
          <w:vertAlign w:val="superscript"/>
          <w:lang w:eastAsia="en-GB"/>
        </w:rPr>
        <w:t>7-9</w:t>
      </w:r>
    </w:p>
    <w:p w:rsidR="00C43CAD" w:rsidRPr="00481DB6" w:rsidRDefault="00C43CAD" w:rsidP="0036377C">
      <w:pPr>
        <w:spacing w:after="0" w:line="240" w:lineRule="auto"/>
        <w:jc w:val="both"/>
        <w:rPr>
          <w:rFonts w:ascii="BISans" w:hAnsi="BISans"/>
          <w:b/>
          <w:bCs/>
          <w:sz w:val="20"/>
          <w:szCs w:val="20"/>
          <w:lang w:eastAsia="en-GB"/>
        </w:rPr>
      </w:pPr>
    </w:p>
    <w:p w:rsidR="00C43CAD" w:rsidRPr="00481DB6" w:rsidRDefault="008D4C12" w:rsidP="0036377C">
      <w:pPr>
        <w:spacing w:after="0" w:line="240" w:lineRule="auto"/>
        <w:jc w:val="both"/>
        <w:rPr>
          <w:rFonts w:ascii="BISans" w:hAnsi="BISans"/>
          <w:b/>
          <w:bCs/>
          <w:sz w:val="20"/>
          <w:szCs w:val="20"/>
          <w:lang w:eastAsia="en-GB"/>
        </w:rPr>
      </w:pPr>
      <w:r w:rsidRPr="00481DB6">
        <w:rPr>
          <w:rFonts w:ascii="BISans" w:hAnsi="BISans"/>
          <w:b/>
          <w:bCs/>
          <w:sz w:val="20"/>
          <w:szCs w:val="20"/>
          <w:lang w:eastAsia="en-GB"/>
        </w:rPr>
        <w:t>Angioplastica Coronarica (PCI)</w:t>
      </w:r>
    </w:p>
    <w:p w:rsidR="00C43CAD" w:rsidRPr="0036377C" w:rsidRDefault="008D4C12" w:rsidP="0036377C">
      <w:pPr>
        <w:spacing w:after="0" w:line="240" w:lineRule="auto"/>
        <w:jc w:val="both"/>
        <w:rPr>
          <w:rFonts w:ascii="BISans" w:hAnsi="BISans"/>
          <w:sz w:val="20"/>
          <w:szCs w:val="20"/>
          <w:vertAlign w:val="superscript"/>
          <w:lang w:eastAsia="en-GB"/>
        </w:rPr>
      </w:pPr>
      <w:r w:rsidRPr="00481DB6">
        <w:rPr>
          <w:rFonts w:ascii="BISans" w:hAnsi="BISans"/>
          <w:sz w:val="20"/>
          <w:szCs w:val="20"/>
          <w:lang w:eastAsia="en-GB"/>
        </w:rPr>
        <w:t xml:space="preserve">L’angioplastica </w:t>
      </w:r>
      <w:r w:rsidR="00BF28FD" w:rsidRPr="00481DB6">
        <w:rPr>
          <w:rFonts w:ascii="BISans" w:hAnsi="BISans"/>
          <w:sz w:val="20"/>
          <w:szCs w:val="20"/>
          <w:lang w:eastAsia="en-GB"/>
        </w:rPr>
        <w:t>coronarica comporta</w:t>
      </w:r>
      <w:r w:rsidR="00C43CAD" w:rsidRPr="00481DB6">
        <w:rPr>
          <w:rFonts w:ascii="BISans" w:hAnsi="BISans"/>
          <w:sz w:val="20"/>
          <w:szCs w:val="20"/>
          <w:lang w:eastAsia="en-GB"/>
        </w:rPr>
        <w:t xml:space="preserve"> l’impiego di stent e serve a restituire pervietà ad arterie ostruite in pazienti con coronaropatia</w:t>
      </w:r>
      <w:r w:rsidR="00C43CAD" w:rsidRPr="00481DB6">
        <w:rPr>
          <w:rFonts w:ascii="BISans" w:hAnsi="BISans"/>
          <w:sz w:val="20"/>
          <w:szCs w:val="20"/>
          <w:vertAlign w:val="superscript"/>
          <w:lang w:eastAsia="en-GB"/>
        </w:rPr>
        <w:t>10</w:t>
      </w:r>
      <w:r w:rsidR="00C43CAD" w:rsidRPr="00481DB6">
        <w:rPr>
          <w:rFonts w:ascii="BISans" w:hAnsi="BISans"/>
          <w:sz w:val="20"/>
          <w:szCs w:val="20"/>
          <w:lang w:eastAsia="en-GB"/>
        </w:rPr>
        <w:t>, per migliorare o ripristinare l’afflusso di sangue al muscolo cardiaco.</w:t>
      </w:r>
      <w:r w:rsidR="00C43CAD" w:rsidRPr="00481DB6">
        <w:rPr>
          <w:rFonts w:ascii="BISans" w:hAnsi="BISans"/>
          <w:sz w:val="20"/>
          <w:szCs w:val="20"/>
          <w:vertAlign w:val="superscript"/>
          <w:lang w:eastAsia="en-GB"/>
        </w:rPr>
        <w:t xml:space="preserve"> 10,2</w:t>
      </w:r>
      <w:r w:rsidR="00C43CAD" w:rsidRPr="00481DB6">
        <w:rPr>
          <w:rFonts w:ascii="BISans" w:hAnsi="BISans"/>
          <w:sz w:val="20"/>
          <w:szCs w:val="20"/>
          <w:lang w:eastAsia="en-GB"/>
        </w:rPr>
        <w:t xml:space="preserve"> In Europa circa due milioni di pazienti con fibrillazione atriale e concomitante </w:t>
      </w:r>
      <w:r w:rsidRPr="00481DB6">
        <w:rPr>
          <w:rFonts w:ascii="BISans" w:hAnsi="BISans"/>
          <w:sz w:val="20"/>
          <w:szCs w:val="20"/>
          <w:lang w:eastAsia="en-GB"/>
        </w:rPr>
        <w:t xml:space="preserve">malattia </w:t>
      </w:r>
      <w:r w:rsidR="00BF28FD" w:rsidRPr="00481DB6">
        <w:rPr>
          <w:rFonts w:ascii="BISans" w:hAnsi="BISans"/>
          <w:sz w:val="20"/>
          <w:szCs w:val="20"/>
          <w:lang w:eastAsia="en-GB"/>
        </w:rPr>
        <w:t>coronarica sono</w:t>
      </w:r>
      <w:r w:rsidR="00E73B7B" w:rsidRPr="00481DB6">
        <w:rPr>
          <w:rFonts w:ascii="BISans" w:hAnsi="BISans"/>
          <w:sz w:val="20"/>
          <w:szCs w:val="20"/>
          <w:lang w:eastAsia="en-GB"/>
        </w:rPr>
        <w:t xml:space="preserve"> candidati a</w:t>
      </w:r>
      <w:r w:rsidRPr="00481DB6">
        <w:rPr>
          <w:rFonts w:ascii="BISans" w:hAnsi="BISans"/>
          <w:sz w:val="20"/>
          <w:szCs w:val="20"/>
          <w:lang w:eastAsia="en-GB"/>
        </w:rPr>
        <w:t xml:space="preserve"> </w:t>
      </w:r>
      <w:r w:rsidR="00BF28FD" w:rsidRPr="00481DB6">
        <w:rPr>
          <w:rFonts w:ascii="BISans" w:hAnsi="BISans"/>
          <w:sz w:val="20"/>
          <w:szCs w:val="20"/>
          <w:lang w:eastAsia="en-GB"/>
        </w:rPr>
        <w:t>questa procedura</w:t>
      </w:r>
      <w:r w:rsidR="00C43CAD" w:rsidRPr="00481DB6">
        <w:rPr>
          <w:rFonts w:ascii="BISans" w:hAnsi="BISans"/>
          <w:sz w:val="20"/>
          <w:szCs w:val="20"/>
          <w:lang w:eastAsia="en-GB"/>
        </w:rPr>
        <w:t>.</w:t>
      </w:r>
      <w:r w:rsidR="00C43CAD" w:rsidRPr="00481DB6">
        <w:rPr>
          <w:rFonts w:ascii="BISans" w:hAnsi="BISans"/>
          <w:sz w:val="20"/>
          <w:szCs w:val="20"/>
          <w:vertAlign w:val="superscript"/>
          <w:lang w:eastAsia="en-GB"/>
        </w:rPr>
        <w:t>2</w:t>
      </w:r>
    </w:p>
    <w:p w:rsidR="00C43CAD" w:rsidRPr="00481DB6" w:rsidRDefault="00C43CAD" w:rsidP="0036377C">
      <w:pPr>
        <w:spacing w:after="0" w:line="240" w:lineRule="auto"/>
        <w:jc w:val="both"/>
        <w:rPr>
          <w:rFonts w:ascii="BISans" w:hAnsi="BISans"/>
          <w:sz w:val="20"/>
          <w:szCs w:val="20"/>
          <w:lang w:eastAsia="en-GB"/>
        </w:rPr>
      </w:pPr>
      <w:r w:rsidRPr="00481DB6">
        <w:rPr>
          <w:rFonts w:ascii="BISans" w:hAnsi="BISans"/>
          <w:sz w:val="20"/>
          <w:szCs w:val="20"/>
          <w:lang w:eastAsia="en-GB"/>
        </w:rPr>
        <w:t xml:space="preserve">I pazienti con fibrillazione atriale sottoposti a </w:t>
      </w:r>
      <w:r w:rsidR="008D4C12" w:rsidRPr="00481DB6">
        <w:rPr>
          <w:rFonts w:ascii="BISans" w:hAnsi="BISans"/>
          <w:sz w:val="20"/>
          <w:szCs w:val="20"/>
          <w:lang w:eastAsia="en-GB"/>
        </w:rPr>
        <w:t xml:space="preserve">PCI </w:t>
      </w:r>
      <w:r w:rsidRPr="00481DB6">
        <w:rPr>
          <w:rFonts w:ascii="BISans" w:hAnsi="BISans"/>
          <w:sz w:val="20"/>
          <w:szCs w:val="20"/>
          <w:lang w:eastAsia="en-GB"/>
        </w:rPr>
        <w:t xml:space="preserve">con </w:t>
      </w:r>
      <w:r w:rsidR="00BF28FD" w:rsidRPr="00481DB6">
        <w:rPr>
          <w:rFonts w:ascii="BISans" w:hAnsi="BISans"/>
          <w:sz w:val="20"/>
          <w:szCs w:val="20"/>
          <w:lang w:eastAsia="en-GB"/>
        </w:rPr>
        <w:t>inserimento di</w:t>
      </w:r>
      <w:r w:rsidRPr="00481DB6">
        <w:rPr>
          <w:rFonts w:ascii="BISans" w:hAnsi="BISans"/>
          <w:sz w:val="20"/>
          <w:szCs w:val="20"/>
          <w:lang w:eastAsia="en-GB"/>
        </w:rPr>
        <w:t xml:space="preserve"> stent sono a maggior rischio di complicanze gravi </w:t>
      </w:r>
      <w:r w:rsidR="008D4C12" w:rsidRPr="00481DB6">
        <w:rPr>
          <w:rFonts w:ascii="BISans" w:hAnsi="BISans"/>
          <w:sz w:val="20"/>
          <w:szCs w:val="20"/>
          <w:lang w:eastAsia="en-GB"/>
        </w:rPr>
        <w:t xml:space="preserve">causate </w:t>
      </w:r>
      <w:r w:rsidR="00BF28FD" w:rsidRPr="00481DB6">
        <w:rPr>
          <w:rFonts w:ascii="BISans" w:hAnsi="BISans"/>
          <w:sz w:val="20"/>
          <w:szCs w:val="20"/>
          <w:lang w:eastAsia="en-GB"/>
        </w:rPr>
        <w:t>dalla formazione</w:t>
      </w:r>
      <w:r w:rsidRPr="00481DB6">
        <w:rPr>
          <w:rFonts w:ascii="BISans" w:hAnsi="BISans"/>
          <w:sz w:val="20"/>
          <w:szCs w:val="20"/>
          <w:lang w:eastAsia="en-GB"/>
        </w:rPr>
        <w:t xml:space="preserve"> di trombi, tra cui ictus, embolia sistemica, infarto, trombi intra-stent </w:t>
      </w:r>
      <w:r w:rsidR="00E73B7B" w:rsidRPr="00481DB6">
        <w:rPr>
          <w:rFonts w:ascii="BISans" w:hAnsi="BISans"/>
          <w:sz w:val="20"/>
          <w:szCs w:val="20"/>
          <w:lang w:eastAsia="en-GB"/>
        </w:rPr>
        <w:t>e potenzialmente persino morte</w:t>
      </w:r>
      <w:r w:rsidRPr="00481DB6">
        <w:rPr>
          <w:rFonts w:ascii="BISans" w:hAnsi="BISans"/>
          <w:sz w:val="20"/>
          <w:szCs w:val="20"/>
          <w:lang w:eastAsia="en-GB"/>
        </w:rPr>
        <w:t>.</w:t>
      </w:r>
      <w:r w:rsidRPr="00481DB6">
        <w:rPr>
          <w:rFonts w:ascii="BISans" w:hAnsi="BISans"/>
          <w:sz w:val="20"/>
          <w:szCs w:val="20"/>
          <w:vertAlign w:val="superscript"/>
          <w:lang w:eastAsia="en-GB"/>
        </w:rPr>
        <w:t xml:space="preserve">11,12 </w:t>
      </w:r>
      <w:r w:rsidRPr="00481DB6">
        <w:rPr>
          <w:rFonts w:ascii="BISans" w:hAnsi="BISans"/>
          <w:sz w:val="20"/>
          <w:szCs w:val="20"/>
          <w:lang w:eastAsia="en-GB"/>
        </w:rPr>
        <w:t xml:space="preserve">Per ridurre il rischio di formazione di trombi e delle conseguenze che ciò può comportare è necessario che il paziente assuma </w:t>
      </w:r>
      <w:r w:rsidR="007601CC" w:rsidRPr="00481DB6">
        <w:rPr>
          <w:rFonts w:ascii="BISans" w:hAnsi="BISans"/>
          <w:sz w:val="20"/>
          <w:szCs w:val="20"/>
          <w:lang w:eastAsia="en-GB"/>
        </w:rPr>
        <w:t xml:space="preserve">una </w:t>
      </w:r>
      <w:r w:rsidRPr="00481DB6">
        <w:rPr>
          <w:rFonts w:ascii="BISans" w:hAnsi="BISans"/>
          <w:sz w:val="20"/>
          <w:szCs w:val="20"/>
          <w:lang w:eastAsia="en-GB"/>
        </w:rPr>
        <w:t>terapia antitrombotica.</w:t>
      </w:r>
    </w:p>
    <w:p w:rsidR="00C43CAD" w:rsidRPr="00481DB6" w:rsidRDefault="00C43CAD" w:rsidP="0036377C">
      <w:pPr>
        <w:spacing w:after="0" w:line="240" w:lineRule="auto"/>
        <w:jc w:val="both"/>
        <w:rPr>
          <w:rFonts w:ascii="BISans" w:hAnsi="BISans"/>
          <w:sz w:val="20"/>
          <w:szCs w:val="20"/>
          <w:lang w:eastAsia="en-GB"/>
        </w:rPr>
      </w:pPr>
      <w:r w:rsidRPr="00481DB6">
        <w:rPr>
          <w:rFonts w:ascii="BISans" w:hAnsi="BISans"/>
          <w:sz w:val="20"/>
          <w:szCs w:val="20"/>
          <w:lang w:eastAsia="en-GB"/>
        </w:rPr>
        <w:t xml:space="preserve">Questi pazienti necessitano di </w:t>
      </w:r>
      <w:r w:rsidR="008D4C12" w:rsidRPr="00481DB6">
        <w:rPr>
          <w:rFonts w:ascii="BISans" w:hAnsi="BISans"/>
          <w:sz w:val="20"/>
          <w:szCs w:val="20"/>
          <w:lang w:eastAsia="en-GB"/>
        </w:rPr>
        <w:t xml:space="preserve">una </w:t>
      </w:r>
      <w:r w:rsidRPr="00481DB6">
        <w:rPr>
          <w:rFonts w:ascii="BISans" w:hAnsi="BISans"/>
          <w:sz w:val="20"/>
          <w:szCs w:val="20"/>
          <w:lang w:eastAsia="en-GB"/>
        </w:rPr>
        <w:t xml:space="preserve">terapia antiaggregante per ridurre il rischio di trombosi intra-stent e di infarto e di </w:t>
      </w:r>
      <w:r w:rsidR="008D4C12" w:rsidRPr="00481DB6">
        <w:rPr>
          <w:rFonts w:ascii="BISans" w:hAnsi="BISans"/>
          <w:sz w:val="20"/>
          <w:szCs w:val="20"/>
          <w:lang w:eastAsia="en-GB"/>
        </w:rPr>
        <w:t xml:space="preserve">una </w:t>
      </w:r>
      <w:r w:rsidRPr="00481DB6">
        <w:rPr>
          <w:rFonts w:ascii="BISans" w:hAnsi="BISans"/>
          <w:sz w:val="20"/>
          <w:szCs w:val="20"/>
          <w:lang w:eastAsia="en-GB"/>
        </w:rPr>
        <w:t xml:space="preserve">terapia anticoagulante per ridurre il rischio di ictus. L’associazione fra la duplice terapia antiaggregante e </w:t>
      </w:r>
      <w:r w:rsidR="00D76C83" w:rsidRPr="00481DB6">
        <w:rPr>
          <w:rFonts w:ascii="BISans" w:hAnsi="BISans"/>
          <w:sz w:val="20"/>
          <w:szCs w:val="20"/>
          <w:lang w:eastAsia="en-GB"/>
        </w:rPr>
        <w:t xml:space="preserve">quella </w:t>
      </w:r>
      <w:r w:rsidRPr="00481DB6">
        <w:rPr>
          <w:rFonts w:ascii="BISans" w:hAnsi="BISans"/>
          <w:sz w:val="20"/>
          <w:szCs w:val="20"/>
          <w:lang w:eastAsia="en-GB"/>
        </w:rPr>
        <w:t xml:space="preserve">anticoagulante </w:t>
      </w:r>
      <w:r w:rsidR="00D76C83" w:rsidRPr="00481DB6">
        <w:rPr>
          <w:rFonts w:ascii="BISans" w:hAnsi="BISans"/>
          <w:sz w:val="20"/>
          <w:szCs w:val="20"/>
          <w:lang w:eastAsia="en-GB"/>
        </w:rPr>
        <w:t xml:space="preserve">fino ad ora è </w:t>
      </w:r>
      <w:r w:rsidR="00BF28FD" w:rsidRPr="00481DB6">
        <w:rPr>
          <w:rFonts w:ascii="BISans" w:hAnsi="BISans"/>
          <w:sz w:val="20"/>
          <w:szCs w:val="20"/>
          <w:lang w:eastAsia="en-GB"/>
        </w:rPr>
        <w:t>stata una</w:t>
      </w:r>
      <w:r w:rsidR="00E73B7B" w:rsidRPr="00481DB6">
        <w:rPr>
          <w:rFonts w:ascii="BISans" w:hAnsi="BISans"/>
          <w:sz w:val="20"/>
          <w:szCs w:val="20"/>
          <w:lang w:eastAsia="en-GB"/>
        </w:rPr>
        <w:t xml:space="preserve"> grande </w:t>
      </w:r>
      <w:r w:rsidR="00BF28FD" w:rsidRPr="00481DB6">
        <w:rPr>
          <w:rFonts w:ascii="BISans" w:hAnsi="BISans"/>
          <w:sz w:val="20"/>
          <w:szCs w:val="20"/>
          <w:lang w:eastAsia="en-GB"/>
        </w:rPr>
        <w:t>sfida, che</w:t>
      </w:r>
      <w:r w:rsidRPr="00481DB6">
        <w:rPr>
          <w:rFonts w:ascii="BISans" w:hAnsi="BISans"/>
          <w:sz w:val="20"/>
          <w:szCs w:val="20"/>
          <w:lang w:eastAsia="en-GB"/>
        </w:rPr>
        <w:t xml:space="preserve"> ha spesso comportato complicanze emorragiche. Rispondere a questa sfida significa andare al cuore della ricerca in </w:t>
      </w:r>
      <w:r w:rsidR="00D76C83" w:rsidRPr="00481DB6">
        <w:rPr>
          <w:rFonts w:ascii="BISans" w:hAnsi="BISans"/>
          <w:sz w:val="20"/>
          <w:szCs w:val="20"/>
          <w:lang w:eastAsia="en-GB"/>
        </w:rPr>
        <w:t>quest’area</w:t>
      </w:r>
      <w:r w:rsidRPr="00481DB6">
        <w:rPr>
          <w:rFonts w:ascii="BISans" w:hAnsi="BISans"/>
          <w:sz w:val="20"/>
          <w:szCs w:val="20"/>
          <w:lang w:eastAsia="en-GB"/>
        </w:rPr>
        <w:t>.</w:t>
      </w:r>
    </w:p>
    <w:p w:rsidR="00C43CAD" w:rsidRPr="00481DB6" w:rsidRDefault="00C43CAD" w:rsidP="0036377C">
      <w:pPr>
        <w:pStyle w:val="NormaleWeb"/>
        <w:shd w:val="clear" w:color="auto" w:fill="FFFFFF"/>
        <w:spacing w:before="0" w:beforeAutospacing="0" w:after="0" w:afterAutospacing="0"/>
        <w:jc w:val="both"/>
        <w:rPr>
          <w:rFonts w:ascii="BISans" w:eastAsiaTheme="minorHAnsi" w:hAnsi="BISans" w:cstheme="minorBidi"/>
          <w:b/>
          <w:bCs/>
          <w:sz w:val="20"/>
          <w:szCs w:val="20"/>
          <w:lang w:val="it-IT" w:eastAsia="en-GB"/>
        </w:rPr>
      </w:pPr>
    </w:p>
    <w:p w:rsidR="00C43CAD" w:rsidRPr="00481DB6" w:rsidRDefault="00C43CAD" w:rsidP="0036377C">
      <w:pPr>
        <w:pStyle w:val="NormaleWeb"/>
        <w:shd w:val="clear" w:color="auto" w:fill="FFFFFF"/>
        <w:spacing w:before="0" w:beforeAutospacing="0" w:after="0" w:afterAutospacing="0"/>
        <w:jc w:val="both"/>
        <w:rPr>
          <w:rFonts w:ascii="BISans" w:eastAsiaTheme="minorHAnsi" w:hAnsi="BISans" w:cstheme="minorBidi"/>
          <w:b/>
          <w:bCs/>
          <w:sz w:val="20"/>
          <w:szCs w:val="20"/>
          <w:lang w:val="it-IT" w:eastAsia="en-GB"/>
        </w:rPr>
      </w:pPr>
      <w:r w:rsidRPr="00481DB6">
        <w:rPr>
          <w:rFonts w:ascii="BISans" w:eastAsiaTheme="minorHAnsi" w:hAnsi="BISans" w:cstheme="minorBidi"/>
          <w:b/>
          <w:bCs/>
          <w:sz w:val="20"/>
          <w:szCs w:val="20"/>
          <w:lang w:val="it-IT" w:eastAsia="en-GB"/>
        </w:rPr>
        <w:t>Dabigatran etexilato</w:t>
      </w:r>
    </w:p>
    <w:p w:rsidR="00C43CAD" w:rsidRPr="00481DB6" w:rsidRDefault="00C43CAD" w:rsidP="0036377C">
      <w:pPr>
        <w:pStyle w:val="Default"/>
        <w:ind w:right="-46"/>
        <w:jc w:val="both"/>
        <w:rPr>
          <w:rFonts w:ascii="BISans" w:hAnsi="BISans"/>
          <w:color w:val="auto"/>
          <w:sz w:val="20"/>
          <w:szCs w:val="20"/>
          <w:lang w:val="it-IT"/>
        </w:rPr>
      </w:pPr>
      <w:r w:rsidRPr="00481DB6">
        <w:rPr>
          <w:rFonts w:ascii="BISans" w:hAnsi="BISans"/>
          <w:color w:val="auto"/>
          <w:sz w:val="20"/>
          <w:szCs w:val="20"/>
          <w:lang w:val="it-IT"/>
        </w:rPr>
        <w:t xml:space="preserve">L’esperienza clinica con dabigatran etexilato supera i 7,9 milioni di anni/paziente per tutte le indicazioni per cui il farmaco è stato approvato nel mondo. </w:t>
      </w:r>
      <w:r w:rsidR="00AD2A70" w:rsidRPr="00481DB6">
        <w:rPr>
          <w:rFonts w:ascii="BISans" w:hAnsi="BISans"/>
          <w:color w:val="auto"/>
          <w:sz w:val="20"/>
          <w:szCs w:val="20"/>
          <w:lang w:val="it-IT"/>
        </w:rPr>
        <w:t>Dabigatran è</w:t>
      </w:r>
      <w:r w:rsidRPr="00481DB6">
        <w:rPr>
          <w:rFonts w:ascii="BISans" w:hAnsi="BISans"/>
          <w:color w:val="auto"/>
          <w:sz w:val="20"/>
          <w:szCs w:val="20"/>
          <w:lang w:val="it-IT"/>
        </w:rPr>
        <w:t xml:space="preserve"> sul mercato da oltre 8 anni ed è approvato in più di 100 Paesi.</w:t>
      </w:r>
      <w:r w:rsidRPr="00481DB6">
        <w:rPr>
          <w:rFonts w:ascii="BISans" w:hAnsi="BISans"/>
          <w:color w:val="auto"/>
          <w:sz w:val="20"/>
          <w:szCs w:val="20"/>
          <w:vertAlign w:val="superscript"/>
          <w:lang w:val="it-IT"/>
        </w:rPr>
        <w:t>13</w:t>
      </w:r>
    </w:p>
    <w:p w:rsidR="00C43CAD" w:rsidRPr="00481DB6" w:rsidRDefault="00C43CAD" w:rsidP="0036377C">
      <w:pPr>
        <w:pStyle w:val="Default"/>
        <w:ind w:right="-46"/>
        <w:jc w:val="both"/>
        <w:rPr>
          <w:rFonts w:ascii="BISans" w:hAnsi="BISans"/>
          <w:color w:val="auto"/>
          <w:sz w:val="20"/>
          <w:szCs w:val="20"/>
          <w:lang w:val="it-IT"/>
        </w:rPr>
      </w:pPr>
      <w:r w:rsidRPr="00481DB6">
        <w:rPr>
          <w:rFonts w:ascii="BISans" w:hAnsi="BISans"/>
          <w:color w:val="auto"/>
          <w:sz w:val="20"/>
          <w:szCs w:val="20"/>
          <w:lang w:val="it-IT"/>
        </w:rPr>
        <w:lastRenderedPageBreak/>
        <w:t>Le indicazioni per cui dabigatran etexilato è attualmente approvato sono le seguenti:</w:t>
      </w:r>
      <w:r w:rsidRPr="00481DB6">
        <w:rPr>
          <w:rFonts w:ascii="BISans" w:hAnsi="BISans"/>
          <w:color w:val="auto"/>
          <w:sz w:val="20"/>
          <w:szCs w:val="20"/>
          <w:vertAlign w:val="superscript"/>
          <w:lang w:val="it-IT"/>
        </w:rPr>
        <w:t xml:space="preserve"> 14,15</w:t>
      </w:r>
    </w:p>
    <w:p w:rsidR="00AD2A70" w:rsidRPr="00481DB6" w:rsidRDefault="00C43CAD" w:rsidP="0036377C">
      <w:pPr>
        <w:pStyle w:val="Default"/>
        <w:numPr>
          <w:ilvl w:val="0"/>
          <w:numId w:val="24"/>
        </w:numPr>
        <w:jc w:val="both"/>
        <w:rPr>
          <w:rFonts w:ascii="BISans" w:eastAsia="Calibri" w:hAnsi="BISans" w:cs="Calibri"/>
          <w:sz w:val="20"/>
          <w:szCs w:val="20"/>
          <w:lang w:val="it-IT" w:eastAsia="it-IT" w:bidi="th-TH"/>
        </w:rPr>
      </w:pPr>
      <w:r w:rsidRPr="00481DB6">
        <w:rPr>
          <w:rFonts w:ascii="BISans" w:eastAsia="BISans" w:hAnsi="BISans"/>
          <w:sz w:val="20"/>
          <w:szCs w:val="20"/>
          <w:lang w:val="it-IT"/>
        </w:rPr>
        <w:t xml:space="preserve">Prevenzione </w:t>
      </w:r>
      <w:r w:rsidR="00AD2A70" w:rsidRPr="00481DB6">
        <w:rPr>
          <w:rFonts w:ascii="BISans" w:eastAsia="BISans" w:hAnsi="BISans"/>
          <w:sz w:val="20"/>
          <w:szCs w:val="20"/>
          <w:lang w:val="it-IT"/>
        </w:rPr>
        <w:t xml:space="preserve">di ictus e </w:t>
      </w:r>
      <w:r w:rsidRPr="00481DB6">
        <w:rPr>
          <w:rFonts w:ascii="BISans" w:eastAsia="BISans" w:hAnsi="BISans"/>
          <w:sz w:val="20"/>
          <w:szCs w:val="20"/>
          <w:lang w:val="it-IT"/>
        </w:rPr>
        <w:t>emboli</w:t>
      </w:r>
      <w:r w:rsidR="00AD2A70" w:rsidRPr="00481DB6">
        <w:rPr>
          <w:rFonts w:ascii="BISans" w:eastAsia="BISans" w:hAnsi="BISans"/>
          <w:sz w:val="20"/>
          <w:szCs w:val="20"/>
          <w:lang w:val="it-IT"/>
        </w:rPr>
        <w:t xml:space="preserve">a sistemica </w:t>
      </w:r>
      <w:r w:rsidRPr="00481DB6">
        <w:rPr>
          <w:rFonts w:ascii="BISans" w:eastAsia="BISans" w:hAnsi="BISans"/>
          <w:sz w:val="20"/>
          <w:szCs w:val="20"/>
          <w:lang w:val="it-IT"/>
        </w:rPr>
        <w:t xml:space="preserve">in pazienti </w:t>
      </w:r>
      <w:r w:rsidR="00AD2A70" w:rsidRPr="00481DB6">
        <w:rPr>
          <w:rFonts w:ascii="BISans" w:eastAsia="BISans" w:hAnsi="BISans"/>
          <w:sz w:val="20"/>
          <w:szCs w:val="20"/>
          <w:lang w:val="it-IT"/>
        </w:rPr>
        <w:t xml:space="preserve">adulti </w:t>
      </w:r>
      <w:r w:rsidRPr="00481DB6">
        <w:rPr>
          <w:rFonts w:ascii="BISans" w:eastAsia="BISans" w:hAnsi="BISans"/>
          <w:sz w:val="20"/>
          <w:szCs w:val="20"/>
          <w:lang w:val="it-IT"/>
        </w:rPr>
        <w:t>con fibrillazione atriale non-valvolare</w:t>
      </w:r>
      <w:r w:rsidR="00AD2A70" w:rsidRPr="00481DB6">
        <w:rPr>
          <w:rFonts w:ascii="BISans" w:eastAsia="BISans" w:hAnsi="BISans"/>
          <w:sz w:val="20"/>
          <w:szCs w:val="20"/>
          <w:lang w:val="it-IT"/>
        </w:rPr>
        <w:t xml:space="preserve"> (FANV), con uno o più fattori di rischio, quali precedente ictus o attacco ischemico transitorio (TIA); età </w:t>
      </w:r>
      <w:r w:rsidR="00AD2A70" w:rsidRPr="00481DB6">
        <w:rPr>
          <w:rFonts w:ascii="BISans" w:eastAsia="BISans" w:hAnsi="BISans"/>
          <w:sz w:val="20"/>
          <w:szCs w:val="20"/>
          <w:u w:val="single"/>
          <w:lang w:val="it-IT"/>
        </w:rPr>
        <w:t>&gt;</w:t>
      </w:r>
      <w:r w:rsidR="00AD2A70" w:rsidRPr="00481DB6">
        <w:rPr>
          <w:rFonts w:ascii="BISans" w:eastAsia="BISans" w:hAnsi="BISans"/>
          <w:sz w:val="20"/>
          <w:szCs w:val="20"/>
          <w:lang w:val="it-IT"/>
        </w:rPr>
        <w:t xml:space="preserve"> 75 anni; insufficienza cardiaca </w:t>
      </w:r>
      <w:r w:rsidR="00AD2A70" w:rsidRPr="00481DB6">
        <w:rPr>
          <w:rFonts w:ascii="BISans" w:eastAsia="Calibri" w:hAnsi="BISans" w:cs="Calibri"/>
          <w:sz w:val="20"/>
          <w:szCs w:val="20"/>
          <w:lang w:val="it-IT" w:eastAsia="it-IT" w:bidi="th-TH"/>
        </w:rPr>
        <w:t xml:space="preserve">(ClasseNYHA≥II); </w:t>
      </w:r>
      <w:r w:rsidR="00BF28FD" w:rsidRPr="00481DB6">
        <w:rPr>
          <w:rFonts w:ascii="BISans" w:eastAsia="Calibri" w:hAnsi="BISans" w:cs="Calibri"/>
          <w:sz w:val="20"/>
          <w:szCs w:val="20"/>
          <w:lang w:val="it-IT" w:eastAsia="it-IT" w:bidi="th-TH"/>
        </w:rPr>
        <w:t>diabete mellito</w:t>
      </w:r>
      <w:r w:rsidR="00AD2A70" w:rsidRPr="00481DB6">
        <w:rPr>
          <w:rFonts w:ascii="BISans" w:eastAsia="Calibri" w:hAnsi="BISans" w:cs="Calibri"/>
          <w:sz w:val="20"/>
          <w:szCs w:val="20"/>
          <w:lang w:val="it-IT" w:eastAsia="it-IT" w:bidi="th-TH"/>
        </w:rPr>
        <w:t>; ipertensione;</w:t>
      </w:r>
    </w:p>
    <w:p w:rsidR="0036377C" w:rsidRDefault="00AD2A70" w:rsidP="0036377C">
      <w:pPr>
        <w:pStyle w:val="Default"/>
        <w:numPr>
          <w:ilvl w:val="0"/>
          <w:numId w:val="24"/>
        </w:numPr>
        <w:jc w:val="both"/>
        <w:rPr>
          <w:rFonts w:ascii="BISans" w:eastAsia="Calibri" w:hAnsi="BISans" w:cs="Calibri"/>
          <w:sz w:val="20"/>
          <w:szCs w:val="20"/>
          <w:lang w:val="it-IT" w:eastAsia="it-IT" w:bidi="th-TH"/>
        </w:rPr>
      </w:pPr>
      <w:r w:rsidRPr="00481DB6">
        <w:rPr>
          <w:rFonts w:ascii="BISans" w:eastAsia="Calibri" w:hAnsi="BISans" w:cs="Calibri"/>
          <w:sz w:val="20"/>
          <w:szCs w:val="20"/>
          <w:lang w:val="it-IT" w:eastAsia="it-IT" w:bidi="th-TH"/>
        </w:rPr>
        <w:t>Prevenzione primaria di episodi tromboembolici in pazienti adulti sottoposti a chirurgia sostitutiva elettiva totale dell’anca o del ginocchio;</w:t>
      </w:r>
    </w:p>
    <w:p w:rsidR="00C43CAD" w:rsidRPr="0036377C" w:rsidRDefault="00AD2A70" w:rsidP="0036377C">
      <w:pPr>
        <w:pStyle w:val="Default"/>
        <w:numPr>
          <w:ilvl w:val="0"/>
          <w:numId w:val="24"/>
        </w:numPr>
        <w:jc w:val="both"/>
        <w:rPr>
          <w:rFonts w:ascii="BISans" w:eastAsia="Calibri" w:hAnsi="BISans" w:cs="Calibri"/>
          <w:sz w:val="20"/>
          <w:szCs w:val="20"/>
          <w:lang w:val="it-IT" w:eastAsia="it-IT" w:bidi="th-TH"/>
        </w:rPr>
      </w:pPr>
      <w:r w:rsidRPr="0036377C">
        <w:rPr>
          <w:rFonts w:ascii="BISans" w:eastAsia="Calibri" w:hAnsi="BISans" w:cs="Calibri"/>
          <w:sz w:val="20"/>
          <w:szCs w:val="20"/>
          <w:lang w:val="it-IT" w:eastAsia="it-IT" w:bidi="th-TH"/>
        </w:rPr>
        <w:t>Trattamento della trombosi venosa profonda (TVP) e dell’embolia polmonare(EP) e prevenzione delle recidive di TVP e EP negli adulti.</w:t>
      </w:r>
      <w:r w:rsidR="00C43CAD" w:rsidRPr="0036377C">
        <w:rPr>
          <w:rFonts w:ascii="BISans" w:eastAsia="BISans" w:hAnsi="BISans"/>
          <w:sz w:val="20"/>
          <w:szCs w:val="20"/>
          <w:lang w:val="it-IT"/>
        </w:rPr>
        <w:t xml:space="preserve"> </w:t>
      </w:r>
    </w:p>
    <w:p w:rsidR="0036377C" w:rsidRDefault="0036377C" w:rsidP="0036377C">
      <w:pPr>
        <w:spacing w:after="0" w:line="240" w:lineRule="auto"/>
        <w:jc w:val="both"/>
        <w:rPr>
          <w:rFonts w:ascii="BISans" w:eastAsia="BISans" w:hAnsi="BISans"/>
          <w:sz w:val="20"/>
          <w:szCs w:val="20"/>
        </w:rPr>
      </w:pPr>
    </w:p>
    <w:p w:rsidR="00C43CAD" w:rsidRPr="00481DB6" w:rsidRDefault="00C43CAD" w:rsidP="0036377C">
      <w:pPr>
        <w:spacing w:after="0" w:line="240" w:lineRule="auto"/>
        <w:jc w:val="both"/>
        <w:rPr>
          <w:rFonts w:ascii="BISans" w:eastAsia="BISans" w:hAnsi="BISans"/>
          <w:sz w:val="20"/>
          <w:szCs w:val="20"/>
          <w:vertAlign w:val="superscript"/>
        </w:rPr>
      </w:pPr>
      <w:r w:rsidRPr="00481DB6">
        <w:rPr>
          <w:rFonts w:ascii="BISans" w:eastAsia="BISans" w:hAnsi="BISans"/>
          <w:sz w:val="20"/>
          <w:szCs w:val="20"/>
        </w:rPr>
        <w:t>Dabigatran etexilato, che è un inibitore diretto della trombina (IDT), è stato il primo farmaco di una nuova generazione di anticoagulanti orali ad azione diretta ad essere ampiamente approvato e disponibile sul mercato per rispondere a un forte bisogno insoddisfatto di terapie per la prevenzione e il trattamento delle malattie tromboemboliche acute e croniche.</w:t>
      </w:r>
      <w:r w:rsidRPr="00481DB6">
        <w:rPr>
          <w:rFonts w:ascii="BISans" w:eastAsia="BISans" w:hAnsi="BISans"/>
          <w:sz w:val="20"/>
          <w:szCs w:val="20"/>
          <w:vertAlign w:val="superscript"/>
        </w:rPr>
        <w:t>16-18</w:t>
      </w:r>
      <w:r w:rsidRPr="00481DB6">
        <w:rPr>
          <w:rFonts w:ascii="BISans" w:eastAsia="BISans" w:hAnsi="BISans"/>
          <w:sz w:val="20"/>
          <w:szCs w:val="20"/>
        </w:rPr>
        <w:t xml:space="preserve"> Gli inibitori diretti della trombina ottengono potenti effetti antitrombotici, bloccando in maniera specifica l’attività della trombina, l’enzima centrale nel processo di formazione di coaguli (trombi).</w:t>
      </w:r>
      <w:r w:rsidRPr="00481DB6">
        <w:rPr>
          <w:rFonts w:ascii="BISans" w:eastAsia="BISans" w:hAnsi="BISans"/>
          <w:sz w:val="20"/>
          <w:szCs w:val="20"/>
          <w:vertAlign w:val="superscript"/>
        </w:rPr>
        <w:t>18</w:t>
      </w:r>
      <w:r w:rsidRPr="00481DB6">
        <w:rPr>
          <w:rFonts w:ascii="BISans" w:eastAsia="BISans" w:hAnsi="BISans"/>
          <w:sz w:val="20"/>
          <w:szCs w:val="20"/>
        </w:rPr>
        <w:t xml:space="preserve"> A differenza degli antagonisti della vitamina K, che agiscono in maniera variabile tramite i diversi fattori della coagulazione, dabigatran </w:t>
      </w:r>
      <w:r w:rsidR="0010751B" w:rsidRPr="00481DB6">
        <w:rPr>
          <w:rFonts w:ascii="BISans" w:eastAsia="BISans" w:hAnsi="BISans"/>
          <w:sz w:val="20"/>
          <w:szCs w:val="20"/>
        </w:rPr>
        <w:t xml:space="preserve">induce </w:t>
      </w:r>
      <w:r w:rsidRPr="00481DB6">
        <w:rPr>
          <w:rFonts w:ascii="BISans" w:eastAsia="BISans" w:hAnsi="BISans"/>
          <w:sz w:val="20"/>
          <w:szCs w:val="20"/>
        </w:rPr>
        <w:t xml:space="preserve">un’anticoagulazione efficace, </w:t>
      </w:r>
      <w:r w:rsidR="0010751B" w:rsidRPr="00481DB6">
        <w:rPr>
          <w:rFonts w:ascii="BISans" w:eastAsia="BISans" w:hAnsi="BISans"/>
          <w:sz w:val="20"/>
          <w:szCs w:val="20"/>
        </w:rPr>
        <w:t xml:space="preserve">attesa </w:t>
      </w:r>
      <w:r w:rsidRPr="00481DB6">
        <w:rPr>
          <w:rFonts w:ascii="BISans" w:eastAsia="BISans" w:hAnsi="BISans"/>
          <w:sz w:val="20"/>
          <w:szCs w:val="20"/>
        </w:rPr>
        <w:t>e riproducibile con basso potenziale di interazione con altri farmaci e nessuna interazione con il cibo, senza richiedere il monitoraggio regolare della coagulazione né aggiustamenti di dosaggio.</w:t>
      </w:r>
      <w:r w:rsidRPr="00481DB6">
        <w:rPr>
          <w:rFonts w:ascii="BISans" w:eastAsia="BISans" w:hAnsi="BISans"/>
          <w:sz w:val="20"/>
          <w:szCs w:val="20"/>
          <w:vertAlign w:val="superscript"/>
        </w:rPr>
        <w:t>16,18</w:t>
      </w:r>
    </w:p>
    <w:p w:rsidR="00C43CAD" w:rsidRPr="00481DB6" w:rsidRDefault="00C43CAD" w:rsidP="0036377C">
      <w:pPr>
        <w:pStyle w:val="Default"/>
        <w:jc w:val="both"/>
        <w:rPr>
          <w:rFonts w:ascii="BISans" w:hAnsi="BISans"/>
          <w:color w:val="auto"/>
          <w:sz w:val="20"/>
          <w:szCs w:val="20"/>
          <w:vertAlign w:val="superscript"/>
          <w:lang w:val="it-IT"/>
        </w:rPr>
      </w:pPr>
      <w:r w:rsidRPr="00481DB6">
        <w:rPr>
          <w:rFonts w:ascii="BISans" w:hAnsi="BISans"/>
          <w:color w:val="auto"/>
          <w:sz w:val="20"/>
          <w:szCs w:val="20"/>
          <w:lang w:val="it-IT"/>
        </w:rPr>
        <w:t>Dabigatran etexilato</w:t>
      </w:r>
      <w:r w:rsidRPr="00481DB6">
        <w:rPr>
          <w:rFonts w:ascii="BISans" w:hAnsi="BISans"/>
          <w:color w:val="auto"/>
          <w:sz w:val="20"/>
          <w:szCs w:val="20"/>
          <w:vertAlign w:val="superscript"/>
          <w:lang w:val="it-IT"/>
        </w:rPr>
        <w:t xml:space="preserve"> </w:t>
      </w:r>
      <w:r w:rsidRPr="00481DB6">
        <w:rPr>
          <w:rFonts w:ascii="BISans" w:hAnsi="BISans"/>
          <w:color w:val="auto"/>
          <w:sz w:val="20"/>
          <w:szCs w:val="20"/>
          <w:lang w:val="it-IT"/>
        </w:rPr>
        <w:t>è l’unico anticoagulante orale non-antagonista della vitamina K per cui esiste un farmaco approvato che ne inattiva in maniera specifica l’effetto. Questo farmaco è idarucizumab, approvato nell’Unione Europea e negli Stati Uniti per l’impiego in pazienti adulti trattati con dabigatran etexilato, che necessitano di rapida inattivazione del suo effetto anticoagulante, prima di interventi chirurgici d’urgenza/interventi di emergenza o in caso di sanguinamento incontrollato o che possa mettere a rischio la vita del paziente.</w:t>
      </w:r>
      <w:r w:rsidRPr="00481DB6">
        <w:rPr>
          <w:rFonts w:ascii="BISans" w:hAnsi="BISans"/>
          <w:color w:val="auto"/>
          <w:sz w:val="20"/>
          <w:szCs w:val="20"/>
          <w:vertAlign w:val="superscript"/>
          <w:lang w:val="it-IT"/>
        </w:rPr>
        <w:t>19,20</w:t>
      </w:r>
    </w:p>
    <w:p w:rsidR="00C43CAD" w:rsidRPr="00481DB6" w:rsidRDefault="00C43CAD" w:rsidP="0036377C">
      <w:pPr>
        <w:spacing w:after="0" w:line="240" w:lineRule="auto"/>
        <w:jc w:val="both"/>
        <w:rPr>
          <w:rFonts w:ascii="BISans" w:hAnsi="BISans"/>
          <w:b/>
          <w:sz w:val="20"/>
          <w:szCs w:val="20"/>
          <w:lang w:eastAsia="en-GB"/>
        </w:rPr>
      </w:pPr>
    </w:p>
    <w:p w:rsidR="00DC1510" w:rsidRPr="00481DB6" w:rsidRDefault="00DC1510" w:rsidP="0036377C">
      <w:pPr>
        <w:spacing w:after="0" w:line="240" w:lineRule="auto"/>
        <w:jc w:val="both"/>
        <w:rPr>
          <w:rFonts w:ascii="BISans" w:eastAsia="Times New Roman" w:hAnsi="BISans" w:cs="Courier New"/>
          <w:b/>
          <w:sz w:val="20"/>
          <w:szCs w:val="20"/>
          <w:lang w:eastAsia="it-IT"/>
        </w:rPr>
      </w:pPr>
      <w:r w:rsidRPr="00481DB6">
        <w:rPr>
          <w:rFonts w:ascii="BISans" w:eastAsia="Times New Roman" w:hAnsi="BISans" w:cs="Courier New"/>
          <w:b/>
          <w:sz w:val="20"/>
          <w:szCs w:val="20"/>
          <w:lang w:eastAsia="it-IT"/>
        </w:rPr>
        <w:t>Boehringer Ingelheim</w:t>
      </w:r>
    </w:p>
    <w:p w:rsidR="00DC1510" w:rsidRPr="00481DB6" w:rsidRDefault="00DC1510" w:rsidP="0036377C">
      <w:pPr>
        <w:spacing w:after="0" w:line="240" w:lineRule="auto"/>
        <w:jc w:val="both"/>
        <w:rPr>
          <w:rFonts w:ascii="BISans" w:eastAsia="Times New Roman" w:hAnsi="BISans" w:cs="Arial"/>
          <w:color w:val="000000"/>
          <w:sz w:val="20"/>
          <w:szCs w:val="20"/>
        </w:rPr>
      </w:pPr>
      <w:r w:rsidRPr="00481DB6">
        <w:rPr>
          <w:rFonts w:ascii="BISans" w:eastAsia="Times New Roman" w:hAnsi="BISans" w:cs="Arial"/>
          <w:color w:val="000000"/>
          <w:sz w:val="20"/>
          <w:szCs w:val="20"/>
        </w:rPr>
        <w:t xml:space="preserve">Farmaci innovativi per l’uomo e gli animali: per questo è conosciuta, da oltre 130 anni Boehringer Ingelheim, azienda fortemente guidata dalla ricerca. Boehringer Ingelheim, di proprietà familiare, è tra le 20 aziende leader nel settore a livello mondiale. Ogni giorno, circa 50.000 collaboratori creano valore attraverso l’innovazione nelle tre aree di business: farmaci per uso umano, settore veterinario e nella produzione biofarmaceutica conto terzi. </w:t>
      </w:r>
    </w:p>
    <w:p w:rsidR="00DC1510" w:rsidRPr="00481DB6" w:rsidRDefault="00DC1510" w:rsidP="0036377C">
      <w:pPr>
        <w:spacing w:after="0" w:line="240" w:lineRule="auto"/>
        <w:jc w:val="both"/>
        <w:rPr>
          <w:rFonts w:ascii="BISans" w:eastAsia="Times New Roman" w:hAnsi="BISans" w:cs="Arial"/>
          <w:color w:val="000000"/>
          <w:sz w:val="20"/>
          <w:szCs w:val="20"/>
        </w:rPr>
      </w:pPr>
      <w:r w:rsidRPr="00481DB6">
        <w:rPr>
          <w:rFonts w:ascii="BISans" w:eastAsia="Times New Roman" w:hAnsi="BISans" w:cs="Arial"/>
          <w:color w:val="000000"/>
          <w:sz w:val="20"/>
          <w:szCs w:val="20"/>
        </w:rPr>
        <w:t>Nel 2016, i ricavi delle vendite del gruppo Boehringer Ingelheim ammontavano a circa 15,9 miliardi di euro. L’azienda ha investito più di tre miliardi di euro, pari al 19,6% dell’intero fatturato, in Ricerca e nello Sviluppo.</w:t>
      </w:r>
      <w:r w:rsidR="00C43CAD" w:rsidRPr="00481DB6">
        <w:rPr>
          <w:rFonts w:ascii="BISans" w:eastAsia="Times New Roman" w:hAnsi="BISans" w:cs="Arial"/>
          <w:color w:val="000000"/>
          <w:sz w:val="20"/>
          <w:szCs w:val="20"/>
        </w:rPr>
        <w:t xml:space="preserve"> </w:t>
      </w:r>
      <w:r w:rsidRPr="00481DB6">
        <w:rPr>
          <w:rFonts w:ascii="BISans" w:eastAsia="Times New Roman" w:hAnsi="BISans" w:cs="Arial"/>
          <w:color w:val="000000"/>
          <w:sz w:val="20"/>
          <w:szCs w:val="20"/>
        </w:rPr>
        <w:t xml:space="preserve">La responsabilità sociale è un elemento innato per Boehringer Ingelheim. A questo proposito, l’azienda è impegnata nel sociale, con progetti come l’iniziativa “Making More Health”. Inoltre, il gruppo Boehringer Ingelheim </w:t>
      </w:r>
      <w:r w:rsidRPr="00481DB6">
        <w:rPr>
          <w:rFonts w:ascii="BISans" w:eastAsia="Times New Roman" w:hAnsi="BISans" w:cs="Arial"/>
          <w:color w:val="000000"/>
          <w:sz w:val="20"/>
          <w:szCs w:val="20"/>
        </w:rPr>
        <w:lastRenderedPageBreak/>
        <w:t xml:space="preserve">promuove attivamente il tema della Diversity in azienda, traendo beneficio dalle esperienze e dalle differenti competenze di ciascun collaboratore. La tutela e la sostenibilità ambientale sono al centro di ogni attività aziendale. </w:t>
      </w:r>
    </w:p>
    <w:p w:rsidR="00DC1510" w:rsidRPr="00481DB6" w:rsidRDefault="00DC1510" w:rsidP="0036377C">
      <w:pPr>
        <w:spacing w:after="0" w:line="240" w:lineRule="auto"/>
        <w:jc w:val="both"/>
        <w:rPr>
          <w:rFonts w:ascii="BISans" w:eastAsia="Times New Roman" w:hAnsi="BISans" w:cs="Arial"/>
          <w:color w:val="000000"/>
          <w:sz w:val="20"/>
          <w:szCs w:val="20"/>
        </w:rPr>
      </w:pPr>
      <w:r w:rsidRPr="00481DB6">
        <w:rPr>
          <w:rFonts w:ascii="BISans" w:eastAsia="Times New Roman" w:hAnsi="BISans" w:cs="Arial"/>
          <w:color w:val="000000"/>
          <w:sz w:val="20"/>
          <w:szCs w:val="20"/>
        </w:rPr>
        <w:t>Per maggiori informazioni visitate il sito www.boehringer-ingelheim.com o consultate il Bilancio all’indirizzo http://annualreport.boehringer-ingelheim.com.</w:t>
      </w:r>
    </w:p>
    <w:p w:rsidR="00DC1510" w:rsidRPr="00481DB6" w:rsidRDefault="00DC1510" w:rsidP="0036377C">
      <w:pPr>
        <w:spacing w:after="0" w:line="240" w:lineRule="auto"/>
        <w:jc w:val="both"/>
        <w:rPr>
          <w:rFonts w:ascii="BISans" w:eastAsiaTheme="minorHAnsi" w:hAnsi="BISans" w:cs="Arial"/>
        </w:rPr>
      </w:pPr>
    </w:p>
    <w:p w:rsidR="00DC1510" w:rsidRPr="00481DB6" w:rsidRDefault="00DC1510" w:rsidP="0036377C">
      <w:pPr>
        <w:jc w:val="both"/>
        <w:rPr>
          <w:rFonts w:ascii="BISans" w:eastAsia="Times New Roman" w:hAnsi="BISans" w:cs="Courier New"/>
          <w:b/>
          <w:color w:val="212121"/>
          <w:sz w:val="18"/>
          <w:szCs w:val="18"/>
          <w:lang w:eastAsia="it-IT"/>
        </w:rPr>
      </w:pPr>
      <w:r w:rsidRPr="00481DB6">
        <w:rPr>
          <w:rFonts w:ascii="BISans" w:eastAsia="Times New Roman" w:hAnsi="BISans" w:cs="Courier New"/>
          <w:b/>
          <w:color w:val="212121"/>
          <w:sz w:val="18"/>
          <w:szCs w:val="18"/>
          <w:lang w:eastAsia="it-IT"/>
        </w:rPr>
        <w:t>Per ulteriori informazioni:</w:t>
      </w:r>
    </w:p>
    <w:p w:rsidR="00DC1510" w:rsidRPr="00481DB6" w:rsidRDefault="00DC1510" w:rsidP="0036377C">
      <w:pPr>
        <w:spacing w:after="0" w:line="283" w:lineRule="atLeast"/>
        <w:ind w:right="28"/>
        <w:jc w:val="both"/>
        <w:rPr>
          <w:rFonts w:ascii="BISans" w:eastAsia="BISans" w:hAnsi="BISans" w:cs="Angsana New"/>
          <w:sz w:val="18"/>
          <w:szCs w:val="18"/>
        </w:rPr>
      </w:pPr>
      <w:r w:rsidRPr="00481DB6">
        <w:rPr>
          <w:rFonts w:ascii="BISans" w:eastAsia="BISans" w:hAnsi="BISans" w:cs="Angsana New"/>
          <w:sz w:val="18"/>
          <w:szCs w:val="18"/>
        </w:rPr>
        <w:t>Marina Guffanti</w:t>
      </w:r>
    </w:p>
    <w:p w:rsidR="00DC1510" w:rsidRPr="00481DB6" w:rsidRDefault="00DC1510" w:rsidP="0036377C">
      <w:pPr>
        <w:spacing w:after="0" w:line="283" w:lineRule="atLeast"/>
        <w:ind w:right="28"/>
        <w:jc w:val="both"/>
        <w:rPr>
          <w:rFonts w:ascii="BISans" w:eastAsia="BISans" w:hAnsi="BISans" w:cs="Angsana New"/>
          <w:sz w:val="18"/>
          <w:szCs w:val="18"/>
        </w:rPr>
      </w:pPr>
      <w:r w:rsidRPr="00481DB6">
        <w:rPr>
          <w:rFonts w:ascii="BISans" w:eastAsia="BISans" w:hAnsi="BISans" w:cs="Angsana New"/>
          <w:sz w:val="18"/>
          <w:szCs w:val="18"/>
        </w:rPr>
        <w:t>Comunicazione</w:t>
      </w:r>
    </w:p>
    <w:p w:rsidR="00DC1510" w:rsidRPr="00481DB6" w:rsidRDefault="00DC1510" w:rsidP="0036377C">
      <w:pPr>
        <w:spacing w:after="0" w:line="283" w:lineRule="atLeast"/>
        <w:ind w:right="28"/>
        <w:jc w:val="both"/>
        <w:rPr>
          <w:rFonts w:ascii="BISans" w:eastAsia="BISans" w:hAnsi="BISans" w:cs="Angsana New"/>
          <w:b/>
          <w:sz w:val="18"/>
          <w:szCs w:val="18"/>
        </w:rPr>
      </w:pPr>
      <w:r w:rsidRPr="00481DB6">
        <w:rPr>
          <w:rFonts w:ascii="BISans" w:eastAsia="BISans" w:hAnsi="BISans" w:cs="Angsana New"/>
          <w:b/>
          <w:sz w:val="18"/>
          <w:szCs w:val="18"/>
        </w:rPr>
        <w:t>Boehringer Ingelheim Italia SpA</w:t>
      </w:r>
    </w:p>
    <w:p w:rsidR="00DC1510" w:rsidRPr="00481DB6" w:rsidRDefault="00DC1510" w:rsidP="0036377C">
      <w:pPr>
        <w:spacing w:after="0" w:line="283" w:lineRule="atLeast"/>
        <w:ind w:right="28"/>
        <w:jc w:val="both"/>
        <w:rPr>
          <w:rFonts w:ascii="BISans" w:eastAsia="BISans" w:hAnsi="BISans" w:cs="Angsana New"/>
          <w:sz w:val="18"/>
          <w:szCs w:val="18"/>
        </w:rPr>
      </w:pPr>
      <w:r w:rsidRPr="00481DB6">
        <w:rPr>
          <w:rFonts w:ascii="BISans" w:eastAsia="BISans" w:hAnsi="BISans" w:cs="Angsana New"/>
          <w:sz w:val="18"/>
          <w:szCs w:val="18"/>
        </w:rPr>
        <w:t>Telefono: 02 5355453</w:t>
      </w:r>
    </w:p>
    <w:p w:rsidR="00DC1510" w:rsidRPr="00481DB6" w:rsidRDefault="00DC1510" w:rsidP="0036377C">
      <w:pPr>
        <w:spacing w:after="0" w:line="283" w:lineRule="atLeast"/>
        <w:ind w:right="28"/>
        <w:jc w:val="both"/>
        <w:rPr>
          <w:rFonts w:ascii="BISans" w:eastAsia="BISans" w:hAnsi="BISans" w:cs="Angsana New"/>
          <w:sz w:val="18"/>
          <w:szCs w:val="18"/>
          <w:lang w:val="en-GB"/>
        </w:rPr>
      </w:pPr>
      <w:r w:rsidRPr="00481DB6">
        <w:rPr>
          <w:rFonts w:ascii="BISans" w:eastAsia="BISans" w:hAnsi="BISans" w:cs="Angsana New"/>
          <w:sz w:val="18"/>
          <w:szCs w:val="18"/>
          <w:lang w:val="en-GB"/>
        </w:rPr>
        <w:t>Cell: 348 3995284</w:t>
      </w:r>
    </w:p>
    <w:p w:rsidR="00DC1510" w:rsidRPr="00481DB6" w:rsidRDefault="00DC1510" w:rsidP="0036377C">
      <w:pPr>
        <w:spacing w:after="0" w:line="283" w:lineRule="atLeast"/>
        <w:ind w:right="28"/>
        <w:jc w:val="both"/>
        <w:rPr>
          <w:rFonts w:ascii="BISans" w:eastAsia="BISans" w:hAnsi="BISans" w:cs="Angsana New"/>
          <w:sz w:val="18"/>
          <w:szCs w:val="18"/>
          <w:lang w:val="en-GB"/>
        </w:rPr>
      </w:pPr>
      <w:r w:rsidRPr="00481DB6">
        <w:rPr>
          <w:rFonts w:ascii="BISans" w:eastAsia="BISans" w:hAnsi="BISans" w:cs="Angsana New"/>
          <w:sz w:val="18"/>
          <w:szCs w:val="18"/>
          <w:lang w:val="en-GB"/>
        </w:rPr>
        <w:t xml:space="preserve">Mail: </w:t>
      </w:r>
      <w:hyperlink r:id="rId9" w:history="1">
        <w:r w:rsidRPr="00481DB6">
          <w:rPr>
            <w:rFonts w:ascii="BISans" w:eastAsia="BISans" w:hAnsi="BISans" w:cs="Angsana New"/>
            <w:sz w:val="18"/>
            <w:szCs w:val="18"/>
            <w:lang w:val="en-GB"/>
          </w:rPr>
          <w:t>marina.guffanti@boehringer-ingelheim.com</w:t>
        </w:r>
      </w:hyperlink>
      <w:r w:rsidR="00BE6E23" w:rsidRPr="00BE6E23">
        <w:rPr>
          <w:rFonts w:ascii="BISans" w:eastAsia="BISans" w:hAnsi="BISans" w:cs="Angsana New"/>
          <w:sz w:val="18"/>
          <w:szCs w:val="18"/>
          <w:lang w:val="en-GB"/>
        </w:rPr>
        <w:t xml:space="preserve"> </w:t>
      </w:r>
    </w:p>
    <w:p w:rsidR="00DC1510" w:rsidRPr="00481DB6" w:rsidRDefault="00DC1510" w:rsidP="0036377C">
      <w:pPr>
        <w:spacing w:after="0" w:line="264" w:lineRule="auto"/>
        <w:jc w:val="both"/>
        <w:rPr>
          <w:rFonts w:ascii="BISans" w:eastAsia="BISans" w:hAnsi="BISans" w:cs="Angsana New"/>
          <w:b/>
          <w:bCs/>
          <w:color w:val="003366"/>
          <w:sz w:val="18"/>
          <w:szCs w:val="18"/>
          <w:lang w:val="en-GB"/>
        </w:rPr>
      </w:pPr>
    </w:p>
    <w:p w:rsidR="00DC1510" w:rsidRPr="00481DB6" w:rsidRDefault="00DC1510" w:rsidP="0036377C">
      <w:pPr>
        <w:spacing w:after="0"/>
        <w:ind w:right="28"/>
        <w:jc w:val="both"/>
        <w:rPr>
          <w:rFonts w:ascii="BISans" w:hAnsi="BISans"/>
          <w:sz w:val="18"/>
          <w:szCs w:val="18"/>
        </w:rPr>
      </w:pPr>
      <w:r w:rsidRPr="00481DB6">
        <w:rPr>
          <w:rFonts w:ascii="BISans" w:hAnsi="BISans"/>
          <w:sz w:val="18"/>
          <w:szCs w:val="18"/>
        </w:rPr>
        <w:t>Maria Luisa Paleari</w:t>
      </w:r>
    </w:p>
    <w:p w:rsidR="00DC1510" w:rsidRPr="00481DB6" w:rsidRDefault="00DC1510" w:rsidP="0036377C">
      <w:pPr>
        <w:spacing w:after="0"/>
        <w:ind w:right="28"/>
        <w:jc w:val="both"/>
        <w:rPr>
          <w:rFonts w:ascii="BISans" w:hAnsi="BISans"/>
          <w:b/>
          <w:sz w:val="18"/>
          <w:szCs w:val="18"/>
        </w:rPr>
      </w:pPr>
      <w:r w:rsidRPr="00481DB6">
        <w:rPr>
          <w:rFonts w:ascii="BISans" w:hAnsi="BISans"/>
          <w:b/>
          <w:sz w:val="18"/>
          <w:szCs w:val="18"/>
        </w:rPr>
        <w:t>Value Relations Srl</w:t>
      </w:r>
    </w:p>
    <w:p w:rsidR="00DC1510" w:rsidRPr="00481DB6" w:rsidRDefault="00DC1510" w:rsidP="0036377C">
      <w:pPr>
        <w:spacing w:after="0"/>
        <w:ind w:right="28"/>
        <w:jc w:val="both"/>
        <w:rPr>
          <w:rFonts w:ascii="BISans" w:hAnsi="BISans"/>
          <w:sz w:val="18"/>
          <w:szCs w:val="18"/>
        </w:rPr>
      </w:pPr>
      <w:r w:rsidRPr="00481DB6">
        <w:rPr>
          <w:rFonts w:ascii="BISans" w:hAnsi="BISans"/>
          <w:sz w:val="18"/>
          <w:szCs w:val="18"/>
        </w:rPr>
        <w:t>Telefono: 02 20424941</w:t>
      </w:r>
    </w:p>
    <w:p w:rsidR="00DC1510" w:rsidRPr="00481DB6" w:rsidRDefault="00DC1510" w:rsidP="0036377C">
      <w:pPr>
        <w:spacing w:after="0"/>
        <w:ind w:right="28"/>
        <w:jc w:val="both"/>
        <w:rPr>
          <w:rFonts w:ascii="BISans" w:hAnsi="BISans"/>
          <w:sz w:val="18"/>
          <w:szCs w:val="18"/>
        </w:rPr>
      </w:pPr>
      <w:r w:rsidRPr="00481DB6">
        <w:rPr>
          <w:rFonts w:ascii="BISans" w:hAnsi="BISans"/>
          <w:sz w:val="18"/>
          <w:szCs w:val="18"/>
        </w:rPr>
        <w:t>Cell: 331 6718518</w:t>
      </w:r>
    </w:p>
    <w:p w:rsidR="00DC1510" w:rsidRPr="00481DB6" w:rsidRDefault="00DC1510" w:rsidP="0036377C">
      <w:pPr>
        <w:spacing w:after="0"/>
        <w:ind w:right="28"/>
        <w:jc w:val="both"/>
        <w:rPr>
          <w:rFonts w:ascii="BISans" w:eastAsia="BISans" w:hAnsi="BISans"/>
          <w:sz w:val="18"/>
          <w:szCs w:val="18"/>
          <w:lang w:val="fr-FR"/>
        </w:rPr>
      </w:pPr>
      <w:r w:rsidRPr="00481DB6">
        <w:rPr>
          <w:rFonts w:ascii="BISans" w:hAnsi="BISans"/>
          <w:sz w:val="18"/>
          <w:szCs w:val="18"/>
          <w:lang w:val="fr-FR"/>
        </w:rPr>
        <w:t xml:space="preserve">Mail: </w:t>
      </w:r>
      <w:hyperlink r:id="rId10" w:history="1">
        <w:r w:rsidRPr="00481DB6">
          <w:rPr>
            <w:rStyle w:val="Collegamentoipertestuale"/>
            <w:rFonts w:ascii="BISans" w:hAnsi="BISans"/>
            <w:sz w:val="18"/>
            <w:szCs w:val="18"/>
            <w:lang w:val="fr-FR"/>
          </w:rPr>
          <w:t>ml.paleari@vrelations.it</w:t>
        </w:r>
      </w:hyperlink>
    </w:p>
    <w:p w:rsidR="0024668A" w:rsidRPr="00481DB6" w:rsidRDefault="0024668A" w:rsidP="0036377C">
      <w:pPr>
        <w:pStyle w:val="Default"/>
        <w:spacing w:line="312" w:lineRule="auto"/>
        <w:jc w:val="both"/>
        <w:rPr>
          <w:rStyle w:val="Highlight"/>
          <w:rFonts w:ascii="BISans" w:hAnsi="BISans" w:cstheme="minorHAnsi"/>
          <w:color w:val="auto"/>
          <w:sz w:val="18"/>
          <w:szCs w:val="18"/>
          <w:lang w:val="fr-FR"/>
        </w:rPr>
      </w:pPr>
    </w:p>
    <w:p w:rsidR="007867AA" w:rsidRPr="007867AA" w:rsidRDefault="00481DB6" w:rsidP="0036377C">
      <w:pPr>
        <w:pStyle w:val="Default"/>
        <w:spacing w:line="312" w:lineRule="auto"/>
        <w:jc w:val="both"/>
        <w:rPr>
          <w:rStyle w:val="Highlight"/>
          <w:rFonts w:ascii="BISans" w:hAnsi="BISans" w:cstheme="minorHAnsi"/>
          <w:color w:val="auto"/>
          <w:sz w:val="18"/>
          <w:szCs w:val="18"/>
          <w:lang w:val="fr-FR"/>
        </w:rPr>
      </w:pPr>
      <w:r w:rsidRPr="00481DB6">
        <w:rPr>
          <w:rStyle w:val="Highlight"/>
          <w:rFonts w:ascii="BISans" w:hAnsi="BISans" w:cstheme="minorHAnsi"/>
          <w:color w:val="auto"/>
          <w:sz w:val="18"/>
          <w:szCs w:val="18"/>
          <w:lang w:val="fr-FR"/>
        </w:rPr>
        <w:t>Bibliografia:</w:t>
      </w:r>
    </w:p>
    <w:p w:rsidR="00C43CAD" w:rsidRPr="007867AA" w:rsidRDefault="005E39EF" w:rsidP="0036377C">
      <w:pPr>
        <w:pStyle w:val="Paragrafoelenco"/>
        <w:numPr>
          <w:ilvl w:val="0"/>
          <w:numId w:val="14"/>
        </w:numPr>
        <w:autoSpaceDE w:val="0"/>
        <w:autoSpaceDN w:val="0"/>
        <w:adjustRightInd w:val="0"/>
        <w:spacing w:line="312" w:lineRule="auto"/>
        <w:ind w:left="720"/>
        <w:jc w:val="both"/>
        <w:rPr>
          <w:rStyle w:val="Highlight"/>
          <w:rFonts w:ascii="BISans" w:hAnsi="BISans" w:cstheme="minorHAnsi"/>
          <w:b w:val="0"/>
          <w:i/>
          <w:color w:val="auto"/>
          <w:sz w:val="18"/>
          <w:szCs w:val="18"/>
          <w:lang w:val="fr-FR"/>
        </w:rPr>
      </w:pPr>
      <w:bookmarkStart w:id="1" w:name="_Hlk498596037"/>
      <w:r w:rsidRPr="007867AA">
        <w:rPr>
          <w:rStyle w:val="Highlight"/>
          <w:rFonts w:ascii="BISans" w:hAnsi="BISans" w:cstheme="minorHAnsi"/>
          <w:b w:val="0"/>
          <w:color w:val="auto"/>
          <w:sz w:val="18"/>
          <w:szCs w:val="18"/>
          <w:lang w:val="fr-FR"/>
        </w:rPr>
        <w:t xml:space="preserve">Oldgren J. </w:t>
      </w:r>
      <w:r w:rsidRPr="007867AA">
        <w:rPr>
          <w:rStyle w:val="Highlight"/>
          <w:rFonts w:ascii="BISans" w:hAnsi="BISans" w:cstheme="minorHAnsi"/>
          <w:b w:val="0"/>
          <w:i/>
          <w:color w:val="auto"/>
          <w:sz w:val="18"/>
          <w:szCs w:val="18"/>
          <w:lang w:val="fr-FR"/>
        </w:rPr>
        <w:t>et al.</w:t>
      </w:r>
      <w:r w:rsidRPr="007867AA">
        <w:rPr>
          <w:rStyle w:val="Highlight"/>
          <w:rFonts w:ascii="BISans" w:hAnsi="BISans" w:cstheme="minorHAnsi"/>
          <w:b w:val="0"/>
          <w:color w:val="auto"/>
          <w:sz w:val="18"/>
          <w:szCs w:val="18"/>
          <w:lang w:val="fr-FR"/>
        </w:rPr>
        <w:t xml:space="preserve"> Subgroup analysis from the RE-DUAL PCI trial:  Dual antithrombotic th</w:t>
      </w:r>
      <w:bookmarkStart w:id="2" w:name="_GoBack"/>
      <w:bookmarkEnd w:id="2"/>
      <w:r w:rsidRPr="007867AA">
        <w:rPr>
          <w:rStyle w:val="Highlight"/>
          <w:rFonts w:ascii="BISans" w:hAnsi="BISans" w:cstheme="minorHAnsi"/>
          <w:b w:val="0"/>
          <w:color w:val="auto"/>
          <w:sz w:val="18"/>
          <w:szCs w:val="18"/>
          <w:lang w:val="fr-FR"/>
        </w:rPr>
        <w:t>erapy with dabigatran in patients with atrial fibrillation undergoing percutaneous coronary intervention. AHA Scientific Sessions 2017, Anaheim, California, Late-breaking session, Oral presentation on Nov 14, LBS.05.</w:t>
      </w:r>
    </w:p>
    <w:bookmarkEnd w:id="1"/>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rPr>
      </w:pPr>
      <w:r w:rsidRPr="00481DB6">
        <w:rPr>
          <w:rFonts w:ascii="BISans" w:hAnsi="BISans" w:cstheme="minorHAnsi"/>
          <w:sz w:val="18"/>
          <w:szCs w:val="18"/>
          <w:lang w:val="en-US"/>
        </w:rPr>
        <w:t xml:space="preserve">Lip G. </w:t>
      </w:r>
      <w:r w:rsidRPr="00481DB6">
        <w:rPr>
          <w:rFonts w:ascii="BISans" w:hAnsi="BISans" w:cstheme="minorHAnsi"/>
          <w:i/>
          <w:sz w:val="18"/>
          <w:szCs w:val="18"/>
          <w:lang w:val="en-US"/>
        </w:rPr>
        <w:t>et al</w:t>
      </w:r>
      <w:r w:rsidRPr="00481DB6">
        <w:rPr>
          <w:rFonts w:ascii="BISans" w:hAnsi="BISans" w:cstheme="minorHAnsi"/>
          <w:sz w:val="18"/>
          <w:szCs w:val="18"/>
          <w:lang w:val="en-US"/>
        </w:rPr>
        <w:t xml:space="preserve">. Antithrombotic management of atrial fibrillation patients presenting with acute coronary syndrome and/or undergoing coronary stenting: executive summary—a Consensus Document of the European Society of Cardiology Working Group on Thrombosis, endorsed by the European Heart Rhythm Association (EHRA) and the European Association of Percutaneous Cardiovascular Interventions (EAPCI). </w:t>
      </w:r>
      <w:r w:rsidRPr="00481DB6">
        <w:rPr>
          <w:rFonts w:ascii="BISans" w:hAnsi="BISans" w:cstheme="minorHAnsi"/>
          <w:i/>
          <w:sz w:val="18"/>
          <w:szCs w:val="18"/>
        </w:rPr>
        <w:t>European Heart Journal</w:t>
      </w:r>
      <w:r w:rsidRPr="00481DB6">
        <w:rPr>
          <w:rFonts w:ascii="BISans" w:hAnsi="BISans" w:cstheme="minorHAnsi"/>
          <w:sz w:val="18"/>
          <w:szCs w:val="18"/>
        </w:rPr>
        <w:t xml:space="preserve">. </w:t>
      </w:r>
      <w:r w:rsidR="00481DB6" w:rsidRPr="00481DB6">
        <w:rPr>
          <w:rFonts w:ascii="BISans" w:hAnsi="BISans" w:cstheme="minorHAnsi"/>
          <w:sz w:val="18"/>
          <w:szCs w:val="18"/>
        </w:rPr>
        <w:t>2010;</w:t>
      </w:r>
      <w:r w:rsidR="00481DB6" w:rsidRPr="00481DB6">
        <w:rPr>
          <w:rFonts w:ascii="BISans" w:hAnsi="BISans" w:cstheme="minorHAnsi"/>
          <w:b/>
          <w:sz w:val="18"/>
          <w:szCs w:val="18"/>
        </w:rPr>
        <w:t xml:space="preserve"> 31:1311</w:t>
      </w:r>
      <w:r w:rsidRPr="00481DB6">
        <w:rPr>
          <w:rFonts w:ascii="BISans" w:hAnsi="BISans" w:cstheme="minorHAnsi"/>
          <w:sz w:val="18"/>
          <w:szCs w:val="18"/>
        </w:rPr>
        <w:t>–18.</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lang w:val="it-IT"/>
        </w:rPr>
      </w:pPr>
      <w:r w:rsidRPr="00481DB6">
        <w:rPr>
          <w:rFonts w:ascii="BISans" w:hAnsi="BISans" w:cstheme="minorHAnsi"/>
          <w:sz w:val="18"/>
          <w:szCs w:val="18"/>
          <w:lang w:val="en-US"/>
        </w:rPr>
        <w:t xml:space="preserve">Coppens M. and Eikelboom JW. Antithrombotic Therapy After Coronary Artery Stenting in Patients With Atrial Fibrillation </w:t>
      </w:r>
      <w:r w:rsidRPr="00481DB6">
        <w:rPr>
          <w:rFonts w:ascii="BISans" w:hAnsi="BISans" w:cstheme="minorHAnsi"/>
          <w:i/>
          <w:sz w:val="18"/>
          <w:szCs w:val="18"/>
          <w:lang w:val="en-US"/>
        </w:rPr>
        <w:t>Circ Cardiovasc Interv.</w:t>
      </w:r>
      <w:r w:rsidRPr="00481DB6">
        <w:rPr>
          <w:rFonts w:ascii="BISans" w:hAnsi="BISans" w:cstheme="minorHAnsi"/>
          <w:sz w:val="18"/>
          <w:szCs w:val="18"/>
          <w:lang w:val="en-US"/>
        </w:rPr>
        <w:t xml:space="preserve"> </w:t>
      </w:r>
      <w:r w:rsidR="00481DB6" w:rsidRPr="00481DB6">
        <w:rPr>
          <w:rFonts w:ascii="BISans" w:hAnsi="BISans" w:cstheme="minorHAnsi"/>
          <w:sz w:val="18"/>
          <w:szCs w:val="18"/>
          <w:lang w:val="it-IT"/>
        </w:rPr>
        <w:t>2012;</w:t>
      </w:r>
      <w:r w:rsidR="00481DB6" w:rsidRPr="00481DB6">
        <w:rPr>
          <w:rFonts w:ascii="BISans" w:hAnsi="BISans" w:cstheme="minorHAnsi"/>
          <w:b/>
          <w:sz w:val="18"/>
          <w:szCs w:val="18"/>
          <w:lang w:val="it-IT"/>
        </w:rPr>
        <w:t xml:space="preserve"> 5:454</w:t>
      </w:r>
      <w:r w:rsidRPr="00481DB6">
        <w:rPr>
          <w:rFonts w:ascii="BISans" w:hAnsi="BISans" w:cstheme="minorHAnsi"/>
          <w:sz w:val="18"/>
          <w:szCs w:val="18"/>
          <w:lang w:val="it-IT"/>
        </w:rPr>
        <w:t>–5.</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rPr>
      </w:pPr>
      <w:r w:rsidRPr="00481DB6">
        <w:rPr>
          <w:rFonts w:ascii="BISans" w:hAnsi="BISans" w:cstheme="minorHAnsi"/>
          <w:sz w:val="18"/>
          <w:szCs w:val="18"/>
          <w:lang w:val="en-US"/>
        </w:rPr>
        <w:t xml:space="preserve">Nikolsky E. </w:t>
      </w:r>
      <w:r w:rsidRPr="00481DB6">
        <w:rPr>
          <w:rFonts w:ascii="BISans" w:hAnsi="BISans" w:cstheme="minorHAnsi"/>
          <w:i/>
          <w:sz w:val="18"/>
          <w:szCs w:val="18"/>
          <w:lang w:val="en-US"/>
        </w:rPr>
        <w:t>et al</w:t>
      </w:r>
      <w:r w:rsidRPr="00481DB6">
        <w:rPr>
          <w:rFonts w:ascii="BISans" w:hAnsi="BISans" w:cstheme="minorHAnsi"/>
          <w:sz w:val="18"/>
          <w:szCs w:val="18"/>
          <w:lang w:val="en-US"/>
        </w:rPr>
        <w:t xml:space="preserve">. Outcomes of patients treated with triple antithrombotic therapy after primary percutaneous coronary intervention for ST-elevation myocardial infarction (from the Harmonizing Outcomes With Revascularization and Stents in Acute Myocardial Infarction [HORIZONS-AMI] trial). </w:t>
      </w:r>
      <w:r w:rsidRPr="00481DB6">
        <w:rPr>
          <w:rFonts w:ascii="BISans" w:hAnsi="BISans" w:cstheme="minorHAnsi"/>
          <w:i/>
          <w:sz w:val="18"/>
          <w:szCs w:val="18"/>
        </w:rPr>
        <w:t>Am J Cardiol</w:t>
      </w:r>
      <w:r w:rsidRPr="00481DB6">
        <w:rPr>
          <w:rFonts w:ascii="BISans" w:hAnsi="BISans" w:cstheme="minorHAnsi"/>
          <w:sz w:val="18"/>
          <w:szCs w:val="18"/>
        </w:rPr>
        <w:t xml:space="preserve">. </w:t>
      </w:r>
      <w:r w:rsidR="00481DB6" w:rsidRPr="00481DB6">
        <w:rPr>
          <w:rFonts w:ascii="BISans" w:hAnsi="BISans" w:cstheme="minorHAnsi"/>
          <w:sz w:val="18"/>
          <w:szCs w:val="18"/>
        </w:rPr>
        <w:t>2012;</w:t>
      </w:r>
      <w:r w:rsidR="00481DB6" w:rsidRPr="00481DB6">
        <w:rPr>
          <w:rFonts w:ascii="BISans" w:hAnsi="BISans" w:cstheme="minorHAnsi"/>
          <w:b/>
          <w:sz w:val="18"/>
          <w:szCs w:val="18"/>
        </w:rPr>
        <w:t xml:space="preserve"> 109:831</w:t>
      </w:r>
      <w:r w:rsidRPr="00481DB6">
        <w:rPr>
          <w:rFonts w:ascii="BISans" w:hAnsi="BISans" w:cstheme="minorHAnsi"/>
          <w:sz w:val="18"/>
          <w:szCs w:val="18"/>
        </w:rPr>
        <w:t>–838.</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rPr>
      </w:pPr>
      <w:r w:rsidRPr="00481DB6">
        <w:rPr>
          <w:rFonts w:ascii="BISans" w:hAnsi="BISans" w:cstheme="minorHAnsi"/>
          <w:sz w:val="18"/>
          <w:szCs w:val="18"/>
          <w:lang w:val="en-US"/>
        </w:rPr>
        <w:lastRenderedPageBreak/>
        <w:t xml:space="preserve">Andrade JG. </w:t>
      </w:r>
      <w:r w:rsidRPr="00481DB6">
        <w:rPr>
          <w:rFonts w:ascii="BISans" w:hAnsi="BISans" w:cstheme="minorHAnsi"/>
          <w:i/>
          <w:sz w:val="18"/>
          <w:szCs w:val="18"/>
          <w:lang w:val="en-US"/>
        </w:rPr>
        <w:t>et al</w:t>
      </w:r>
      <w:r w:rsidRPr="00481DB6">
        <w:rPr>
          <w:rFonts w:ascii="BISans" w:hAnsi="BISans" w:cstheme="minorHAnsi"/>
          <w:sz w:val="18"/>
          <w:szCs w:val="18"/>
          <w:lang w:val="en-US"/>
        </w:rPr>
        <w:t xml:space="preserve">. Risk of bleeding on triple antithrombotic therapy after percutaneous coronary intervention/ stenting: a systematic review and meta-analysis. </w:t>
      </w:r>
      <w:r w:rsidRPr="00481DB6">
        <w:rPr>
          <w:rFonts w:ascii="BISans" w:hAnsi="BISans" w:cstheme="minorHAnsi"/>
          <w:i/>
          <w:sz w:val="18"/>
          <w:szCs w:val="18"/>
        </w:rPr>
        <w:t>Can J Cardiol</w:t>
      </w:r>
      <w:r w:rsidRPr="00481DB6">
        <w:rPr>
          <w:rFonts w:ascii="BISans" w:hAnsi="BISans" w:cstheme="minorHAnsi"/>
          <w:sz w:val="18"/>
          <w:szCs w:val="18"/>
        </w:rPr>
        <w:t xml:space="preserve">. 2013; </w:t>
      </w:r>
      <w:r w:rsidRPr="00481DB6">
        <w:rPr>
          <w:rFonts w:ascii="BISans" w:hAnsi="BISans" w:cstheme="minorHAnsi"/>
          <w:b/>
          <w:sz w:val="18"/>
          <w:szCs w:val="18"/>
        </w:rPr>
        <w:t>29</w:t>
      </w:r>
      <w:r w:rsidRPr="00481DB6">
        <w:rPr>
          <w:rFonts w:ascii="BISans" w:hAnsi="BISans" w:cstheme="minorHAnsi"/>
          <w:sz w:val="18"/>
          <w:szCs w:val="18"/>
        </w:rPr>
        <w:t>:204–212.</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lang w:val="it-IT"/>
        </w:rPr>
      </w:pPr>
      <w:r w:rsidRPr="00481DB6">
        <w:rPr>
          <w:rFonts w:ascii="BISans" w:hAnsi="BISans" w:cstheme="minorHAnsi"/>
          <w:sz w:val="18"/>
          <w:szCs w:val="18"/>
          <w:lang w:val="en-US"/>
        </w:rPr>
        <w:t xml:space="preserve">Verheugt FW. Triple antithrombotic therapy after coronary stenting in the elderly with atrial fibrillation: necessary or too hazardous? </w:t>
      </w:r>
      <w:r w:rsidRPr="00481DB6">
        <w:rPr>
          <w:rFonts w:ascii="BISans" w:hAnsi="BISans" w:cstheme="minorHAnsi"/>
          <w:i/>
          <w:sz w:val="18"/>
          <w:szCs w:val="18"/>
          <w:lang w:val="it-IT"/>
        </w:rPr>
        <w:t>AmHeart J</w:t>
      </w:r>
      <w:r w:rsidRPr="00481DB6">
        <w:rPr>
          <w:rFonts w:ascii="BISans" w:hAnsi="BISans" w:cstheme="minorHAnsi"/>
          <w:sz w:val="18"/>
          <w:szCs w:val="18"/>
          <w:lang w:val="it-IT"/>
        </w:rPr>
        <w:t xml:space="preserve">. </w:t>
      </w:r>
      <w:r w:rsidR="00481DB6" w:rsidRPr="00481DB6">
        <w:rPr>
          <w:rFonts w:ascii="BISans" w:hAnsi="BISans" w:cstheme="minorHAnsi"/>
          <w:sz w:val="18"/>
          <w:szCs w:val="18"/>
          <w:lang w:val="it-IT"/>
        </w:rPr>
        <w:t>2012;</w:t>
      </w:r>
      <w:r w:rsidR="00481DB6" w:rsidRPr="00481DB6">
        <w:rPr>
          <w:rFonts w:ascii="BISans" w:hAnsi="BISans" w:cstheme="minorHAnsi"/>
          <w:b/>
          <w:sz w:val="18"/>
          <w:szCs w:val="18"/>
          <w:lang w:val="it-IT"/>
        </w:rPr>
        <w:t xml:space="preserve"> 163:531</w:t>
      </w:r>
      <w:r w:rsidRPr="00481DB6">
        <w:rPr>
          <w:rFonts w:ascii="BISans" w:hAnsi="BISans" w:cstheme="minorHAnsi"/>
          <w:sz w:val="18"/>
          <w:szCs w:val="18"/>
          <w:lang w:val="it-IT"/>
        </w:rPr>
        <w:t>–534.</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lang w:val="it-IT"/>
        </w:rPr>
      </w:pPr>
      <w:r w:rsidRPr="00481DB6">
        <w:rPr>
          <w:rFonts w:ascii="BISans" w:hAnsi="BISans" w:cstheme="minorHAnsi"/>
          <w:sz w:val="18"/>
          <w:szCs w:val="18"/>
        </w:rPr>
        <w:t xml:space="preserve">Cannon CP. </w:t>
      </w:r>
      <w:r w:rsidRPr="00481DB6">
        <w:rPr>
          <w:rFonts w:ascii="BISans" w:hAnsi="BISans" w:cstheme="minorHAnsi"/>
          <w:i/>
          <w:sz w:val="18"/>
          <w:szCs w:val="18"/>
        </w:rPr>
        <w:t>et al</w:t>
      </w:r>
      <w:r w:rsidRPr="00481DB6">
        <w:rPr>
          <w:rFonts w:ascii="BISans" w:hAnsi="BISans" w:cstheme="minorHAnsi"/>
          <w:sz w:val="18"/>
          <w:szCs w:val="18"/>
        </w:rPr>
        <w:t xml:space="preserve">.  RE-DUAL PCI: Dual Antithrombotic Therapy with Dabigatran after Percutaneous Coronary Intervention in Patients with Atrial Fibrillation. </w:t>
      </w:r>
      <w:r w:rsidRPr="00481DB6">
        <w:rPr>
          <w:rFonts w:ascii="BISans" w:hAnsi="BISans" w:cstheme="minorHAnsi"/>
          <w:sz w:val="18"/>
          <w:szCs w:val="18"/>
          <w:lang w:val="it-IT"/>
        </w:rPr>
        <w:t>ESC Congress, Barcelona, 2017, Abstract 1920.</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Style w:val="Highlight"/>
          <w:rFonts w:ascii="BISans" w:hAnsi="BISans" w:cstheme="minorHAnsi"/>
          <w:b w:val="0"/>
          <w:color w:val="auto"/>
          <w:sz w:val="18"/>
          <w:szCs w:val="18"/>
          <w:lang w:val="it-IT"/>
        </w:rPr>
      </w:pPr>
      <w:r w:rsidRPr="00481DB6">
        <w:rPr>
          <w:rStyle w:val="Highlight"/>
          <w:rFonts w:ascii="BISans" w:hAnsi="BISans" w:cstheme="minorHAnsi"/>
          <w:b w:val="0"/>
          <w:color w:val="auto"/>
          <w:sz w:val="18"/>
          <w:szCs w:val="18"/>
        </w:rPr>
        <w:t xml:space="preserve">Cannon CP. </w:t>
      </w:r>
      <w:r w:rsidRPr="00481DB6">
        <w:rPr>
          <w:rStyle w:val="Highlight"/>
          <w:rFonts w:ascii="BISans" w:hAnsi="BISans" w:cstheme="minorHAnsi"/>
          <w:b w:val="0"/>
          <w:i/>
          <w:color w:val="auto"/>
          <w:sz w:val="18"/>
          <w:szCs w:val="18"/>
        </w:rPr>
        <w:t>et al</w:t>
      </w:r>
      <w:r w:rsidRPr="00481DB6">
        <w:rPr>
          <w:rStyle w:val="Highlight"/>
          <w:rFonts w:ascii="BISans" w:hAnsi="BISans" w:cstheme="minorHAnsi"/>
          <w:b w:val="0"/>
          <w:color w:val="auto"/>
          <w:sz w:val="18"/>
          <w:szCs w:val="18"/>
        </w:rPr>
        <w:t xml:space="preserve">. Dual Antithrombotic Therapy with Dabigatran after PCI in Atrial Fibrillation. </w:t>
      </w:r>
      <w:r w:rsidRPr="00481DB6">
        <w:rPr>
          <w:rStyle w:val="Highlight"/>
          <w:rFonts w:ascii="BISans" w:hAnsi="BISans" w:cstheme="minorHAnsi"/>
          <w:b w:val="0"/>
          <w:i/>
          <w:color w:val="auto"/>
          <w:sz w:val="18"/>
          <w:szCs w:val="18"/>
          <w:lang w:val="en-US"/>
        </w:rPr>
        <w:t>New Engl J Med</w:t>
      </w:r>
      <w:r w:rsidRPr="00481DB6">
        <w:rPr>
          <w:rStyle w:val="Highlight"/>
          <w:rFonts w:ascii="BISans" w:hAnsi="BISans" w:cstheme="minorHAnsi"/>
          <w:b w:val="0"/>
          <w:color w:val="auto"/>
          <w:sz w:val="18"/>
          <w:szCs w:val="18"/>
          <w:lang w:val="en-US"/>
        </w:rPr>
        <w:t xml:space="preserve">. 2017; DOI: [10.1056/NEJMoa1708454]. </w:t>
      </w:r>
      <w:hyperlink w:history="1"/>
      <w:hyperlink r:id="rId11" w:history="1">
        <w:r w:rsidRPr="00481DB6">
          <w:rPr>
            <w:rStyle w:val="Collegamentoipertestuale"/>
            <w:rFonts w:ascii="BISans" w:hAnsi="BISans" w:cstheme="minorHAnsi"/>
            <w:sz w:val="18"/>
            <w:szCs w:val="18"/>
            <w:lang w:val="en-US"/>
          </w:rPr>
          <w:t>http://www.nejm.org/doi/full/10.1056/NEJMoa1708454</w:t>
        </w:r>
      </w:hyperlink>
      <w:r w:rsidRPr="00481DB6">
        <w:rPr>
          <w:rFonts w:ascii="BISans" w:hAnsi="BISans" w:cstheme="minorHAnsi"/>
          <w:sz w:val="18"/>
          <w:szCs w:val="18"/>
          <w:lang w:val="en-US"/>
        </w:rPr>
        <w:t xml:space="preserve">. </w:t>
      </w:r>
      <w:r w:rsidRPr="00481DB6">
        <w:rPr>
          <w:rFonts w:ascii="BISans" w:hAnsi="BISans" w:cstheme="minorHAnsi"/>
          <w:sz w:val="18"/>
          <w:szCs w:val="18"/>
          <w:lang w:val="it-IT"/>
        </w:rPr>
        <w:t>Last accessed November 2017</w:t>
      </w:r>
      <w:r w:rsidRPr="00481DB6">
        <w:rPr>
          <w:rStyle w:val="Highlight"/>
          <w:rFonts w:ascii="BISans" w:hAnsi="BISans" w:cstheme="minorHAnsi"/>
          <w:color w:val="auto"/>
          <w:sz w:val="18"/>
          <w:szCs w:val="18"/>
          <w:lang w:val="it-IT"/>
        </w:rPr>
        <w:t>.</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lang w:val="it-IT"/>
        </w:rPr>
      </w:pPr>
      <w:r w:rsidRPr="00481DB6">
        <w:rPr>
          <w:rFonts w:ascii="BISans" w:hAnsi="BISans" w:cstheme="minorHAnsi"/>
          <w:sz w:val="18"/>
          <w:szCs w:val="18"/>
        </w:rPr>
        <w:t xml:space="preserve">Cannon CP. </w:t>
      </w:r>
      <w:r w:rsidRPr="00481DB6">
        <w:rPr>
          <w:rFonts w:ascii="BISans" w:hAnsi="BISans" w:cstheme="minorHAnsi"/>
          <w:i/>
          <w:sz w:val="18"/>
          <w:szCs w:val="18"/>
        </w:rPr>
        <w:t>et al.</w:t>
      </w:r>
      <w:r w:rsidRPr="00481DB6">
        <w:rPr>
          <w:rFonts w:ascii="BISans" w:hAnsi="BISans" w:cstheme="minorHAnsi"/>
          <w:sz w:val="18"/>
          <w:szCs w:val="18"/>
        </w:rPr>
        <w:t xml:space="preserve"> Design and Rationale of the RE-DUAL PCI Trial: A Prospective, Randomized, Phase 3b Study Comparing the Safety and Efficacy of Dual Antithrombotic Therapy With Dabigatran Etexilate Versus Warfarin Triple Therapy in Patients With Nonvalvular Atrial Fibrillation Who Have Undergone Percutaneous Coronary Intervention With Stenting. </w:t>
      </w:r>
      <w:r w:rsidRPr="00481DB6">
        <w:rPr>
          <w:rFonts w:ascii="BISans" w:hAnsi="BISans" w:cstheme="minorHAnsi"/>
          <w:i/>
          <w:sz w:val="18"/>
          <w:szCs w:val="18"/>
          <w:lang w:val="it-IT"/>
        </w:rPr>
        <w:t>Clin Cardiol</w:t>
      </w:r>
      <w:r w:rsidRPr="00481DB6">
        <w:rPr>
          <w:rFonts w:ascii="BISans" w:hAnsi="BISans" w:cstheme="minorHAnsi"/>
          <w:sz w:val="18"/>
          <w:szCs w:val="18"/>
          <w:lang w:val="it-IT"/>
        </w:rPr>
        <w:t>. 2016;</w:t>
      </w:r>
      <w:r w:rsidRPr="00481DB6">
        <w:rPr>
          <w:rFonts w:ascii="BISans" w:hAnsi="BISans" w:cstheme="minorHAnsi"/>
          <w:b/>
          <w:sz w:val="18"/>
          <w:szCs w:val="18"/>
          <w:lang w:val="it-IT"/>
        </w:rPr>
        <w:t>39</w:t>
      </w:r>
      <w:r w:rsidRPr="00481DB6">
        <w:rPr>
          <w:rFonts w:ascii="BISans" w:hAnsi="BISans" w:cstheme="minorHAnsi"/>
          <w:sz w:val="18"/>
          <w:szCs w:val="18"/>
          <w:lang w:val="it-IT"/>
        </w:rPr>
        <w:t xml:space="preserve">(10):555-64. </w:t>
      </w:r>
      <w:hyperlink r:id="rId12" w:history="1">
        <w:r w:rsidRPr="00481DB6">
          <w:rPr>
            <w:rStyle w:val="Collegamentoipertestuale"/>
            <w:rFonts w:ascii="BISans" w:hAnsi="BISans" w:cstheme="minorHAnsi"/>
            <w:sz w:val="18"/>
            <w:szCs w:val="18"/>
            <w:lang w:val="it-IT"/>
          </w:rPr>
          <w:t>http://onlinelibrary.wiley.com/doi/10.1002/clc.22572/full</w:t>
        </w:r>
      </w:hyperlink>
      <w:r w:rsidRPr="00481DB6">
        <w:rPr>
          <w:rFonts w:ascii="BISans" w:hAnsi="BISans" w:cstheme="minorHAnsi"/>
          <w:sz w:val="18"/>
          <w:szCs w:val="18"/>
          <w:lang w:val="it-IT"/>
        </w:rPr>
        <w:t xml:space="preserve">. Ultimo accesso novembre 2017. </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lang w:val="it-IT"/>
        </w:rPr>
      </w:pPr>
      <w:r w:rsidRPr="00481DB6">
        <w:rPr>
          <w:rFonts w:ascii="BISans" w:hAnsi="BISans" w:cstheme="minorHAnsi"/>
          <w:sz w:val="18"/>
          <w:szCs w:val="18"/>
          <w:lang w:val="en-US"/>
        </w:rPr>
        <w:t xml:space="preserve">Mayo Clinic. Coronary angioplasty and stents. </w:t>
      </w:r>
      <w:hyperlink w:history="1"/>
      <w:hyperlink r:id="rId13" w:history="1">
        <w:r w:rsidRPr="00481DB6">
          <w:rPr>
            <w:rStyle w:val="Collegamentoipertestuale"/>
            <w:rFonts w:ascii="BISans" w:hAnsi="BISans" w:cstheme="minorHAnsi"/>
            <w:sz w:val="18"/>
            <w:szCs w:val="18"/>
          </w:rPr>
          <w:t>http://www.mayoclinic.org/tests-procedures/angioplasty/basics/definition/prc-20014401</w:t>
        </w:r>
      </w:hyperlink>
      <w:r w:rsidRPr="00481DB6">
        <w:rPr>
          <w:rStyle w:val="Collegamentoipertestuale"/>
          <w:rFonts w:ascii="BISans" w:hAnsi="BISans" w:cstheme="minorHAnsi"/>
          <w:sz w:val="18"/>
          <w:szCs w:val="18"/>
        </w:rPr>
        <w:t xml:space="preserve">. </w:t>
      </w:r>
      <w:r w:rsidRPr="00481DB6">
        <w:rPr>
          <w:rFonts w:ascii="BISans" w:hAnsi="BISans" w:cstheme="minorHAnsi"/>
          <w:sz w:val="18"/>
          <w:szCs w:val="18"/>
          <w:lang w:val="it-IT"/>
        </w:rPr>
        <w:t>Ultimo accesso novembre 2017.</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rPr>
      </w:pPr>
      <w:r w:rsidRPr="00481DB6">
        <w:rPr>
          <w:rFonts w:ascii="BISans" w:hAnsi="BISans" w:cstheme="minorHAnsi"/>
          <w:sz w:val="18"/>
          <w:szCs w:val="18"/>
          <w:lang w:val="en-US"/>
        </w:rPr>
        <w:t xml:space="preserve">Faxon DP. </w:t>
      </w:r>
      <w:r w:rsidRPr="00481DB6">
        <w:rPr>
          <w:rFonts w:ascii="BISans" w:hAnsi="BISans" w:cstheme="minorHAnsi"/>
          <w:i/>
          <w:sz w:val="18"/>
          <w:szCs w:val="18"/>
          <w:lang w:val="en-US"/>
        </w:rPr>
        <w:t>et al.</w:t>
      </w:r>
      <w:r w:rsidRPr="00481DB6">
        <w:rPr>
          <w:rFonts w:ascii="BISans" w:hAnsi="BISans" w:cstheme="minorHAnsi"/>
          <w:sz w:val="18"/>
          <w:szCs w:val="18"/>
          <w:lang w:val="en-US"/>
        </w:rPr>
        <w:t xml:space="preserve"> Consensus Document: Antithrombotic therapy in patients with atrial fibrillation undergoing coronary stenting. </w:t>
      </w:r>
      <w:r w:rsidRPr="00481DB6">
        <w:rPr>
          <w:rFonts w:ascii="BISans" w:hAnsi="BISans" w:cstheme="minorHAnsi"/>
          <w:i/>
          <w:sz w:val="18"/>
          <w:szCs w:val="18"/>
        </w:rPr>
        <w:t>Thromb Haemost.</w:t>
      </w:r>
      <w:r w:rsidRPr="00481DB6">
        <w:rPr>
          <w:rFonts w:ascii="BISans" w:hAnsi="BISans" w:cstheme="minorHAnsi"/>
          <w:sz w:val="18"/>
          <w:szCs w:val="18"/>
        </w:rPr>
        <w:t xml:space="preserve"> </w:t>
      </w:r>
      <w:r w:rsidR="00481DB6" w:rsidRPr="00481DB6">
        <w:rPr>
          <w:rFonts w:ascii="BISans" w:hAnsi="BISans" w:cstheme="minorHAnsi"/>
          <w:sz w:val="18"/>
          <w:szCs w:val="18"/>
        </w:rPr>
        <w:t>2011;</w:t>
      </w:r>
      <w:r w:rsidR="00481DB6" w:rsidRPr="00481DB6">
        <w:rPr>
          <w:rFonts w:ascii="BISans" w:hAnsi="BISans" w:cstheme="minorHAnsi"/>
          <w:b/>
          <w:sz w:val="18"/>
          <w:szCs w:val="18"/>
        </w:rPr>
        <w:t xml:space="preserve"> 106:571</w:t>
      </w:r>
      <w:r w:rsidRPr="00481DB6">
        <w:rPr>
          <w:rFonts w:ascii="BISans" w:hAnsi="BISans" w:cstheme="minorHAnsi"/>
          <w:sz w:val="18"/>
          <w:szCs w:val="18"/>
        </w:rPr>
        <w:t>–84.</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rPr>
      </w:pPr>
      <w:r w:rsidRPr="00481DB6">
        <w:rPr>
          <w:rFonts w:ascii="BISans" w:hAnsi="BISans" w:cstheme="minorHAnsi"/>
          <w:sz w:val="18"/>
          <w:szCs w:val="18"/>
          <w:lang w:val="en-US"/>
        </w:rPr>
        <w:t xml:space="preserve">Chan W. </w:t>
      </w:r>
      <w:r w:rsidRPr="00481DB6">
        <w:rPr>
          <w:rFonts w:ascii="BISans" w:hAnsi="BISans" w:cstheme="minorHAnsi"/>
          <w:i/>
          <w:sz w:val="18"/>
          <w:szCs w:val="18"/>
          <w:lang w:val="en-US"/>
        </w:rPr>
        <w:t>et al.</w:t>
      </w:r>
      <w:r w:rsidRPr="00481DB6">
        <w:rPr>
          <w:rFonts w:ascii="BISans" w:hAnsi="BISans" w:cstheme="minorHAnsi"/>
          <w:sz w:val="18"/>
          <w:szCs w:val="18"/>
          <w:lang w:val="en-US"/>
        </w:rPr>
        <w:t xml:space="preserve"> Impact of Periprocedural Atrial Fibrillation on Short-Term Clinical Outcomes Following Percutaneous Coronary Intervention. </w:t>
      </w:r>
      <w:r w:rsidRPr="00481DB6">
        <w:rPr>
          <w:rFonts w:ascii="BISans" w:hAnsi="BISans" w:cstheme="minorHAnsi"/>
          <w:i/>
          <w:sz w:val="18"/>
          <w:szCs w:val="18"/>
        </w:rPr>
        <w:t>American Journal of Cardiology</w:t>
      </w:r>
      <w:r w:rsidRPr="00481DB6">
        <w:rPr>
          <w:rFonts w:ascii="BISans" w:hAnsi="BISans" w:cstheme="minorHAnsi"/>
          <w:sz w:val="18"/>
          <w:szCs w:val="18"/>
        </w:rPr>
        <w:t xml:space="preserve">. 2012; </w:t>
      </w:r>
      <w:r w:rsidRPr="00481DB6">
        <w:rPr>
          <w:rFonts w:ascii="BISans" w:hAnsi="BISans" w:cstheme="minorHAnsi"/>
          <w:b/>
          <w:sz w:val="18"/>
          <w:szCs w:val="18"/>
        </w:rPr>
        <w:t>109</w:t>
      </w:r>
      <w:r w:rsidRPr="00481DB6">
        <w:rPr>
          <w:rFonts w:ascii="BISans" w:hAnsi="BISans" w:cstheme="minorHAnsi"/>
          <w:sz w:val="18"/>
          <w:szCs w:val="18"/>
        </w:rPr>
        <w:t>(4):471-77.</w:t>
      </w:r>
    </w:p>
    <w:p w:rsidR="00C43CAD" w:rsidRPr="00481DB6" w:rsidRDefault="00C43CAD" w:rsidP="0036377C">
      <w:pPr>
        <w:pStyle w:val="Paragrafoelenco"/>
        <w:numPr>
          <w:ilvl w:val="0"/>
          <w:numId w:val="14"/>
        </w:numPr>
        <w:autoSpaceDE w:val="0"/>
        <w:autoSpaceDN w:val="0"/>
        <w:adjustRightInd w:val="0"/>
        <w:spacing w:line="312" w:lineRule="auto"/>
        <w:ind w:left="720"/>
        <w:jc w:val="both"/>
        <w:rPr>
          <w:rFonts w:ascii="BISans" w:hAnsi="BISans" w:cstheme="minorHAnsi"/>
          <w:sz w:val="18"/>
          <w:szCs w:val="18"/>
          <w:lang w:val="nb-NO"/>
        </w:rPr>
      </w:pPr>
      <w:r w:rsidRPr="00481DB6">
        <w:rPr>
          <w:rFonts w:ascii="BISans" w:hAnsi="BISans" w:cstheme="minorHAnsi"/>
          <w:sz w:val="18"/>
          <w:szCs w:val="18"/>
          <w:lang w:val="nb-NO"/>
        </w:rPr>
        <w:t>Boehringer Ingelheim Data on File.</w:t>
      </w:r>
    </w:p>
    <w:p w:rsidR="00C43CAD" w:rsidRPr="00481DB6" w:rsidRDefault="00C43CAD" w:rsidP="0036377C">
      <w:pPr>
        <w:numPr>
          <w:ilvl w:val="0"/>
          <w:numId w:val="14"/>
        </w:numPr>
        <w:tabs>
          <w:tab w:val="num" w:pos="426"/>
        </w:tabs>
        <w:spacing w:after="0" w:line="312" w:lineRule="auto"/>
        <w:ind w:left="720"/>
        <w:jc w:val="both"/>
        <w:textAlignment w:val="baseline"/>
        <w:rPr>
          <w:rFonts w:ascii="BISans" w:hAnsi="BISans" w:cstheme="minorHAnsi"/>
          <w:sz w:val="18"/>
          <w:szCs w:val="18"/>
          <w:lang w:eastAsia="en-GB"/>
        </w:rPr>
      </w:pPr>
      <w:r w:rsidRPr="00481DB6">
        <w:rPr>
          <w:rFonts w:ascii="BISans" w:hAnsi="BISans" w:cstheme="minorHAnsi"/>
          <w:sz w:val="18"/>
          <w:szCs w:val="18"/>
          <w:lang w:eastAsia="en-GB"/>
        </w:rPr>
        <w:t>Pradaxa</w:t>
      </w:r>
      <w:r w:rsidRPr="00481DB6">
        <w:rPr>
          <w:rFonts w:ascii="BISans" w:hAnsi="BISans" w:cstheme="minorHAnsi"/>
          <w:sz w:val="18"/>
          <w:szCs w:val="18"/>
          <w:vertAlign w:val="superscript"/>
          <w:lang w:eastAsia="en-GB"/>
        </w:rPr>
        <w:t>®</w:t>
      </w:r>
      <w:r w:rsidRPr="00481DB6">
        <w:rPr>
          <w:rFonts w:ascii="BISans" w:hAnsi="BISans" w:cstheme="minorHAnsi"/>
          <w:sz w:val="18"/>
          <w:szCs w:val="18"/>
          <w:lang w:eastAsia="en-GB"/>
        </w:rPr>
        <w:t xml:space="preserve"> US Prescribing Information, 2015.</w:t>
      </w:r>
    </w:p>
    <w:p w:rsidR="00C43CAD" w:rsidRPr="00481DB6" w:rsidRDefault="00C43CAD" w:rsidP="0036377C">
      <w:pPr>
        <w:numPr>
          <w:ilvl w:val="0"/>
          <w:numId w:val="14"/>
        </w:numPr>
        <w:tabs>
          <w:tab w:val="num" w:pos="426"/>
        </w:tabs>
        <w:spacing w:after="0" w:line="312" w:lineRule="auto"/>
        <w:ind w:left="720"/>
        <w:jc w:val="both"/>
        <w:textAlignment w:val="baseline"/>
        <w:rPr>
          <w:rFonts w:ascii="BISans" w:hAnsi="BISans" w:cstheme="minorHAnsi"/>
          <w:sz w:val="18"/>
          <w:szCs w:val="18"/>
          <w:lang w:val="en-US" w:eastAsia="en-GB"/>
        </w:rPr>
      </w:pPr>
      <w:r w:rsidRPr="00481DB6">
        <w:rPr>
          <w:rFonts w:ascii="BISans" w:hAnsi="BISans" w:cstheme="minorHAnsi"/>
          <w:sz w:val="18"/>
          <w:szCs w:val="18"/>
          <w:lang w:val="en-US" w:eastAsia="en-GB"/>
        </w:rPr>
        <w:t>Pradaxa</w:t>
      </w:r>
      <w:r w:rsidRPr="00481DB6">
        <w:rPr>
          <w:rFonts w:ascii="BISans" w:hAnsi="BISans" w:cstheme="minorHAnsi"/>
          <w:sz w:val="18"/>
          <w:szCs w:val="18"/>
          <w:vertAlign w:val="superscript"/>
          <w:lang w:val="en-US" w:eastAsia="en-GB"/>
        </w:rPr>
        <w:t>®</w:t>
      </w:r>
      <w:r w:rsidRPr="00481DB6">
        <w:rPr>
          <w:rFonts w:ascii="BISans" w:hAnsi="BISans" w:cstheme="minorHAnsi"/>
          <w:sz w:val="18"/>
          <w:szCs w:val="18"/>
          <w:bdr w:val="none" w:sz="0" w:space="0" w:color="auto" w:frame="1"/>
          <w:vertAlign w:val="superscript"/>
          <w:lang w:val="en-US" w:eastAsia="en-GB"/>
        </w:rPr>
        <w:t xml:space="preserve"> </w:t>
      </w:r>
      <w:r w:rsidRPr="00481DB6">
        <w:rPr>
          <w:rFonts w:ascii="BISans" w:hAnsi="BISans" w:cstheme="minorHAnsi"/>
          <w:sz w:val="18"/>
          <w:szCs w:val="18"/>
          <w:lang w:val="en-US" w:eastAsia="en-GB"/>
        </w:rPr>
        <w:t>European Summary of Product Characteristics, 2016.</w:t>
      </w:r>
    </w:p>
    <w:p w:rsidR="00C43CAD" w:rsidRPr="00481DB6" w:rsidRDefault="00C43CAD" w:rsidP="0036377C">
      <w:pPr>
        <w:numPr>
          <w:ilvl w:val="0"/>
          <w:numId w:val="14"/>
        </w:numPr>
        <w:tabs>
          <w:tab w:val="num" w:pos="567"/>
        </w:tabs>
        <w:spacing w:after="0" w:line="312" w:lineRule="auto"/>
        <w:ind w:left="720"/>
        <w:jc w:val="both"/>
        <w:textAlignment w:val="baseline"/>
        <w:rPr>
          <w:rFonts w:ascii="BISans" w:hAnsi="BISans" w:cstheme="minorHAnsi"/>
          <w:sz w:val="18"/>
          <w:szCs w:val="18"/>
          <w:lang w:eastAsia="en-GB"/>
        </w:rPr>
      </w:pPr>
      <w:r w:rsidRPr="00481DB6">
        <w:rPr>
          <w:rFonts w:ascii="BISans" w:hAnsi="BISans" w:cstheme="minorHAnsi"/>
          <w:sz w:val="18"/>
          <w:szCs w:val="18"/>
          <w:lang w:val="en-US" w:eastAsia="en-GB"/>
        </w:rPr>
        <w:t xml:space="preserve">Stangier J. Clinical pharmacokinetics and pharmacodynamics of the oral direct thrombin inhibitor dabigatran etexilate. </w:t>
      </w:r>
      <w:r w:rsidRPr="00481DB6">
        <w:rPr>
          <w:rFonts w:ascii="BISans" w:hAnsi="BISans" w:cstheme="minorHAnsi"/>
          <w:i/>
          <w:sz w:val="18"/>
          <w:szCs w:val="18"/>
          <w:lang w:eastAsia="en-GB"/>
        </w:rPr>
        <w:t>Clin Pharmacokinet.</w:t>
      </w:r>
      <w:r w:rsidRPr="00481DB6">
        <w:rPr>
          <w:rFonts w:ascii="BISans" w:hAnsi="BISans" w:cstheme="minorHAnsi"/>
          <w:sz w:val="18"/>
          <w:szCs w:val="18"/>
          <w:lang w:eastAsia="en-GB"/>
        </w:rPr>
        <w:t xml:space="preserve"> 2008;</w:t>
      </w:r>
      <w:r w:rsidRPr="00481DB6">
        <w:rPr>
          <w:rFonts w:ascii="BISans" w:hAnsi="BISans" w:cstheme="minorHAnsi"/>
          <w:b/>
          <w:sz w:val="18"/>
          <w:szCs w:val="18"/>
          <w:lang w:eastAsia="en-GB"/>
        </w:rPr>
        <w:t>47</w:t>
      </w:r>
      <w:r w:rsidRPr="00481DB6">
        <w:rPr>
          <w:rFonts w:ascii="BISans" w:hAnsi="BISans" w:cstheme="minorHAnsi"/>
          <w:sz w:val="18"/>
          <w:szCs w:val="18"/>
          <w:lang w:eastAsia="en-GB"/>
        </w:rPr>
        <w:t>(5):285–95.</w:t>
      </w:r>
    </w:p>
    <w:p w:rsidR="00C43CAD" w:rsidRPr="00481DB6" w:rsidRDefault="00C43CAD" w:rsidP="0036377C">
      <w:pPr>
        <w:numPr>
          <w:ilvl w:val="0"/>
          <w:numId w:val="14"/>
        </w:numPr>
        <w:tabs>
          <w:tab w:val="num" w:pos="426"/>
        </w:tabs>
        <w:spacing w:after="0" w:line="312" w:lineRule="auto"/>
        <w:ind w:left="720"/>
        <w:jc w:val="both"/>
        <w:textAlignment w:val="baseline"/>
        <w:rPr>
          <w:rFonts w:ascii="BISans" w:hAnsi="BISans" w:cstheme="minorHAnsi"/>
          <w:sz w:val="18"/>
          <w:szCs w:val="18"/>
          <w:lang w:val="en-US" w:eastAsia="en-GB"/>
        </w:rPr>
      </w:pPr>
      <w:r w:rsidRPr="00481DB6">
        <w:rPr>
          <w:rFonts w:ascii="BISans" w:hAnsi="BISans" w:cstheme="minorHAnsi"/>
          <w:sz w:val="18"/>
          <w:szCs w:val="18"/>
          <w:lang w:eastAsia="en-GB"/>
        </w:rPr>
        <w:t xml:space="preserve">Di Nisio M. </w:t>
      </w:r>
      <w:r w:rsidRPr="00481DB6">
        <w:rPr>
          <w:rFonts w:ascii="BISans" w:hAnsi="BISans" w:cstheme="minorHAnsi"/>
          <w:i/>
          <w:sz w:val="18"/>
          <w:szCs w:val="18"/>
          <w:lang w:eastAsia="en-GB"/>
        </w:rPr>
        <w:t>et al</w:t>
      </w:r>
      <w:r w:rsidRPr="00481DB6">
        <w:rPr>
          <w:rFonts w:ascii="BISans" w:hAnsi="BISans" w:cstheme="minorHAnsi"/>
          <w:sz w:val="18"/>
          <w:szCs w:val="18"/>
          <w:lang w:eastAsia="en-GB"/>
        </w:rPr>
        <w:t xml:space="preserve">. </w:t>
      </w:r>
      <w:r w:rsidRPr="00481DB6">
        <w:rPr>
          <w:rFonts w:ascii="BISans" w:hAnsi="BISans" w:cstheme="minorHAnsi"/>
          <w:sz w:val="18"/>
          <w:szCs w:val="18"/>
          <w:lang w:val="en-US" w:eastAsia="en-GB"/>
        </w:rPr>
        <w:t xml:space="preserve">Direct thrombin inhibitors. </w:t>
      </w:r>
      <w:r w:rsidRPr="00481DB6">
        <w:rPr>
          <w:rFonts w:ascii="BISans" w:hAnsi="BISans" w:cstheme="minorHAnsi"/>
          <w:i/>
          <w:sz w:val="18"/>
          <w:szCs w:val="18"/>
          <w:lang w:val="en-US" w:eastAsia="en-GB"/>
        </w:rPr>
        <w:t>N Engl J Med</w:t>
      </w:r>
      <w:r w:rsidRPr="00481DB6">
        <w:rPr>
          <w:rFonts w:ascii="BISans" w:hAnsi="BISans" w:cstheme="minorHAnsi"/>
          <w:sz w:val="18"/>
          <w:szCs w:val="18"/>
          <w:lang w:val="en-US" w:eastAsia="en-GB"/>
        </w:rPr>
        <w:t>.</w:t>
      </w:r>
      <w:r w:rsidR="00481DB6" w:rsidRPr="00481DB6">
        <w:rPr>
          <w:rFonts w:ascii="BISans" w:hAnsi="BISans" w:cstheme="minorHAnsi"/>
          <w:sz w:val="18"/>
          <w:szCs w:val="18"/>
          <w:lang w:val="en-US" w:eastAsia="en-GB"/>
        </w:rPr>
        <w:t>2005;</w:t>
      </w:r>
      <w:r w:rsidR="00481DB6" w:rsidRPr="00481DB6">
        <w:rPr>
          <w:rFonts w:ascii="BISans" w:hAnsi="BISans" w:cstheme="minorHAnsi"/>
          <w:b/>
          <w:sz w:val="18"/>
          <w:szCs w:val="18"/>
          <w:lang w:val="en-US" w:eastAsia="en-GB"/>
        </w:rPr>
        <w:t xml:space="preserve"> 353:1028</w:t>
      </w:r>
      <w:r w:rsidRPr="00481DB6">
        <w:rPr>
          <w:rFonts w:ascii="BISans" w:hAnsi="BISans" w:cstheme="minorHAnsi"/>
          <w:sz w:val="18"/>
          <w:szCs w:val="18"/>
          <w:lang w:val="en-US" w:eastAsia="en-GB"/>
        </w:rPr>
        <w:t>–40.</w:t>
      </w:r>
    </w:p>
    <w:p w:rsidR="00C43CAD" w:rsidRPr="00481DB6" w:rsidRDefault="00C43CAD" w:rsidP="0036377C">
      <w:pPr>
        <w:numPr>
          <w:ilvl w:val="0"/>
          <w:numId w:val="14"/>
        </w:numPr>
        <w:tabs>
          <w:tab w:val="num" w:pos="426"/>
        </w:tabs>
        <w:spacing w:after="0" w:line="312" w:lineRule="auto"/>
        <w:ind w:left="720"/>
        <w:jc w:val="both"/>
        <w:textAlignment w:val="baseline"/>
        <w:rPr>
          <w:rFonts w:ascii="BISans" w:hAnsi="BISans" w:cstheme="minorHAnsi"/>
          <w:sz w:val="18"/>
          <w:szCs w:val="18"/>
          <w:lang w:val="en-GB" w:eastAsia="en-GB"/>
        </w:rPr>
      </w:pPr>
      <w:r w:rsidRPr="00481DB6">
        <w:rPr>
          <w:rFonts w:ascii="BISans" w:hAnsi="BISans" w:cstheme="minorHAnsi"/>
          <w:sz w:val="18"/>
          <w:szCs w:val="18"/>
          <w:lang w:val="en-US" w:eastAsia="en-GB"/>
        </w:rPr>
        <w:lastRenderedPageBreak/>
        <w:t xml:space="preserve">Stangier J. </w:t>
      </w:r>
      <w:r w:rsidRPr="00481DB6">
        <w:rPr>
          <w:rFonts w:ascii="BISans" w:hAnsi="BISans" w:cstheme="minorHAnsi"/>
          <w:i/>
          <w:sz w:val="18"/>
          <w:szCs w:val="18"/>
          <w:lang w:val="en-US" w:eastAsia="en-GB"/>
        </w:rPr>
        <w:t>et al.</w:t>
      </w:r>
      <w:r w:rsidRPr="00481DB6">
        <w:rPr>
          <w:rFonts w:ascii="BISans" w:hAnsi="BISans" w:cstheme="minorHAnsi"/>
          <w:sz w:val="18"/>
          <w:szCs w:val="18"/>
          <w:lang w:val="en-US" w:eastAsia="en-GB"/>
        </w:rPr>
        <w:t xml:space="preserve"> Pharmacokinetic Profile of the Oral Direct Thrombin Inhibitor Dabigatran Etexilate in Healthy Volunteers and Patients Undergoing Total Hip Replacement. </w:t>
      </w:r>
      <w:r w:rsidRPr="00481DB6">
        <w:rPr>
          <w:rFonts w:ascii="BISans" w:hAnsi="BISans" w:cstheme="minorHAnsi"/>
          <w:i/>
          <w:sz w:val="18"/>
          <w:szCs w:val="18"/>
          <w:lang w:val="en-GB" w:eastAsia="en-GB"/>
        </w:rPr>
        <w:t>J Clin Pharmacol</w:t>
      </w:r>
      <w:r w:rsidRPr="00481DB6">
        <w:rPr>
          <w:rFonts w:ascii="BISans" w:hAnsi="BISans" w:cstheme="minorHAnsi"/>
          <w:sz w:val="18"/>
          <w:szCs w:val="18"/>
          <w:lang w:val="en-GB" w:eastAsia="en-GB"/>
        </w:rPr>
        <w:t xml:space="preserve">. </w:t>
      </w:r>
      <w:r w:rsidR="00481DB6" w:rsidRPr="00481DB6">
        <w:rPr>
          <w:rFonts w:ascii="BISans" w:hAnsi="BISans" w:cstheme="minorHAnsi"/>
          <w:sz w:val="18"/>
          <w:szCs w:val="18"/>
          <w:lang w:val="en-GB" w:eastAsia="en-GB"/>
        </w:rPr>
        <w:t>2005;</w:t>
      </w:r>
      <w:r w:rsidR="00481DB6" w:rsidRPr="00481DB6">
        <w:rPr>
          <w:rFonts w:ascii="BISans" w:hAnsi="BISans" w:cstheme="minorHAnsi"/>
          <w:b/>
          <w:sz w:val="18"/>
          <w:szCs w:val="18"/>
          <w:lang w:val="en-GB" w:eastAsia="en-GB"/>
        </w:rPr>
        <w:t xml:space="preserve"> 45:555</w:t>
      </w:r>
      <w:r w:rsidRPr="00481DB6">
        <w:rPr>
          <w:rFonts w:ascii="BISans" w:hAnsi="BISans" w:cstheme="minorHAnsi"/>
          <w:sz w:val="18"/>
          <w:szCs w:val="18"/>
          <w:lang w:val="en-GB" w:eastAsia="en-GB"/>
        </w:rPr>
        <w:t>–63.</w:t>
      </w:r>
    </w:p>
    <w:p w:rsidR="00C43CAD" w:rsidRPr="00481DB6" w:rsidRDefault="00C43CAD" w:rsidP="0036377C">
      <w:pPr>
        <w:numPr>
          <w:ilvl w:val="0"/>
          <w:numId w:val="14"/>
        </w:numPr>
        <w:tabs>
          <w:tab w:val="num" w:pos="426"/>
        </w:tabs>
        <w:spacing w:after="0" w:line="312" w:lineRule="auto"/>
        <w:ind w:left="720"/>
        <w:jc w:val="both"/>
        <w:textAlignment w:val="baseline"/>
        <w:rPr>
          <w:rFonts w:ascii="BISans" w:hAnsi="BISans" w:cstheme="minorHAnsi"/>
          <w:sz w:val="18"/>
          <w:szCs w:val="18"/>
          <w:lang w:val="en-US" w:eastAsia="en-GB"/>
        </w:rPr>
      </w:pPr>
      <w:r w:rsidRPr="00481DB6">
        <w:rPr>
          <w:rFonts w:ascii="BISans" w:hAnsi="BISans" w:cstheme="minorHAnsi"/>
          <w:sz w:val="18"/>
          <w:szCs w:val="18"/>
          <w:lang w:val="en-US" w:eastAsia="en-GB"/>
        </w:rPr>
        <w:t>Praxbind</w:t>
      </w:r>
      <w:r w:rsidRPr="00481DB6">
        <w:rPr>
          <w:rFonts w:ascii="BISans" w:hAnsi="BISans" w:cstheme="minorHAnsi"/>
          <w:sz w:val="18"/>
          <w:szCs w:val="18"/>
          <w:vertAlign w:val="superscript"/>
          <w:lang w:val="en-US"/>
        </w:rPr>
        <w:t>®</w:t>
      </w:r>
      <w:r w:rsidRPr="00481DB6">
        <w:rPr>
          <w:rFonts w:ascii="BISans" w:hAnsi="BISans" w:cstheme="minorHAnsi"/>
          <w:sz w:val="18"/>
          <w:szCs w:val="18"/>
          <w:lang w:val="en-US" w:eastAsia="en-GB"/>
        </w:rPr>
        <w:t xml:space="preserve"> European Summary of Product Characteristics, 2016.</w:t>
      </w:r>
    </w:p>
    <w:p w:rsidR="00481DB6" w:rsidRPr="00481DB6" w:rsidRDefault="00C43CAD" w:rsidP="0036377C">
      <w:pPr>
        <w:numPr>
          <w:ilvl w:val="0"/>
          <w:numId w:val="14"/>
        </w:numPr>
        <w:tabs>
          <w:tab w:val="num" w:pos="426"/>
        </w:tabs>
        <w:spacing w:after="0" w:line="312" w:lineRule="auto"/>
        <w:ind w:left="720"/>
        <w:jc w:val="both"/>
        <w:textAlignment w:val="baseline"/>
        <w:rPr>
          <w:rFonts w:ascii="BISans" w:hAnsi="BISans" w:cstheme="minorHAnsi"/>
          <w:sz w:val="18"/>
          <w:szCs w:val="18"/>
          <w:lang w:eastAsia="en-GB"/>
        </w:rPr>
      </w:pPr>
      <w:r w:rsidRPr="00481DB6">
        <w:rPr>
          <w:rFonts w:ascii="BISans" w:hAnsi="BISans" w:cstheme="minorHAnsi"/>
          <w:sz w:val="18"/>
          <w:szCs w:val="18"/>
          <w:lang w:eastAsia="en-GB"/>
        </w:rPr>
        <w:t>Praxbind</w:t>
      </w:r>
      <w:r w:rsidRPr="00481DB6">
        <w:rPr>
          <w:rFonts w:ascii="BISans" w:hAnsi="BISans" w:cstheme="minorHAnsi"/>
          <w:sz w:val="18"/>
          <w:szCs w:val="18"/>
          <w:vertAlign w:val="superscript"/>
        </w:rPr>
        <w:t>®</w:t>
      </w:r>
      <w:r w:rsidRPr="00481DB6">
        <w:rPr>
          <w:rFonts w:ascii="BISans" w:hAnsi="BISans" w:cstheme="minorHAnsi"/>
          <w:sz w:val="18"/>
          <w:szCs w:val="18"/>
          <w:lang w:eastAsia="en-GB"/>
        </w:rPr>
        <w:t xml:space="preserve"> US Prescribing Information, 2015.</w:t>
      </w:r>
    </w:p>
    <w:p w:rsidR="00C43CAD" w:rsidRPr="00481DB6" w:rsidRDefault="00C43CAD" w:rsidP="00C43CAD">
      <w:pPr>
        <w:jc w:val="both"/>
        <w:rPr>
          <w:rFonts w:ascii="BISans" w:hAnsi="BISans" w:cstheme="minorHAnsi"/>
          <w:sz w:val="18"/>
          <w:szCs w:val="18"/>
        </w:rPr>
      </w:pPr>
    </w:p>
    <w:p w:rsidR="000C26BB" w:rsidRPr="00481DB6" w:rsidRDefault="000C26BB" w:rsidP="00C43CAD">
      <w:pPr>
        <w:pStyle w:val="Default"/>
        <w:spacing w:line="312" w:lineRule="auto"/>
        <w:jc w:val="both"/>
        <w:rPr>
          <w:rStyle w:val="Highlight"/>
          <w:rFonts w:ascii="BISans" w:hAnsi="BISans" w:cstheme="minorHAnsi"/>
          <w:color w:val="auto"/>
          <w:sz w:val="18"/>
          <w:szCs w:val="18"/>
          <w:lang w:val="it-IT"/>
        </w:rPr>
      </w:pPr>
    </w:p>
    <w:p w:rsidR="000C26BB" w:rsidRPr="00481DB6" w:rsidRDefault="000C26BB" w:rsidP="00C43CAD">
      <w:pPr>
        <w:pStyle w:val="Default"/>
        <w:spacing w:line="312" w:lineRule="auto"/>
        <w:jc w:val="both"/>
        <w:rPr>
          <w:rStyle w:val="Highlight"/>
          <w:rFonts w:ascii="BISans" w:hAnsi="BISans" w:cstheme="minorHAnsi"/>
          <w:color w:val="auto"/>
          <w:sz w:val="18"/>
          <w:szCs w:val="18"/>
          <w:lang w:val="it-IT"/>
        </w:rPr>
      </w:pPr>
    </w:p>
    <w:sectPr w:rsidR="000C26BB" w:rsidRPr="00481DB6" w:rsidSect="005E2946">
      <w:headerReference w:type="default" r:id="rId14"/>
      <w:footerReference w:type="default" r:id="rId15"/>
      <w:headerReference w:type="first" r:id="rId16"/>
      <w:footerReference w:type="first" r:id="rId17"/>
      <w:footnotePr>
        <w:numFmt w:val="chicago"/>
      </w:footnotePr>
      <w:endnotePr>
        <w:numFmt w:val="decimal"/>
      </w:endnotePr>
      <w:pgSz w:w="11906" w:h="16838"/>
      <w:pgMar w:top="3420" w:right="3969" w:bottom="1530"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164" w:rsidRDefault="002C4164" w:rsidP="00AC7343">
      <w:pPr>
        <w:spacing w:after="0" w:line="240" w:lineRule="auto"/>
      </w:pPr>
      <w:r>
        <w:separator/>
      </w:r>
    </w:p>
  </w:endnote>
  <w:endnote w:type="continuationSeparator" w:id="0">
    <w:p w:rsidR="002C4164" w:rsidRDefault="002C4164" w:rsidP="00AC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Sans">
    <w:altName w:val="Calibri"/>
    <w:charset w:val="00"/>
    <w:family w:val="auto"/>
    <w:pitch w:val="variable"/>
    <w:sig w:usb0="80000027"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50" w:rsidRPr="00977337" w:rsidRDefault="00DE5F50">
    <w:pPr>
      <w:pStyle w:val="Pidipagina"/>
    </w:pPr>
    <w:r w:rsidRPr="00977337">
      <w:rPr>
        <w:rFonts w:cs="Arial"/>
        <w:sz w:val="16"/>
        <w:szCs w:val="16"/>
      </w:rPr>
      <w:t xml:space="preserve">Boehringer Ingelheim </w:t>
    </w:r>
    <w:r>
      <w:rPr>
        <w:rFonts w:cs="Arial"/>
        <w:sz w:val="16"/>
        <w:szCs w:val="16"/>
      </w:rPr>
      <w:t>Comunicato Stampa</w:t>
    </w:r>
    <w:r w:rsidRPr="00977337">
      <w:rPr>
        <w:rFonts w:cs="Arial"/>
        <w:sz w:val="16"/>
        <w:szCs w:val="16"/>
      </w:rPr>
      <w:t xml:space="preserve"> pag</w:t>
    </w:r>
    <w:r>
      <w:rPr>
        <w:rFonts w:cs="Arial"/>
        <w:sz w:val="16"/>
        <w:szCs w:val="16"/>
      </w:rPr>
      <w:t>ina</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PAGE </w:instrText>
    </w:r>
    <w:r w:rsidRPr="00977337">
      <w:rPr>
        <w:rFonts w:cs="Arial"/>
        <w:sz w:val="16"/>
        <w:szCs w:val="16"/>
      </w:rPr>
      <w:fldChar w:fldCharType="separate"/>
    </w:r>
    <w:r w:rsidR="00BE6E23">
      <w:rPr>
        <w:rFonts w:cs="Arial"/>
        <w:noProof/>
        <w:sz w:val="16"/>
        <w:szCs w:val="16"/>
      </w:rPr>
      <w:t>7</w:t>
    </w:r>
    <w:r w:rsidRPr="00977337">
      <w:rPr>
        <w:rFonts w:cs="Arial"/>
        <w:sz w:val="16"/>
        <w:szCs w:val="16"/>
      </w:rPr>
      <w:fldChar w:fldCharType="end"/>
    </w:r>
    <w:r w:rsidRPr="00977337">
      <w:rPr>
        <w:rFonts w:cs="Arial"/>
        <w:sz w:val="16"/>
        <w:szCs w:val="16"/>
      </w:rPr>
      <w:t xml:space="preserve"> </w:t>
    </w:r>
    <w:r>
      <w:rPr>
        <w:rFonts w:cs="Arial"/>
        <w:sz w:val="16"/>
        <w:szCs w:val="16"/>
      </w:rPr>
      <w:t>di</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NUMPAGES  </w:instrText>
    </w:r>
    <w:r w:rsidRPr="00977337">
      <w:rPr>
        <w:rFonts w:cs="Arial"/>
        <w:sz w:val="16"/>
        <w:szCs w:val="16"/>
      </w:rPr>
      <w:fldChar w:fldCharType="separate"/>
    </w:r>
    <w:r w:rsidR="00BE6E23">
      <w:rPr>
        <w:rFonts w:cs="Arial"/>
        <w:noProof/>
        <w:sz w:val="16"/>
        <w:szCs w:val="16"/>
      </w:rPr>
      <w:t>7</w:t>
    </w:r>
    <w:r w:rsidRPr="00977337">
      <w:rPr>
        <w:rFonts w:cs="Arial"/>
        <w:sz w:val="16"/>
        <w:szCs w:val="16"/>
      </w:rPr>
      <w:fldChar w:fldCharType="end"/>
    </w:r>
    <w:r w:rsidRPr="00977337">
      <w:rPr>
        <w:rFonts w:cs="Arial"/>
        <w:color w:val="FF0000"/>
        <w:sz w:val="16"/>
        <w:szCs w:val="16"/>
      </w:rPr>
      <w:t xml:space="preserve"> </w:t>
    </w:r>
    <w:r w:rsidRPr="00977337">
      <w:rPr>
        <w:rFonts w:cs="Arial"/>
        <w:color w:val="FF0000"/>
        <w:sz w:val="16"/>
        <w:szCs w:val="16"/>
      </w:rPr>
      <w:tab/>
    </w:r>
    <w:r w:rsidRPr="00977337">
      <w:rPr>
        <w:rFonts w:cs="Arial"/>
        <w:color w:val="FF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50" w:rsidRPr="00977337" w:rsidRDefault="00DE5F50">
    <w:pPr>
      <w:pStyle w:val="Pidipagina"/>
      <w:rPr>
        <w:rFonts w:cs="Arial"/>
        <w:sz w:val="16"/>
        <w:szCs w:val="16"/>
      </w:rPr>
    </w:pPr>
    <w:r>
      <w:rPr>
        <w:rFonts w:cs="Arial"/>
        <w:sz w:val="16"/>
        <w:szCs w:val="16"/>
      </w:rPr>
      <w:t>Boehringer Ingelheim Comunicato Stampa</w:t>
    </w:r>
    <w:r w:rsidRPr="00977337">
      <w:rPr>
        <w:rFonts w:cs="Arial"/>
        <w:sz w:val="16"/>
        <w:szCs w:val="16"/>
      </w:rPr>
      <w:t xml:space="preserve"> pag</w:t>
    </w:r>
    <w:r>
      <w:rPr>
        <w:rFonts w:cs="Arial"/>
        <w:sz w:val="16"/>
        <w:szCs w:val="16"/>
      </w:rPr>
      <w:t>ina</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PAGE </w:instrText>
    </w:r>
    <w:r w:rsidRPr="00977337">
      <w:rPr>
        <w:rFonts w:cs="Arial"/>
        <w:sz w:val="16"/>
        <w:szCs w:val="16"/>
      </w:rPr>
      <w:fldChar w:fldCharType="separate"/>
    </w:r>
    <w:r w:rsidR="00BE6E23">
      <w:rPr>
        <w:rFonts w:cs="Arial"/>
        <w:noProof/>
        <w:sz w:val="16"/>
        <w:szCs w:val="16"/>
      </w:rPr>
      <w:t>1</w:t>
    </w:r>
    <w:r w:rsidRPr="00977337">
      <w:rPr>
        <w:rFonts w:cs="Arial"/>
        <w:sz w:val="16"/>
        <w:szCs w:val="16"/>
      </w:rPr>
      <w:fldChar w:fldCharType="end"/>
    </w:r>
    <w:r w:rsidRPr="00977337">
      <w:rPr>
        <w:rFonts w:cs="Arial"/>
        <w:sz w:val="16"/>
        <w:szCs w:val="16"/>
      </w:rPr>
      <w:t xml:space="preserve"> </w:t>
    </w:r>
    <w:r>
      <w:rPr>
        <w:rFonts w:cs="Arial"/>
        <w:sz w:val="16"/>
        <w:szCs w:val="16"/>
      </w:rPr>
      <w:t>di</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NUMPAGES  </w:instrText>
    </w:r>
    <w:r w:rsidRPr="00977337">
      <w:rPr>
        <w:rFonts w:cs="Arial"/>
        <w:sz w:val="16"/>
        <w:szCs w:val="16"/>
      </w:rPr>
      <w:fldChar w:fldCharType="separate"/>
    </w:r>
    <w:r w:rsidR="00BE6E23">
      <w:rPr>
        <w:rFonts w:cs="Arial"/>
        <w:noProof/>
        <w:sz w:val="16"/>
        <w:szCs w:val="16"/>
      </w:rPr>
      <w:t>7</w:t>
    </w:r>
    <w:r w:rsidRPr="00977337">
      <w:rPr>
        <w:rFonts w:cs="Arial"/>
        <w:sz w:val="16"/>
        <w:szCs w:val="16"/>
      </w:rPr>
      <w:fldChar w:fldCharType="end"/>
    </w:r>
    <w:r w:rsidRPr="00977337">
      <w:rPr>
        <w:rFonts w:cs="Arial"/>
        <w:sz w:val="16"/>
        <w:szCs w:val="16"/>
      </w:rPr>
      <w:tab/>
    </w:r>
    <w:r w:rsidRPr="00977337">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164" w:rsidRDefault="002C4164" w:rsidP="00AC7343">
      <w:pPr>
        <w:spacing w:after="0" w:line="240" w:lineRule="auto"/>
      </w:pPr>
      <w:r>
        <w:separator/>
      </w:r>
    </w:p>
  </w:footnote>
  <w:footnote w:type="continuationSeparator" w:id="0">
    <w:p w:rsidR="002C4164" w:rsidRDefault="002C4164" w:rsidP="00AC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50" w:rsidRDefault="009F6C9F">
    <w:pPr>
      <w:pStyle w:val="Intestazione"/>
    </w:pPr>
    <w:r>
      <w:rPr>
        <w:noProof/>
        <w:lang w:eastAsia="zh-CN" w:bidi="th-TH"/>
      </w:rPr>
      <mc:AlternateContent>
        <mc:Choice Requires="wps">
          <w:drawing>
            <wp:anchor distT="0" distB="0" distL="114300" distR="114300" simplePos="0" relativeHeight="251654656" behindDoc="0" locked="0" layoutInCell="1" allowOverlap="1">
              <wp:simplePos x="0" y="0"/>
              <wp:positionH relativeFrom="column">
                <wp:posOffset>-550545</wp:posOffset>
              </wp:positionH>
              <wp:positionV relativeFrom="paragraph">
                <wp:posOffset>-106680</wp:posOffset>
              </wp:positionV>
              <wp:extent cx="450215" cy="19939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993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50" w:rsidRPr="0055412A" w:rsidRDefault="00DE5F50" w:rsidP="005E2946">
                          <w:pPr>
                            <w:spacing w:line="240" w:lineRule="auto"/>
                            <w:jc w:val="center"/>
                            <w:rPr>
                              <w:b/>
                              <w:color w:val="FFFFFF"/>
                              <w:sz w:val="12"/>
                              <w:szCs w:val="14"/>
                            </w:rPr>
                          </w:pPr>
                          <w:r w:rsidRPr="0055412A">
                            <w:rPr>
                              <w:sz w:val="18"/>
                            </w:rPr>
                            <w:fldChar w:fldCharType="begin"/>
                          </w:r>
                          <w:r w:rsidRPr="0055412A">
                            <w:rPr>
                              <w:sz w:val="18"/>
                            </w:rPr>
                            <w:instrText xml:space="preserve"> PAGE  \* Arabic  \* MERGEFORMAT </w:instrText>
                          </w:r>
                          <w:r w:rsidRPr="0055412A">
                            <w:rPr>
                              <w:sz w:val="18"/>
                            </w:rPr>
                            <w:fldChar w:fldCharType="separate"/>
                          </w:r>
                          <w:r w:rsidR="00BE6E23">
                            <w:rPr>
                              <w:noProof/>
                              <w:sz w:val="18"/>
                            </w:rPr>
                            <w:t>7</w:t>
                          </w:r>
                          <w:r w:rsidRPr="0055412A">
                            <w:rPr>
                              <w:sz w:val="18"/>
                            </w:rPr>
                            <w:fldChar w:fldCharType="end"/>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35pt;margin-top:-8.4pt;width:35.45pt;height:1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" fillcolor="#036" stroked="f">
              <v:textbox inset="1.5mm,1.5mm,1.5mm,1.5mm">
                <w:txbxContent>
                  <w:p w:rsidR="00DE5F50" w:rsidRPr="0055412A" w:rsidRDefault="00DE5F50" w:rsidP="005E2946">
                    <w:pPr>
                      <w:spacing w:line="240" w:lineRule="auto"/>
                      <w:jc w:val="center"/>
                      <w:rPr>
                        <w:b/>
                        <w:color w:val="FFFFFF"/>
                        <w:sz w:val="12"/>
                        <w:szCs w:val="14"/>
                      </w:rPr>
                    </w:pPr>
                    <w:r w:rsidRPr="0055412A">
                      <w:rPr>
                        <w:sz w:val="18"/>
                      </w:rPr>
                      <w:fldChar w:fldCharType="begin"/>
                    </w:r>
                    <w:r w:rsidRPr="0055412A">
                      <w:rPr>
                        <w:sz w:val="18"/>
                      </w:rPr>
                      <w:instrText xml:space="preserve"> PAGE  \* Arabic  \* MERGEFORMAT </w:instrText>
                    </w:r>
                    <w:r w:rsidRPr="0055412A">
                      <w:rPr>
                        <w:sz w:val="18"/>
                      </w:rPr>
                      <w:fldChar w:fldCharType="separate"/>
                    </w:r>
                    <w:r w:rsidR="00BE6E23">
                      <w:rPr>
                        <w:noProof/>
                        <w:sz w:val="18"/>
                      </w:rPr>
                      <w:t>7</w:t>
                    </w:r>
                    <w:r w:rsidRPr="0055412A">
                      <w:rPr>
                        <w:sz w:val="18"/>
                      </w:rPr>
                      <w:fldChar w:fldCharType="end"/>
                    </w:r>
                  </w:p>
                </w:txbxContent>
              </v:textbox>
            </v:rect>
          </w:pict>
        </mc:Fallback>
      </mc:AlternateContent>
    </w:r>
    <w:r>
      <w:rPr>
        <w:noProof/>
        <w:lang w:eastAsia="zh-CN" w:bidi="th-TH"/>
      </w:rPr>
      <mc:AlternateContent>
        <mc:Choice Requires="wps">
          <w:drawing>
            <wp:anchor distT="0" distB="0" distL="114300" distR="114300" simplePos="0" relativeHeight="251659776" behindDoc="0" locked="0" layoutInCell="1" allowOverlap="1">
              <wp:simplePos x="0" y="0"/>
              <wp:positionH relativeFrom="page">
                <wp:posOffset>5192395</wp:posOffset>
              </wp:positionH>
              <wp:positionV relativeFrom="page">
                <wp:posOffset>350520</wp:posOffset>
              </wp:positionV>
              <wp:extent cx="2521585" cy="5397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539750"/>
                      </a:xfrm>
                      <a:prstGeom prst="rect">
                        <a:avLst/>
                      </a:prstGeom>
                      <a:solidFill>
                        <a:srgbClr val="FF99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51919">
                                  <a:alpha val="50000"/>
                                </a:srgbClr>
                              </a:outerShdw>
                            </a:effectLst>
                          </a14:hiddenEffects>
                        </a:ext>
                      </a:extLst>
                    </wps:spPr>
                    <wps:txbx>
                      <w:txbxContent>
                        <w:p w:rsidR="00DE5F50" w:rsidRPr="00E90EC2" w:rsidRDefault="00DE5F50" w:rsidP="005E2946">
                          <w:pPr>
                            <w:rPr>
                              <w:rFonts w:cs="Arial"/>
                              <w:b/>
                              <w:color w:val="FFFFFF"/>
                              <w:sz w:val="30"/>
                              <w:szCs w:val="30"/>
                            </w:rPr>
                          </w:pPr>
                          <w:r>
                            <w:rPr>
                              <w:rFonts w:cs="Arial"/>
                              <w:b/>
                              <w:color w:val="FFFFFF"/>
                              <w:sz w:val="30"/>
                              <w:szCs w:val="30"/>
                            </w:rPr>
                            <w:t>Comunicato Stampa</w:t>
                          </w:r>
                        </w:p>
                      </w:txbxContent>
                    </wps:txbx>
                    <wps:bodyPr rot="0" vert="horz" wrap="square" lIns="259200" tIns="180000" rIns="45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08.85pt;margin-top:27.6pt;width:198.55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" fillcolor="#f90" stroked="f" strokecolor="#f2f2f2" strokeweight="3pt">
              <v:shadow color="#651919" opacity=".5" offset="1pt"/>
              <v:textbox inset="7.2mm,5mm,1.25mm,1.25mm">
                <w:txbxContent>
                  <w:p w:rsidR="00DE5F50" w:rsidRPr="00E90EC2" w:rsidRDefault="00DE5F50" w:rsidP="005E2946">
                    <w:pPr>
                      <w:rPr>
                        <w:rFonts w:cs="Arial"/>
                        <w:b/>
                        <w:color w:val="FFFFFF"/>
                        <w:sz w:val="30"/>
                        <w:szCs w:val="30"/>
                      </w:rPr>
                    </w:pPr>
                    <w:r>
                      <w:rPr>
                        <w:rFonts w:cs="Arial"/>
                        <w:b/>
                        <w:color w:val="FFFFFF"/>
                        <w:sz w:val="30"/>
                        <w:szCs w:val="30"/>
                      </w:rPr>
                      <w:t>Comunicato Stampa</w:t>
                    </w:r>
                  </w:p>
                </w:txbxContent>
              </v:textbox>
              <w10:wrap anchorx="page" anchory="page"/>
            </v:rect>
          </w:pict>
        </mc:Fallback>
      </mc:AlternateContent>
    </w:r>
    <w:r>
      <w:rPr>
        <w:noProof/>
        <w:lang w:eastAsia="zh-CN" w:bidi="th-TH"/>
      </w:rPr>
      <mc:AlternateContent>
        <mc:Choice Requires="wps">
          <w:drawing>
            <wp:anchor distT="4294967291" distB="4294967291" distL="114300" distR="114300" simplePos="0" relativeHeight="251657728" behindDoc="0" locked="0" layoutInCell="1" allowOverlap="1">
              <wp:simplePos x="0" y="0"/>
              <wp:positionH relativeFrom="column">
                <wp:posOffset>-1093470</wp:posOffset>
              </wp:positionH>
              <wp:positionV relativeFrom="paragraph">
                <wp:posOffset>-97791</wp:posOffset>
              </wp:positionV>
              <wp:extent cx="7579995" cy="0"/>
              <wp:effectExtent l="0" t="0" r="190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41B81" id="_x0000_t32" coordsize="21600,21600" o:spt="32" o:oned="t" path="m,l21600,21600e" filled="f">
              <v:path arrowok="t" fillok="f" o:connecttype="none"/>
              <o:lock v:ext="edit" shapetype="t"/>
            </v:shapetype>
            <v:shape id="AutoShape 3" o:spid="_x0000_s1026" type="#_x0000_t32" style="position:absolute;margin-left:-86.1pt;margin-top:-7.7pt;width:596.8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" strokecolor="#f90" strokeweight="1pt"/>
          </w:pict>
        </mc:Fallback>
      </mc:AlternateContent>
    </w:r>
    <w:r>
      <w:rPr>
        <w:noProof/>
        <w:lang w:eastAsia="zh-CN" w:bidi="th-TH"/>
      </w:rPr>
      <mc:AlternateContent>
        <mc:Choice Requires="wps">
          <w:drawing>
            <wp:anchor distT="4294967291" distB="4294967291" distL="114300" distR="114300" simplePos="0" relativeHeight="251656704" behindDoc="0" locked="0" layoutInCell="1" allowOverlap="1">
              <wp:simplePos x="0" y="0"/>
              <wp:positionH relativeFrom="column">
                <wp:posOffset>-1093470</wp:posOffset>
              </wp:positionH>
              <wp:positionV relativeFrom="paragraph">
                <wp:posOffset>92709</wp:posOffset>
              </wp:positionV>
              <wp:extent cx="7579995" cy="0"/>
              <wp:effectExtent l="0" t="0" r="190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CBA18" id="AutoShape 4" o:spid="_x0000_s1026" type="#_x0000_t32" style="position:absolute;margin-left:-86.1pt;margin-top:7.3pt;width:596.8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" strokecolor="#f9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50" w:rsidRPr="0036108C" w:rsidRDefault="009F6C9F">
    <w:pPr>
      <w:pStyle w:val="Intestazione"/>
      <w:rPr>
        <w:lang w:val="en-US"/>
      </w:rPr>
    </w:pPr>
    <w:r>
      <w:rPr>
        <w:noProof/>
        <w:lang w:eastAsia="zh-CN" w:bidi="th-TH"/>
      </w:rPr>
      <mc:AlternateContent>
        <mc:Choice Requires="wps">
          <w:drawing>
            <wp:anchor distT="4294967291" distB="4294967291" distL="114300" distR="114300" simplePos="0" relativeHeight="251660800" behindDoc="0" locked="0" layoutInCell="1" allowOverlap="1">
              <wp:simplePos x="0" y="0"/>
              <wp:positionH relativeFrom="column">
                <wp:posOffset>-1093470</wp:posOffset>
              </wp:positionH>
              <wp:positionV relativeFrom="paragraph">
                <wp:posOffset>1412874</wp:posOffset>
              </wp:positionV>
              <wp:extent cx="7579995" cy="0"/>
              <wp:effectExtent l="0" t="0" r="190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1EFDD" id="_x0000_t32" coordsize="21600,21600" o:spt="32" o:oned="t" path="m,l21600,21600e" filled="f">
              <v:path arrowok="t" fillok="f" o:connecttype="none"/>
              <o:lock v:ext="edit" shapetype="t"/>
            </v:shapetype>
            <v:shape id="AutoShape 6" o:spid="_x0000_s1026" type="#_x0000_t32" style="position:absolute;margin-left:-86.1pt;margin-top:111.25pt;width:596.8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" strokecolor="#f90" strokeweight="1pt"/>
          </w:pict>
        </mc:Fallback>
      </mc:AlternateContent>
    </w:r>
    <w:r>
      <w:rPr>
        <w:noProof/>
        <w:lang w:eastAsia="zh-CN" w:bidi="th-TH"/>
      </w:rPr>
      <mc:AlternateContent>
        <mc:Choice Requires="wps">
          <w:drawing>
            <wp:anchor distT="4294967291" distB="4294967291" distL="114300" distR="114300" simplePos="0" relativeHeight="251658752" behindDoc="0" locked="0" layoutInCell="1" allowOverlap="1">
              <wp:simplePos x="0" y="0"/>
              <wp:positionH relativeFrom="column">
                <wp:posOffset>-1080135</wp:posOffset>
              </wp:positionH>
              <wp:positionV relativeFrom="paragraph">
                <wp:posOffset>142874</wp:posOffset>
              </wp:positionV>
              <wp:extent cx="7579995" cy="0"/>
              <wp:effectExtent l="0" t="0" r="190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C37D3" id="AutoShape 7" o:spid="_x0000_s1026" type="#_x0000_t32" style="position:absolute;margin-left:-85.05pt;margin-top:11.25pt;width:596.8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BEHwIAADw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" strokecolor="white" strokeweight="1pt"/>
          </w:pict>
        </mc:Fallback>
      </mc:AlternateContent>
    </w:r>
    <w:r>
      <w:rPr>
        <w:noProof/>
        <w:lang w:eastAsia="zh-CN" w:bidi="th-TH"/>
      </w:rPr>
      <mc:AlternateContent>
        <mc:Choice Requires="wps">
          <w:drawing>
            <wp:anchor distT="0" distB="0" distL="114300" distR="114300" simplePos="0" relativeHeight="251653632" behindDoc="0" locked="0" layoutInCell="1" allowOverlap="1">
              <wp:simplePos x="0" y="0"/>
              <wp:positionH relativeFrom="page">
                <wp:posOffset>5039995</wp:posOffset>
              </wp:positionH>
              <wp:positionV relativeFrom="page">
                <wp:posOffset>607695</wp:posOffset>
              </wp:positionV>
              <wp:extent cx="2521585" cy="12598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98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6250" id="Rectangle 10" o:spid="_x0000_s1026" style="position:absolute;margin-left:396.85pt;margin-top:47.85pt;width:198.55pt;height:9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" fillcolor="#036" stroked="f">
              <w10:wrap anchorx="page" anchory="page"/>
            </v:rect>
          </w:pict>
        </mc:Fallback>
      </mc:AlternateContent>
    </w:r>
    <w:r>
      <w:rPr>
        <w:noProof/>
        <w:lang w:eastAsia="zh-CN" w:bidi="th-TH"/>
      </w:rPr>
      <mc:AlternateContent>
        <mc:Choice Requires="wps">
          <w:drawing>
            <wp:anchor distT="0" distB="0" distL="114300" distR="114300" simplePos="0" relativeHeight="251662848" behindDoc="0" locked="1" layoutInCell="1" allowOverlap="1">
              <wp:simplePos x="0" y="0"/>
              <wp:positionH relativeFrom="page">
                <wp:posOffset>5229225</wp:posOffset>
              </wp:positionH>
              <wp:positionV relativeFrom="page">
                <wp:posOffset>2141855</wp:posOffset>
              </wp:positionV>
              <wp:extent cx="2000250" cy="6391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50" w:rsidRPr="00651BA7" w:rsidRDefault="009F6C9F" w:rsidP="005E2946">
                          <w:r>
                            <w:rPr>
                              <w:noProof/>
                              <w:lang w:eastAsia="zh-CN" w:bidi="th-TH"/>
                            </w:rPr>
                            <w:drawing>
                              <wp:inline distT="0" distB="0" distL="0" distR="0">
                                <wp:extent cx="1784350" cy="1143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84350" cy="114300"/>
                                        </a:xfrm>
                                        <a:prstGeom prst="rect">
                                          <a:avLst/>
                                        </a:prstGeom>
                                        <a:noFill/>
                                        <a:ln>
                                          <a:noFill/>
                                        </a:ln>
                                      </pic:spPr>
                                    </pic:pic>
                                  </a:graphicData>
                                </a:graphic>
                              </wp:inline>
                            </w:drawing>
                          </w:r>
                        </w:p>
                        <w:p w:rsidR="00DE5F50" w:rsidRDefault="009F6C9F" w:rsidP="005E2946">
                          <w:pPr>
                            <w:ind w:left="42"/>
                            <w:rPr>
                              <w:b/>
                              <w:color w:val="003366"/>
                            </w:rPr>
                          </w:pPr>
                          <w:r w:rsidRPr="0067598B">
                            <w:rPr>
                              <w:rFonts w:eastAsia="BISans" w:cs="Angsana New"/>
                              <w:noProof/>
                              <w:lang w:eastAsia="zh-CN" w:bidi="th-TH"/>
                            </w:rPr>
                            <w:drawing>
                              <wp:inline distT="0" distB="0" distL="0" distR="0">
                                <wp:extent cx="1790700" cy="1200150"/>
                                <wp:effectExtent l="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p>
                        <w:p w:rsidR="00DE5F50" w:rsidRPr="00956D7E" w:rsidRDefault="00DE5F50" w:rsidP="00A75E18">
                          <w:pPr>
                            <w:spacing w:after="0" w:line="240" w:lineRule="auto"/>
                            <w:rPr>
                              <w:b/>
                              <w:color w:val="003366"/>
                            </w:rPr>
                          </w:pPr>
                          <w:r w:rsidRPr="00956D7E">
                            <w:rPr>
                              <w:b/>
                              <w:color w:val="003366"/>
                            </w:rPr>
                            <w:t>Contatti:</w:t>
                          </w:r>
                        </w:p>
                        <w:p w:rsidR="00DE5F50" w:rsidRPr="00956D7E" w:rsidRDefault="00DE5F50" w:rsidP="00A75E18">
                          <w:pPr>
                            <w:spacing w:after="0" w:line="240" w:lineRule="auto"/>
                            <w:rPr>
                              <w:b/>
                              <w:color w:val="003366"/>
                            </w:rPr>
                          </w:pPr>
                          <w:r w:rsidRPr="00956D7E">
                            <w:rPr>
                              <w:b/>
                              <w:color w:val="003366"/>
                            </w:rPr>
                            <w:t>Boehringer Ingelheim</w:t>
                          </w:r>
                        </w:p>
                        <w:p w:rsidR="00DE5F50" w:rsidRPr="00197380" w:rsidRDefault="00DE5F50" w:rsidP="00A75E18">
                          <w:pPr>
                            <w:spacing w:after="0" w:line="240" w:lineRule="auto"/>
                            <w:rPr>
                              <w:b/>
                              <w:color w:val="003366"/>
                            </w:rPr>
                          </w:pPr>
                          <w:r w:rsidRPr="00197380">
                            <w:rPr>
                              <w:b/>
                              <w:color w:val="003366"/>
                            </w:rPr>
                            <w:t>Comunicazione:</w:t>
                          </w:r>
                        </w:p>
                        <w:p w:rsidR="00DE5F50" w:rsidRPr="00956D7E" w:rsidRDefault="00DE5F50" w:rsidP="00A75E18">
                          <w:pPr>
                            <w:pStyle w:val="Intestazione"/>
                            <w:rPr>
                              <w:b/>
                              <w:color w:val="1F497D"/>
                            </w:rPr>
                          </w:pPr>
                        </w:p>
                        <w:p w:rsidR="00DE5F50" w:rsidRPr="00956D7E" w:rsidRDefault="00DE5F50" w:rsidP="00A75E18">
                          <w:pPr>
                            <w:pStyle w:val="Intestazione"/>
                            <w:jc w:val="both"/>
                          </w:pPr>
                          <w:r w:rsidRPr="00956D7E">
                            <w:t>Marina Guffanti</w:t>
                          </w:r>
                        </w:p>
                        <w:p w:rsidR="00DE5F50" w:rsidRPr="00956D7E" w:rsidRDefault="00DE5F50" w:rsidP="00A75E18">
                          <w:pPr>
                            <w:pStyle w:val="Intestazione"/>
                            <w:jc w:val="both"/>
                            <w:rPr>
                              <w:lang w:val="en-US"/>
                            </w:rPr>
                          </w:pPr>
                          <w:r w:rsidRPr="00956D7E">
                            <w:rPr>
                              <w:lang w:val="en-US"/>
                            </w:rPr>
                            <w:t>Phone: + 39 – 02 5355453</w:t>
                          </w:r>
                        </w:p>
                        <w:p w:rsidR="00DE5F50" w:rsidRPr="00956D7E" w:rsidRDefault="00DE5F50" w:rsidP="00A75E18">
                          <w:pPr>
                            <w:pStyle w:val="Intestazione"/>
                            <w:jc w:val="both"/>
                            <w:rPr>
                              <w:lang w:val="en-US"/>
                            </w:rPr>
                          </w:pPr>
                          <w:r w:rsidRPr="00956D7E">
                            <w:rPr>
                              <w:lang w:val="en-US"/>
                            </w:rPr>
                            <w:t>Cell. +39 348 3995284</w:t>
                          </w:r>
                        </w:p>
                        <w:p w:rsidR="00DE5F50" w:rsidRPr="00956D7E" w:rsidRDefault="00DE5F50" w:rsidP="00A75E18">
                          <w:pPr>
                            <w:pStyle w:val="Intestazione"/>
                            <w:jc w:val="both"/>
                            <w:rPr>
                              <w:lang w:val="en-US"/>
                            </w:rPr>
                          </w:pPr>
                          <w:r w:rsidRPr="00956D7E">
                            <w:rPr>
                              <w:lang w:val="en-US"/>
                            </w:rPr>
                            <w:t>e- mail:</w:t>
                          </w:r>
                        </w:p>
                        <w:p w:rsidR="00DE5F50" w:rsidRDefault="00BE6E23" w:rsidP="00A75E18">
                          <w:pPr>
                            <w:spacing w:after="0" w:line="240" w:lineRule="auto"/>
                            <w:rPr>
                              <w:lang w:val="en-US"/>
                            </w:rPr>
                          </w:pPr>
                          <w:hyperlink r:id="rId3" w:history="1">
                            <w:r w:rsidR="00DE5F50" w:rsidRPr="009D1A01">
                              <w:rPr>
                                <w:rStyle w:val="Collegamentoipertestuale"/>
                                <w:lang w:val="en-US"/>
                              </w:rPr>
                              <w:t>marina.guffanti@boehringer-ingelheim.com</w:t>
                            </w:r>
                          </w:hyperlink>
                        </w:p>
                        <w:p w:rsidR="00DE5F50" w:rsidRPr="00956D7E" w:rsidRDefault="00DE5F50" w:rsidP="00A75E18">
                          <w:pPr>
                            <w:spacing w:after="0" w:line="240" w:lineRule="auto"/>
                            <w:rPr>
                              <w:lang w:val="en-US"/>
                            </w:rPr>
                          </w:pPr>
                        </w:p>
                        <w:p w:rsidR="00DE5F50" w:rsidRDefault="009F6C9F" w:rsidP="005E2946">
                          <w:r>
                            <w:rPr>
                              <w:noProof/>
                              <w:lang w:eastAsia="zh-CN" w:bidi="th-TH"/>
                            </w:rPr>
                            <w:drawing>
                              <wp:inline distT="0" distB="0" distL="0" distR="0">
                                <wp:extent cx="1797050" cy="11430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97050" cy="114300"/>
                                        </a:xfrm>
                                        <a:prstGeom prst="rect">
                                          <a:avLst/>
                                        </a:prstGeom>
                                        <a:noFill/>
                                        <a:ln>
                                          <a:noFill/>
                                        </a:ln>
                                      </pic:spPr>
                                    </pic:pic>
                                  </a:graphicData>
                                </a:graphic>
                              </wp:inline>
                            </w:drawing>
                          </w:r>
                          <w:r>
                            <w:rPr>
                              <w:noProof/>
                              <w:lang w:eastAsia="zh-CN" w:bidi="th-TH"/>
                            </w:rPr>
                            <w:drawing>
                              <wp:inline distT="0" distB="0" distL="0" distR="0">
                                <wp:extent cx="1803400" cy="1187450"/>
                                <wp:effectExtent l="0" t="0" r="0" b="0"/>
                                <wp:docPr id="12"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1187450"/>
                                        </a:xfrm>
                                        <a:prstGeom prst="rect">
                                          <a:avLst/>
                                        </a:prstGeom>
                                        <a:noFill/>
                                        <a:ln>
                                          <a:noFill/>
                                        </a:ln>
                                      </pic:spPr>
                                    </pic:pic>
                                  </a:graphicData>
                                </a:graphic>
                              </wp:inline>
                            </w:drawing>
                          </w:r>
                        </w:p>
                        <w:p w:rsidR="00DE5F50" w:rsidRPr="00324A83" w:rsidRDefault="00DE5F50" w:rsidP="005E2946">
                          <w:pPr>
                            <w:rPr>
                              <w:b/>
                              <w:color w:val="003366"/>
                            </w:rPr>
                          </w:pPr>
                          <w:r w:rsidRPr="00324A83">
                            <w:rPr>
                              <w:b/>
                              <w:color w:val="003366"/>
                            </w:rPr>
                            <w:t>Per maggiori informazioni</w:t>
                          </w:r>
                        </w:p>
                        <w:p w:rsidR="00DE5F50" w:rsidRPr="00324A83" w:rsidRDefault="00BE6E23" w:rsidP="005E2946">
                          <w:pPr>
                            <w:spacing w:after="120"/>
                            <w:ind w:left="42"/>
                          </w:pPr>
                          <w:hyperlink r:id="rId5" w:history="1">
                            <w:r w:rsidR="00DE5F50" w:rsidRPr="00324A83">
                              <w:rPr>
                                <w:rStyle w:val="Collegamentoipertestuale"/>
                              </w:rPr>
                              <w:t>www.boehringer-ingelheim.com</w:t>
                            </w:r>
                          </w:hyperlink>
                        </w:p>
                        <w:p w:rsidR="00DE5F50" w:rsidRPr="002C4B3E" w:rsidRDefault="009F6C9F" w:rsidP="005E2946">
                          <w:r>
                            <w:rPr>
                              <w:noProof/>
                              <w:lang w:eastAsia="zh-CN" w:bidi="th-TH"/>
                            </w:rPr>
                            <w:drawing>
                              <wp:inline distT="0" distB="0" distL="0" distR="0">
                                <wp:extent cx="1784350" cy="3683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11.75pt;margin-top:168.65pt;width:157.5pt;height:50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" stroked="f">
              <v:textbox>
                <w:txbxContent>
                  <w:p w:rsidR="00DE5F50" w:rsidRPr="00651BA7" w:rsidRDefault="009F6C9F" w:rsidP="005E2946">
                    <w:r>
                      <w:rPr>
                        <w:noProof/>
                        <w:lang w:eastAsia="zh-CN" w:bidi="th-TH"/>
                      </w:rPr>
                      <w:drawing>
                        <wp:inline distT="0" distB="0" distL="0" distR="0">
                          <wp:extent cx="1784350" cy="1143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84350" cy="114300"/>
                                  </a:xfrm>
                                  <a:prstGeom prst="rect">
                                    <a:avLst/>
                                  </a:prstGeom>
                                  <a:noFill/>
                                  <a:ln>
                                    <a:noFill/>
                                  </a:ln>
                                </pic:spPr>
                              </pic:pic>
                            </a:graphicData>
                          </a:graphic>
                        </wp:inline>
                      </w:drawing>
                    </w:r>
                  </w:p>
                  <w:p w:rsidR="00DE5F50" w:rsidRDefault="009F6C9F" w:rsidP="005E2946">
                    <w:pPr>
                      <w:ind w:left="42"/>
                      <w:rPr>
                        <w:b/>
                        <w:color w:val="003366"/>
                      </w:rPr>
                    </w:pPr>
                    <w:r w:rsidRPr="0067598B">
                      <w:rPr>
                        <w:rFonts w:eastAsia="BISans" w:cs="Angsana New"/>
                        <w:noProof/>
                        <w:lang w:eastAsia="zh-CN" w:bidi="th-TH"/>
                      </w:rPr>
                      <w:drawing>
                        <wp:inline distT="0" distB="0" distL="0" distR="0">
                          <wp:extent cx="1790700" cy="1200150"/>
                          <wp:effectExtent l="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p>
                  <w:p w:rsidR="00DE5F50" w:rsidRPr="00956D7E" w:rsidRDefault="00DE5F50" w:rsidP="00A75E18">
                    <w:pPr>
                      <w:spacing w:after="0" w:line="240" w:lineRule="auto"/>
                      <w:rPr>
                        <w:b/>
                        <w:color w:val="003366"/>
                      </w:rPr>
                    </w:pPr>
                    <w:r w:rsidRPr="00956D7E">
                      <w:rPr>
                        <w:b/>
                        <w:color w:val="003366"/>
                      </w:rPr>
                      <w:t>Contatti:</w:t>
                    </w:r>
                  </w:p>
                  <w:p w:rsidR="00DE5F50" w:rsidRPr="00956D7E" w:rsidRDefault="00DE5F50" w:rsidP="00A75E18">
                    <w:pPr>
                      <w:spacing w:after="0" w:line="240" w:lineRule="auto"/>
                      <w:rPr>
                        <w:b/>
                        <w:color w:val="003366"/>
                      </w:rPr>
                    </w:pPr>
                    <w:r w:rsidRPr="00956D7E">
                      <w:rPr>
                        <w:b/>
                        <w:color w:val="003366"/>
                      </w:rPr>
                      <w:t>Boehringer Ingelheim</w:t>
                    </w:r>
                  </w:p>
                  <w:p w:rsidR="00DE5F50" w:rsidRPr="00197380" w:rsidRDefault="00DE5F50" w:rsidP="00A75E18">
                    <w:pPr>
                      <w:spacing w:after="0" w:line="240" w:lineRule="auto"/>
                      <w:rPr>
                        <w:b/>
                        <w:color w:val="003366"/>
                      </w:rPr>
                    </w:pPr>
                    <w:r w:rsidRPr="00197380">
                      <w:rPr>
                        <w:b/>
                        <w:color w:val="003366"/>
                      </w:rPr>
                      <w:t>Comunicazione:</w:t>
                    </w:r>
                  </w:p>
                  <w:p w:rsidR="00DE5F50" w:rsidRPr="00956D7E" w:rsidRDefault="00DE5F50" w:rsidP="00A75E18">
                    <w:pPr>
                      <w:pStyle w:val="Intestazione"/>
                      <w:rPr>
                        <w:b/>
                        <w:color w:val="1F497D"/>
                      </w:rPr>
                    </w:pPr>
                  </w:p>
                  <w:p w:rsidR="00DE5F50" w:rsidRPr="00956D7E" w:rsidRDefault="00DE5F50" w:rsidP="00A75E18">
                    <w:pPr>
                      <w:pStyle w:val="Intestazione"/>
                      <w:jc w:val="both"/>
                    </w:pPr>
                    <w:r w:rsidRPr="00956D7E">
                      <w:t>Marina Guffanti</w:t>
                    </w:r>
                  </w:p>
                  <w:p w:rsidR="00DE5F50" w:rsidRPr="00956D7E" w:rsidRDefault="00DE5F50" w:rsidP="00A75E18">
                    <w:pPr>
                      <w:pStyle w:val="Intestazione"/>
                      <w:jc w:val="both"/>
                      <w:rPr>
                        <w:lang w:val="en-US"/>
                      </w:rPr>
                    </w:pPr>
                    <w:r w:rsidRPr="00956D7E">
                      <w:rPr>
                        <w:lang w:val="en-US"/>
                      </w:rPr>
                      <w:t>Phone: + 39 – 02 5355453</w:t>
                    </w:r>
                  </w:p>
                  <w:p w:rsidR="00DE5F50" w:rsidRPr="00956D7E" w:rsidRDefault="00DE5F50" w:rsidP="00A75E18">
                    <w:pPr>
                      <w:pStyle w:val="Intestazione"/>
                      <w:jc w:val="both"/>
                      <w:rPr>
                        <w:lang w:val="en-US"/>
                      </w:rPr>
                    </w:pPr>
                    <w:r w:rsidRPr="00956D7E">
                      <w:rPr>
                        <w:lang w:val="en-US"/>
                      </w:rPr>
                      <w:t>Cell. +39 348 3995284</w:t>
                    </w:r>
                  </w:p>
                  <w:p w:rsidR="00DE5F50" w:rsidRPr="00956D7E" w:rsidRDefault="00DE5F50" w:rsidP="00A75E18">
                    <w:pPr>
                      <w:pStyle w:val="Intestazione"/>
                      <w:jc w:val="both"/>
                      <w:rPr>
                        <w:lang w:val="en-US"/>
                      </w:rPr>
                    </w:pPr>
                    <w:r w:rsidRPr="00956D7E">
                      <w:rPr>
                        <w:lang w:val="en-US"/>
                      </w:rPr>
                      <w:t>e- mail:</w:t>
                    </w:r>
                  </w:p>
                  <w:p w:rsidR="00DE5F50" w:rsidRDefault="00BE6E23" w:rsidP="00A75E18">
                    <w:pPr>
                      <w:spacing w:after="0" w:line="240" w:lineRule="auto"/>
                      <w:rPr>
                        <w:lang w:val="en-US"/>
                      </w:rPr>
                    </w:pPr>
                    <w:hyperlink r:id="rId7" w:history="1">
                      <w:r w:rsidR="00DE5F50" w:rsidRPr="009D1A01">
                        <w:rPr>
                          <w:rStyle w:val="Collegamentoipertestuale"/>
                          <w:lang w:val="en-US"/>
                        </w:rPr>
                        <w:t>marina.guffanti@boehringer-ingelheim.com</w:t>
                      </w:r>
                    </w:hyperlink>
                  </w:p>
                  <w:p w:rsidR="00DE5F50" w:rsidRPr="00956D7E" w:rsidRDefault="00DE5F50" w:rsidP="00A75E18">
                    <w:pPr>
                      <w:spacing w:after="0" w:line="240" w:lineRule="auto"/>
                      <w:rPr>
                        <w:lang w:val="en-US"/>
                      </w:rPr>
                    </w:pPr>
                  </w:p>
                  <w:p w:rsidR="00DE5F50" w:rsidRDefault="009F6C9F" w:rsidP="005E2946">
                    <w:r>
                      <w:rPr>
                        <w:noProof/>
                        <w:lang w:eastAsia="zh-CN" w:bidi="th-TH"/>
                      </w:rPr>
                      <w:drawing>
                        <wp:inline distT="0" distB="0" distL="0" distR="0">
                          <wp:extent cx="1797050" cy="11430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97050" cy="114300"/>
                                  </a:xfrm>
                                  <a:prstGeom prst="rect">
                                    <a:avLst/>
                                  </a:prstGeom>
                                  <a:noFill/>
                                  <a:ln>
                                    <a:noFill/>
                                  </a:ln>
                                </pic:spPr>
                              </pic:pic>
                            </a:graphicData>
                          </a:graphic>
                        </wp:inline>
                      </w:drawing>
                    </w:r>
                    <w:r>
                      <w:rPr>
                        <w:noProof/>
                        <w:lang w:eastAsia="zh-CN" w:bidi="th-TH"/>
                      </w:rPr>
                      <w:drawing>
                        <wp:inline distT="0" distB="0" distL="0" distR="0">
                          <wp:extent cx="1803400" cy="1187450"/>
                          <wp:effectExtent l="0" t="0" r="0" b="0"/>
                          <wp:docPr id="12"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1187450"/>
                                  </a:xfrm>
                                  <a:prstGeom prst="rect">
                                    <a:avLst/>
                                  </a:prstGeom>
                                  <a:noFill/>
                                  <a:ln>
                                    <a:noFill/>
                                  </a:ln>
                                </pic:spPr>
                              </pic:pic>
                            </a:graphicData>
                          </a:graphic>
                        </wp:inline>
                      </w:drawing>
                    </w:r>
                  </w:p>
                  <w:p w:rsidR="00DE5F50" w:rsidRPr="00324A83" w:rsidRDefault="00DE5F50" w:rsidP="005E2946">
                    <w:pPr>
                      <w:rPr>
                        <w:b/>
                        <w:color w:val="003366"/>
                      </w:rPr>
                    </w:pPr>
                    <w:r w:rsidRPr="00324A83">
                      <w:rPr>
                        <w:b/>
                        <w:color w:val="003366"/>
                      </w:rPr>
                      <w:t>Per maggiori informazioni</w:t>
                    </w:r>
                  </w:p>
                  <w:p w:rsidR="00DE5F50" w:rsidRPr="00324A83" w:rsidRDefault="00BE6E23" w:rsidP="005E2946">
                    <w:pPr>
                      <w:spacing w:after="120"/>
                      <w:ind w:left="42"/>
                    </w:pPr>
                    <w:hyperlink r:id="rId8" w:history="1">
                      <w:r w:rsidR="00DE5F50" w:rsidRPr="00324A83">
                        <w:rPr>
                          <w:rStyle w:val="Collegamentoipertestuale"/>
                        </w:rPr>
                        <w:t>www.boehringer-ingelheim.com</w:t>
                      </w:r>
                    </w:hyperlink>
                  </w:p>
                  <w:p w:rsidR="00DE5F50" w:rsidRPr="002C4B3E" w:rsidRDefault="009F6C9F" w:rsidP="005E2946">
                    <w:r>
                      <w:rPr>
                        <w:noProof/>
                        <w:lang w:eastAsia="zh-CN" w:bidi="th-TH"/>
                      </w:rPr>
                      <w:drawing>
                        <wp:inline distT="0" distB="0" distL="0" distR="0">
                          <wp:extent cx="1784350" cy="3683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8300"/>
                                  </a:xfrm>
                                  <a:prstGeom prst="rect">
                                    <a:avLst/>
                                  </a:prstGeom>
                                  <a:noFill/>
                                  <a:ln>
                                    <a:noFill/>
                                  </a:ln>
                                </pic:spPr>
                              </pic:pic>
                            </a:graphicData>
                          </a:graphic>
                        </wp:inline>
                      </w:drawing>
                    </w:r>
                  </w:p>
                </w:txbxContent>
              </v:textbox>
              <w10:wrap anchorx="page" anchory="page"/>
              <w10:anchorlock/>
            </v:shape>
          </w:pict>
        </mc:Fallback>
      </mc:AlternateContent>
    </w:r>
    <w:r>
      <w:rPr>
        <w:noProof/>
        <w:lang w:eastAsia="zh-CN" w:bidi="th-TH"/>
      </w:rPr>
      <mc:AlternateContent>
        <mc:Choice Requires="wps">
          <w:drawing>
            <wp:anchor distT="0" distB="0" distL="114300" distR="114300" simplePos="0" relativeHeight="251655680" behindDoc="0" locked="1" layoutInCell="0" allowOverlap="1">
              <wp:simplePos x="0" y="0"/>
              <wp:positionH relativeFrom="page">
                <wp:posOffset>520700</wp:posOffset>
              </wp:positionH>
              <wp:positionV relativeFrom="page">
                <wp:posOffset>1166495</wp:posOffset>
              </wp:positionV>
              <wp:extent cx="4434205" cy="6362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F50" w:rsidRPr="00E90EC2" w:rsidRDefault="00DE5F50" w:rsidP="005E2946">
                          <w:pPr>
                            <w:rPr>
                              <w:rFonts w:cs="Arial"/>
                              <w:b/>
                              <w:color w:val="FFFFFF"/>
                              <w:sz w:val="72"/>
                              <w:szCs w:val="72"/>
                            </w:rPr>
                          </w:pPr>
                          <w:r>
                            <w:rPr>
                              <w:rFonts w:cs="Arial"/>
                              <w:b/>
                              <w:color w:val="FFFFFF"/>
                              <w:sz w:val="72"/>
                              <w:szCs w:val="72"/>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pt;margin-top:91.85pt;width:349.15pt;height:5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C0swIAALA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" o:allowincell="f" filled="f" stroked="f">
              <v:textbox inset="0,0,0,0">
                <w:txbxContent>
                  <w:p w:rsidR="00DE5F50" w:rsidRPr="00E90EC2" w:rsidRDefault="00DE5F50" w:rsidP="005E2946">
                    <w:pPr>
                      <w:rPr>
                        <w:rFonts w:cs="Arial"/>
                        <w:b/>
                        <w:color w:val="FFFFFF"/>
                        <w:sz w:val="72"/>
                        <w:szCs w:val="72"/>
                      </w:rPr>
                    </w:pPr>
                    <w:r>
                      <w:rPr>
                        <w:rFonts w:cs="Arial"/>
                        <w:b/>
                        <w:color w:val="FFFFFF"/>
                        <w:sz w:val="72"/>
                        <w:szCs w:val="72"/>
                      </w:rPr>
                      <w:t>Comunicato Stampa</w:t>
                    </w:r>
                  </w:p>
                </w:txbxContent>
              </v:textbox>
              <w10:wrap anchorx="page" anchory="page"/>
              <w10:anchorlock/>
            </v:shape>
          </w:pict>
        </mc:Fallback>
      </mc:AlternateContent>
    </w:r>
    <w:r>
      <w:rPr>
        <w:noProof/>
        <w:lang w:eastAsia="zh-CN" w:bidi="th-TH"/>
      </w:rPr>
      <w:drawing>
        <wp:anchor distT="0" distB="0" distL="114300" distR="114300" simplePos="0" relativeHeight="251661824" behindDoc="0" locked="0" layoutInCell="1" allowOverlap="1">
          <wp:simplePos x="0" y="0"/>
          <wp:positionH relativeFrom="page">
            <wp:posOffset>5431155</wp:posOffset>
          </wp:positionH>
          <wp:positionV relativeFrom="page">
            <wp:posOffset>954405</wp:posOffset>
          </wp:positionV>
          <wp:extent cx="1543685" cy="478155"/>
          <wp:effectExtent l="0" t="0" r="0" b="0"/>
          <wp:wrapNone/>
          <wp:docPr id="21" name="Bild 1" descr="BI-Logo_36pt_blue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ogo_36pt_blue_n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85" cy="478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bidi="th-TH"/>
      </w:rPr>
      <mc:AlternateContent>
        <mc:Choice Requires="wps">
          <w:drawing>
            <wp:anchor distT="0" distB="0" distL="114300" distR="114300" simplePos="0" relativeHeight="251652608" behindDoc="1" locked="1" layoutInCell="1" allowOverlap="1">
              <wp:simplePos x="0" y="0"/>
              <wp:positionH relativeFrom="page">
                <wp:posOffset>0</wp:posOffset>
              </wp:positionH>
              <wp:positionV relativeFrom="page">
                <wp:posOffset>601345</wp:posOffset>
              </wp:positionV>
              <wp:extent cx="5039995" cy="125984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259840"/>
                      </a:xfrm>
                      <a:prstGeom prst="rect">
                        <a:avLst/>
                      </a:prstGeom>
                      <a:solidFill>
                        <a:srgbClr val="FF99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5191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76EDC" id="Rectangle 11" o:spid="_x0000_s1026" style="position:absolute;margin-left:0;margin-top:47.35pt;width:396.85pt;height:99.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" fillcolor="#f90" stroked="f" strokecolor="#f2f2f2" strokeweight="3pt">
              <v:shadow color="#651919" opacity=".5" offse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E03"/>
    <w:multiLevelType w:val="multilevel"/>
    <w:tmpl w:val="7E54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F57BE"/>
    <w:multiLevelType w:val="hybridMultilevel"/>
    <w:tmpl w:val="A1C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75F49"/>
    <w:multiLevelType w:val="hybridMultilevel"/>
    <w:tmpl w:val="73B4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73895"/>
    <w:multiLevelType w:val="hybridMultilevel"/>
    <w:tmpl w:val="CF82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4689D"/>
    <w:multiLevelType w:val="hybridMultilevel"/>
    <w:tmpl w:val="53EAA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C02B00"/>
    <w:multiLevelType w:val="hybridMultilevel"/>
    <w:tmpl w:val="CA84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32077"/>
    <w:multiLevelType w:val="hybridMultilevel"/>
    <w:tmpl w:val="79A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62D25"/>
    <w:multiLevelType w:val="hybridMultilevel"/>
    <w:tmpl w:val="AC0A68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C1359F"/>
    <w:multiLevelType w:val="hybridMultilevel"/>
    <w:tmpl w:val="E836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0553A"/>
    <w:multiLevelType w:val="hybridMultilevel"/>
    <w:tmpl w:val="A7364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74E2B"/>
    <w:multiLevelType w:val="hybridMultilevel"/>
    <w:tmpl w:val="08CAA12E"/>
    <w:lvl w:ilvl="0" w:tplc="D48693F8">
      <w:start w:val="1"/>
      <w:numFmt w:val="decimal"/>
      <w:lvlText w:val="%1."/>
      <w:lvlJc w:val="left"/>
      <w:pPr>
        <w:ind w:left="360" w:hanging="360"/>
      </w:pPr>
      <w:rPr>
        <w:rFonts w:ascii="BISans" w:hAnsi="BISan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9B1552"/>
    <w:multiLevelType w:val="hybridMultilevel"/>
    <w:tmpl w:val="46127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BB5788"/>
    <w:multiLevelType w:val="hybridMultilevel"/>
    <w:tmpl w:val="A61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9176F"/>
    <w:multiLevelType w:val="hybridMultilevel"/>
    <w:tmpl w:val="51E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C7EEB"/>
    <w:multiLevelType w:val="hybridMultilevel"/>
    <w:tmpl w:val="B120A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AE31C5"/>
    <w:multiLevelType w:val="hybridMultilevel"/>
    <w:tmpl w:val="C6F8B8F4"/>
    <w:lvl w:ilvl="0" w:tplc="04100001">
      <w:start w:val="1"/>
      <w:numFmt w:val="bullet"/>
      <w:lvlText w:val=""/>
      <w:lvlJc w:val="left"/>
      <w:pPr>
        <w:ind w:left="360" w:hanging="360"/>
      </w:pPr>
      <w:rPr>
        <w:rFonts w:ascii="Symbol" w:hAnsi="Symbol" w:hint="default"/>
      </w:rPr>
    </w:lvl>
    <w:lvl w:ilvl="1" w:tplc="EEA82CAE">
      <w:numFmt w:val="bullet"/>
      <w:lvlText w:val="•"/>
      <w:lvlJc w:val="left"/>
      <w:pPr>
        <w:ind w:left="1080" w:hanging="360"/>
      </w:pPr>
      <w:rPr>
        <w:rFonts w:ascii="inherit" w:eastAsia="Times New Roman" w:hAnsi="inherit"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E925D8A"/>
    <w:multiLevelType w:val="hybridMultilevel"/>
    <w:tmpl w:val="8C8AF798"/>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7" w15:restartNumberingAfterBreak="0">
    <w:nsid w:val="60AF722C"/>
    <w:multiLevelType w:val="hybridMultilevel"/>
    <w:tmpl w:val="9B8A80F2"/>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8" w15:restartNumberingAfterBreak="0">
    <w:nsid w:val="64BA04EC"/>
    <w:multiLevelType w:val="hybridMultilevel"/>
    <w:tmpl w:val="06D0C0FA"/>
    <w:lvl w:ilvl="0" w:tplc="F0CEC4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D0D76"/>
    <w:multiLevelType w:val="hybridMultilevel"/>
    <w:tmpl w:val="A5BA7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0D45AC"/>
    <w:multiLevelType w:val="hybridMultilevel"/>
    <w:tmpl w:val="902A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10BCB"/>
    <w:multiLevelType w:val="hybridMultilevel"/>
    <w:tmpl w:val="CB6A4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203893"/>
    <w:multiLevelType w:val="hybridMultilevel"/>
    <w:tmpl w:val="2288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2"/>
  </w:num>
  <w:num w:numId="5">
    <w:abstractNumId w:val="12"/>
  </w:num>
  <w:num w:numId="6">
    <w:abstractNumId w:val="14"/>
  </w:num>
  <w:num w:numId="7">
    <w:abstractNumId w:val="16"/>
  </w:num>
  <w:num w:numId="8">
    <w:abstractNumId w:val="1"/>
  </w:num>
  <w:num w:numId="9">
    <w:abstractNumId w:val="0"/>
  </w:num>
  <w:num w:numId="10">
    <w:abstractNumId w:val="6"/>
  </w:num>
  <w:num w:numId="11">
    <w:abstractNumId w:val="21"/>
  </w:num>
  <w:num w:numId="12">
    <w:abstractNumId w:val="4"/>
  </w:num>
  <w:num w:numId="13">
    <w:abstractNumId w:val="15"/>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22"/>
  </w:num>
  <w:num w:numId="19">
    <w:abstractNumId w:val="20"/>
  </w:num>
  <w:num w:numId="20">
    <w:abstractNumId w:val="5"/>
  </w:num>
  <w:num w:numId="21">
    <w:abstractNumId w:val="3"/>
  </w:num>
  <w:num w:numId="22">
    <w:abstractNumId w:val="9"/>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6145"/>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43"/>
    <w:rsid w:val="000233D3"/>
    <w:rsid w:val="00024DD8"/>
    <w:rsid w:val="00062AA1"/>
    <w:rsid w:val="00062C72"/>
    <w:rsid w:val="00072B40"/>
    <w:rsid w:val="00085D47"/>
    <w:rsid w:val="000912EA"/>
    <w:rsid w:val="000B5185"/>
    <w:rsid w:val="000C26BB"/>
    <w:rsid w:val="000D7014"/>
    <w:rsid w:val="0010751B"/>
    <w:rsid w:val="0013505B"/>
    <w:rsid w:val="00137D35"/>
    <w:rsid w:val="00142696"/>
    <w:rsid w:val="0014331A"/>
    <w:rsid w:val="0019547E"/>
    <w:rsid w:val="0019717F"/>
    <w:rsid w:val="001C65B1"/>
    <w:rsid w:val="001E1700"/>
    <w:rsid w:val="001E30CE"/>
    <w:rsid w:val="0020498F"/>
    <w:rsid w:val="0021781E"/>
    <w:rsid w:val="00221DF5"/>
    <w:rsid w:val="00227DB6"/>
    <w:rsid w:val="002355A7"/>
    <w:rsid w:val="00243F9B"/>
    <w:rsid w:val="0024668A"/>
    <w:rsid w:val="00251758"/>
    <w:rsid w:val="00271C01"/>
    <w:rsid w:val="00272877"/>
    <w:rsid w:val="0029629C"/>
    <w:rsid w:val="002A40C1"/>
    <w:rsid w:val="002C3CF5"/>
    <w:rsid w:val="002C4164"/>
    <w:rsid w:val="002D79EF"/>
    <w:rsid w:val="00324A83"/>
    <w:rsid w:val="0036377C"/>
    <w:rsid w:val="00363E91"/>
    <w:rsid w:val="00365377"/>
    <w:rsid w:val="00367610"/>
    <w:rsid w:val="00367F4C"/>
    <w:rsid w:val="00376DC9"/>
    <w:rsid w:val="00381EDD"/>
    <w:rsid w:val="00396490"/>
    <w:rsid w:val="00396C2B"/>
    <w:rsid w:val="003A1A46"/>
    <w:rsid w:val="003D0975"/>
    <w:rsid w:val="003F0417"/>
    <w:rsid w:val="003F5C4D"/>
    <w:rsid w:val="004044E5"/>
    <w:rsid w:val="00407D8E"/>
    <w:rsid w:val="00410D8E"/>
    <w:rsid w:val="00415BE2"/>
    <w:rsid w:val="0043247C"/>
    <w:rsid w:val="00452E42"/>
    <w:rsid w:val="0045569E"/>
    <w:rsid w:val="004617F6"/>
    <w:rsid w:val="00472C99"/>
    <w:rsid w:val="00481DB6"/>
    <w:rsid w:val="00497E3A"/>
    <w:rsid w:val="004A0372"/>
    <w:rsid w:val="004B7F04"/>
    <w:rsid w:val="004E6AA3"/>
    <w:rsid w:val="00514952"/>
    <w:rsid w:val="00516BF2"/>
    <w:rsid w:val="00544157"/>
    <w:rsid w:val="00581945"/>
    <w:rsid w:val="00590103"/>
    <w:rsid w:val="00592982"/>
    <w:rsid w:val="005A3C83"/>
    <w:rsid w:val="005A6128"/>
    <w:rsid w:val="005B62BC"/>
    <w:rsid w:val="005C272D"/>
    <w:rsid w:val="005C7F08"/>
    <w:rsid w:val="005E0FCC"/>
    <w:rsid w:val="005E2946"/>
    <w:rsid w:val="005E39EF"/>
    <w:rsid w:val="005F1067"/>
    <w:rsid w:val="00601BDE"/>
    <w:rsid w:val="00605541"/>
    <w:rsid w:val="00606EA2"/>
    <w:rsid w:val="0061696F"/>
    <w:rsid w:val="0066719B"/>
    <w:rsid w:val="0067598B"/>
    <w:rsid w:val="00683BCC"/>
    <w:rsid w:val="00685517"/>
    <w:rsid w:val="006A26A8"/>
    <w:rsid w:val="006B7EF4"/>
    <w:rsid w:val="006C1C01"/>
    <w:rsid w:val="006C3937"/>
    <w:rsid w:val="006C7C99"/>
    <w:rsid w:val="006E13D3"/>
    <w:rsid w:val="00716577"/>
    <w:rsid w:val="00726444"/>
    <w:rsid w:val="007601CC"/>
    <w:rsid w:val="00763712"/>
    <w:rsid w:val="00764DD6"/>
    <w:rsid w:val="007867AA"/>
    <w:rsid w:val="007B04BB"/>
    <w:rsid w:val="007B0CD9"/>
    <w:rsid w:val="007C2358"/>
    <w:rsid w:val="007C65F8"/>
    <w:rsid w:val="007D58E0"/>
    <w:rsid w:val="007E36CA"/>
    <w:rsid w:val="008141EA"/>
    <w:rsid w:val="00825F5D"/>
    <w:rsid w:val="008437DB"/>
    <w:rsid w:val="00875A4E"/>
    <w:rsid w:val="0088742C"/>
    <w:rsid w:val="00895D7A"/>
    <w:rsid w:val="008A3587"/>
    <w:rsid w:val="008D3232"/>
    <w:rsid w:val="008D3E31"/>
    <w:rsid w:val="008D4C12"/>
    <w:rsid w:val="008E0EE7"/>
    <w:rsid w:val="008E1392"/>
    <w:rsid w:val="00905933"/>
    <w:rsid w:val="0091619D"/>
    <w:rsid w:val="009309EE"/>
    <w:rsid w:val="0094079C"/>
    <w:rsid w:val="00954330"/>
    <w:rsid w:val="00962262"/>
    <w:rsid w:val="00977337"/>
    <w:rsid w:val="00987DE1"/>
    <w:rsid w:val="009A0B13"/>
    <w:rsid w:val="009C3479"/>
    <w:rsid w:val="009E4CA9"/>
    <w:rsid w:val="009F6C9F"/>
    <w:rsid w:val="00A02962"/>
    <w:rsid w:val="00A14D70"/>
    <w:rsid w:val="00A20932"/>
    <w:rsid w:val="00A25A26"/>
    <w:rsid w:val="00A75E18"/>
    <w:rsid w:val="00A82C85"/>
    <w:rsid w:val="00A9517E"/>
    <w:rsid w:val="00AA1797"/>
    <w:rsid w:val="00AA2F97"/>
    <w:rsid w:val="00AA7BE2"/>
    <w:rsid w:val="00AC725B"/>
    <w:rsid w:val="00AC7343"/>
    <w:rsid w:val="00AD2A70"/>
    <w:rsid w:val="00AD67D8"/>
    <w:rsid w:val="00AF10AE"/>
    <w:rsid w:val="00B0422F"/>
    <w:rsid w:val="00B1216F"/>
    <w:rsid w:val="00B35F42"/>
    <w:rsid w:val="00B5162D"/>
    <w:rsid w:val="00B52D16"/>
    <w:rsid w:val="00B574A0"/>
    <w:rsid w:val="00B6468C"/>
    <w:rsid w:val="00B74F10"/>
    <w:rsid w:val="00B81F9E"/>
    <w:rsid w:val="00B833E9"/>
    <w:rsid w:val="00B90135"/>
    <w:rsid w:val="00BD1978"/>
    <w:rsid w:val="00BE23E5"/>
    <w:rsid w:val="00BE6E23"/>
    <w:rsid w:val="00BF1E7E"/>
    <w:rsid w:val="00BF28FD"/>
    <w:rsid w:val="00BF3CC7"/>
    <w:rsid w:val="00C0020B"/>
    <w:rsid w:val="00C032C4"/>
    <w:rsid w:val="00C379AE"/>
    <w:rsid w:val="00C43CAD"/>
    <w:rsid w:val="00C66077"/>
    <w:rsid w:val="00C71170"/>
    <w:rsid w:val="00C7536A"/>
    <w:rsid w:val="00C82138"/>
    <w:rsid w:val="00C87792"/>
    <w:rsid w:val="00CB00F0"/>
    <w:rsid w:val="00CB2BDC"/>
    <w:rsid w:val="00D063C4"/>
    <w:rsid w:val="00D102B5"/>
    <w:rsid w:val="00D10986"/>
    <w:rsid w:val="00D111F6"/>
    <w:rsid w:val="00D13B32"/>
    <w:rsid w:val="00D14654"/>
    <w:rsid w:val="00D37FBB"/>
    <w:rsid w:val="00D62B5F"/>
    <w:rsid w:val="00D6651D"/>
    <w:rsid w:val="00D72B7E"/>
    <w:rsid w:val="00D76C83"/>
    <w:rsid w:val="00D8189B"/>
    <w:rsid w:val="00D91F42"/>
    <w:rsid w:val="00DC1510"/>
    <w:rsid w:val="00DE5F50"/>
    <w:rsid w:val="00E32CD3"/>
    <w:rsid w:val="00E61CC1"/>
    <w:rsid w:val="00E664C6"/>
    <w:rsid w:val="00E670D4"/>
    <w:rsid w:val="00E73B7B"/>
    <w:rsid w:val="00EA0A65"/>
    <w:rsid w:val="00EA4507"/>
    <w:rsid w:val="00EA6FED"/>
    <w:rsid w:val="00EB34AE"/>
    <w:rsid w:val="00EB7C48"/>
    <w:rsid w:val="00ED46DD"/>
    <w:rsid w:val="00ED5FD5"/>
    <w:rsid w:val="00F171F3"/>
    <w:rsid w:val="00F3099A"/>
    <w:rsid w:val="00F457D8"/>
    <w:rsid w:val="00F83E44"/>
    <w:rsid w:val="00FA1C4F"/>
    <w:rsid w:val="00FB65A3"/>
    <w:rsid w:val="00FE51B4"/>
    <w:rsid w:val="00FF5ACE"/>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F42DF"/>
  <w15:docId w15:val="{197C40F6-AD50-40C0-8BFE-83249FE3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51B4"/>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7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7343"/>
  </w:style>
  <w:style w:type="paragraph" w:styleId="Pidipagina">
    <w:name w:val="footer"/>
    <w:basedOn w:val="Normale"/>
    <w:link w:val="PidipaginaCarattere"/>
    <w:uiPriority w:val="99"/>
    <w:unhideWhenUsed/>
    <w:rsid w:val="00AC7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7343"/>
  </w:style>
  <w:style w:type="paragraph" w:styleId="Testonotadichiusura">
    <w:name w:val="endnote text"/>
    <w:basedOn w:val="Normale"/>
    <w:link w:val="TestonotadichiusuraCarattere"/>
    <w:uiPriority w:val="99"/>
    <w:unhideWhenUsed/>
    <w:rsid w:val="00AC7343"/>
    <w:pPr>
      <w:spacing w:after="0" w:line="240" w:lineRule="auto"/>
    </w:pPr>
    <w:rPr>
      <w:sz w:val="20"/>
      <w:szCs w:val="20"/>
      <w:lang w:val="x-none" w:eastAsia="x-none"/>
    </w:rPr>
  </w:style>
  <w:style w:type="character" w:customStyle="1" w:styleId="TestonotadichiusuraCarattere">
    <w:name w:val="Testo nota di chiusura Carattere"/>
    <w:link w:val="Testonotadichiusura"/>
    <w:uiPriority w:val="99"/>
    <w:rsid w:val="00AC7343"/>
    <w:rPr>
      <w:sz w:val="20"/>
      <w:szCs w:val="20"/>
    </w:rPr>
  </w:style>
  <w:style w:type="character" w:styleId="Collegamentoipertestuale">
    <w:name w:val="Hyperlink"/>
    <w:uiPriority w:val="99"/>
    <w:semiHidden/>
    <w:rsid w:val="00AC7343"/>
    <w:rPr>
      <w:rFonts w:cs="Times New Roman"/>
      <w:color w:val="auto"/>
      <w:u w:val="none"/>
    </w:rPr>
  </w:style>
  <w:style w:type="character" w:styleId="Rimandonotadichiusura">
    <w:name w:val="endnote reference"/>
    <w:uiPriority w:val="99"/>
    <w:unhideWhenUsed/>
    <w:rsid w:val="00AC7343"/>
    <w:rPr>
      <w:vertAlign w:val="superscript"/>
    </w:rPr>
  </w:style>
  <w:style w:type="paragraph" w:styleId="Testonotaapidipagina">
    <w:name w:val="footnote text"/>
    <w:basedOn w:val="Normale"/>
    <w:link w:val="TestonotaapidipaginaCarattere"/>
    <w:uiPriority w:val="99"/>
    <w:semiHidden/>
    <w:unhideWhenUsed/>
    <w:rsid w:val="00AC7343"/>
    <w:pPr>
      <w:spacing w:after="0" w:line="283" w:lineRule="atLeast"/>
    </w:pPr>
    <w:rPr>
      <w:rFonts w:ascii="BISans" w:eastAsia="Times New Roman" w:hAnsi="BISans"/>
      <w:sz w:val="20"/>
      <w:szCs w:val="20"/>
      <w:lang w:val="de-DE" w:eastAsia="x-none"/>
    </w:rPr>
  </w:style>
  <w:style w:type="character" w:customStyle="1" w:styleId="TestonotaapidipaginaCarattere">
    <w:name w:val="Testo nota a piè di pagina Carattere"/>
    <w:link w:val="Testonotaapidipagina"/>
    <w:uiPriority w:val="99"/>
    <w:semiHidden/>
    <w:rsid w:val="00AC7343"/>
    <w:rPr>
      <w:rFonts w:ascii="BISans" w:eastAsia="Times New Roman" w:hAnsi="BISans" w:cs="Times New Roman"/>
      <w:sz w:val="20"/>
      <w:szCs w:val="20"/>
      <w:lang w:val="de-DE"/>
    </w:rPr>
  </w:style>
  <w:style w:type="character" w:styleId="Rimandonotaapidipagina">
    <w:name w:val="footnote reference"/>
    <w:uiPriority w:val="99"/>
    <w:semiHidden/>
    <w:unhideWhenUsed/>
    <w:rsid w:val="00AC7343"/>
    <w:rPr>
      <w:rFonts w:ascii="Times New Roman" w:hAnsi="Times New Roman" w:cs="Times New Roman" w:hint="default"/>
      <w:vertAlign w:val="superscript"/>
    </w:rPr>
  </w:style>
  <w:style w:type="paragraph" w:styleId="Testofumetto">
    <w:name w:val="Balloon Text"/>
    <w:basedOn w:val="Normale"/>
    <w:link w:val="TestofumettoCarattere"/>
    <w:uiPriority w:val="99"/>
    <w:semiHidden/>
    <w:unhideWhenUsed/>
    <w:rsid w:val="008A3587"/>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8A3587"/>
    <w:rPr>
      <w:rFonts w:ascii="Tahoma" w:hAnsi="Tahoma" w:cs="Tahoma"/>
      <w:sz w:val="16"/>
      <w:szCs w:val="16"/>
      <w:lang w:eastAsia="en-US"/>
    </w:rPr>
  </w:style>
  <w:style w:type="character" w:styleId="Rimandocommento">
    <w:name w:val="annotation reference"/>
    <w:uiPriority w:val="99"/>
    <w:semiHidden/>
    <w:unhideWhenUsed/>
    <w:rsid w:val="003F5C4D"/>
    <w:rPr>
      <w:sz w:val="16"/>
      <w:szCs w:val="16"/>
    </w:rPr>
  </w:style>
  <w:style w:type="paragraph" w:styleId="Testocommento">
    <w:name w:val="annotation text"/>
    <w:basedOn w:val="Normale"/>
    <w:link w:val="TestocommentoCarattere"/>
    <w:uiPriority w:val="99"/>
    <w:unhideWhenUsed/>
    <w:rsid w:val="003F5C4D"/>
    <w:rPr>
      <w:sz w:val="20"/>
      <w:szCs w:val="20"/>
      <w:lang w:val="x-none"/>
    </w:rPr>
  </w:style>
  <w:style w:type="character" w:customStyle="1" w:styleId="TestocommentoCarattere">
    <w:name w:val="Testo commento Carattere"/>
    <w:link w:val="Testocommento"/>
    <w:uiPriority w:val="99"/>
    <w:rsid w:val="003F5C4D"/>
    <w:rPr>
      <w:lang w:eastAsia="en-US"/>
    </w:rPr>
  </w:style>
  <w:style w:type="paragraph" w:styleId="Soggettocommento">
    <w:name w:val="annotation subject"/>
    <w:basedOn w:val="Testocommento"/>
    <w:next w:val="Testocommento"/>
    <w:link w:val="SoggettocommentoCarattere"/>
    <w:uiPriority w:val="99"/>
    <w:semiHidden/>
    <w:unhideWhenUsed/>
    <w:rsid w:val="003F5C4D"/>
    <w:rPr>
      <w:b/>
      <w:bCs/>
    </w:rPr>
  </w:style>
  <w:style w:type="character" w:customStyle="1" w:styleId="SoggettocommentoCarattere">
    <w:name w:val="Soggetto commento Carattere"/>
    <w:link w:val="Soggettocommento"/>
    <w:uiPriority w:val="99"/>
    <w:semiHidden/>
    <w:rsid w:val="003F5C4D"/>
    <w:rPr>
      <w:b/>
      <w:bCs/>
      <w:lang w:eastAsia="en-US"/>
    </w:rPr>
  </w:style>
  <w:style w:type="paragraph" w:styleId="Revisione">
    <w:name w:val="Revision"/>
    <w:hidden/>
    <w:uiPriority w:val="99"/>
    <w:semiHidden/>
    <w:rsid w:val="00A9517E"/>
    <w:rPr>
      <w:sz w:val="22"/>
      <w:szCs w:val="22"/>
      <w:lang w:eastAsia="en-US"/>
    </w:rPr>
  </w:style>
  <w:style w:type="character" w:styleId="Collegamentovisitato">
    <w:name w:val="FollowedHyperlink"/>
    <w:basedOn w:val="Carpredefinitoparagrafo"/>
    <w:uiPriority w:val="99"/>
    <w:semiHidden/>
    <w:unhideWhenUsed/>
    <w:rsid w:val="00381EDD"/>
    <w:rPr>
      <w:color w:val="800080"/>
      <w:u w:val="single"/>
    </w:rPr>
  </w:style>
  <w:style w:type="paragraph" w:customStyle="1" w:styleId="Default">
    <w:name w:val="Default"/>
    <w:rsid w:val="00024DD8"/>
    <w:pPr>
      <w:autoSpaceDE w:val="0"/>
      <w:autoSpaceDN w:val="0"/>
      <w:adjustRightInd w:val="0"/>
    </w:pPr>
    <w:rPr>
      <w:rFonts w:ascii="Arial" w:eastAsiaTheme="minorHAnsi" w:hAnsi="Arial" w:cs="Arial"/>
      <w:color w:val="000000"/>
      <w:sz w:val="24"/>
      <w:szCs w:val="24"/>
      <w:lang w:val="en-GB" w:eastAsia="en-US"/>
    </w:rPr>
  </w:style>
  <w:style w:type="character" w:customStyle="1" w:styleId="Highlight">
    <w:name w:val="Highlight"/>
    <w:uiPriority w:val="99"/>
    <w:rsid w:val="00024DD8"/>
    <w:rPr>
      <w:b/>
      <w:bCs/>
      <w:color w:val="1F3F79"/>
    </w:rPr>
  </w:style>
  <w:style w:type="paragraph" w:styleId="Paragrafoelenco">
    <w:name w:val="List Paragraph"/>
    <w:basedOn w:val="Normale"/>
    <w:link w:val="ParagrafoelencoCarattere"/>
    <w:uiPriority w:val="99"/>
    <w:qFormat/>
    <w:rsid w:val="00024DD8"/>
    <w:pPr>
      <w:spacing w:after="0" w:line="240" w:lineRule="auto"/>
      <w:ind w:left="720"/>
      <w:contextualSpacing/>
    </w:pPr>
    <w:rPr>
      <w:rFonts w:ascii="Times New Roman" w:eastAsia="Times New Roman" w:hAnsi="Times New Roman"/>
      <w:sz w:val="24"/>
      <w:szCs w:val="24"/>
      <w:lang w:val="en-GB" w:eastAsia="en-GB"/>
    </w:rPr>
  </w:style>
  <w:style w:type="character" w:customStyle="1" w:styleId="Menzione1">
    <w:name w:val="Menzione1"/>
    <w:basedOn w:val="Carpredefinitoparagrafo"/>
    <w:uiPriority w:val="99"/>
    <w:semiHidden/>
    <w:unhideWhenUsed/>
    <w:rsid w:val="008437DB"/>
    <w:rPr>
      <w:color w:val="2B579A"/>
      <w:shd w:val="clear" w:color="auto" w:fill="E6E6E6"/>
    </w:rPr>
  </w:style>
  <w:style w:type="character" w:customStyle="1" w:styleId="ParagrafoelencoCarattere">
    <w:name w:val="Paragrafo elenco Carattere"/>
    <w:link w:val="Paragrafoelenco"/>
    <w:uiPriority w:val="99"/>
    <w:locked/>
    <w:rsid w:val="009A0B13"/>
    <w:rPr>
      <w:rFonts w:ascii="Times New Roman" w:eastAsia="Times New Roman" w:hAnsi="Times New Roman"/>
      <w:sz w:val="24"/>
      <w:szCs w:val="24"/>
      <w:lang w:val="en-GB" w:eastAsia="en-GB"/>
    </w:rPr>
  </w:style>
  <w:style w:type="paragraph" w:styleId="NormaleWeb">
    <w:name w:val="Normal (Web)"/>
    <w:basedOn w:val="Normale"/>
    <w:uiPriority w:val="99"/>
    <w:unhideWhenUsed/>
    <w:rsid w:val="00AC725B"/>
    <w:pPr>
      <w:spacing w:before="100" w:beforeAutospacing="1" w:after="100" w:afterAutospacing="1" w:line="240" w:lineRule="auto"/>
    </w:pPr>
    <w:rPr>
      <w:rFonts w:ascii="Times New Roman" w:eastAsia="Times New Roman" w:hAnsi="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5443">
      <w:bodyDiv w:val="1"/>
      <w:marLeft w:val="0"/>
      <w:marRight w:val="0"/>
      <w:marTop w:val="0"/>
      <w:marBottom w:val="0"/>
      <w:divBdr>
        <w:top w:val="none" w:sz="0" w:space="0" w:color="auto"/>
        <w:left w:val="none" w:sz="0" w:space="0" w:color="auto"/>
        <w:bottom w:val="none" w:sz="0" w:space="0" w:color="auto"/>
        <w:right w:val="none" w:sz="0" w:space="0" w:color="auto"/>
      </w:divBdr>
    </w:div>
    <w:div w:id="1431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hringer-ingelheim.com/RE-DUAL-PCI-ESC-2017" TargetMode="External"/><Relationship Id="rId13" Type="http://schemas.openxmlformats.org/officeDocument/2006/relationships/hyperlink" Target="http://www.mayoclinic.org/tests-procedures/angioplasty/basics/definition/prc-20014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library.wiley.com/doi/10.1002/clc.22572/ful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jm.org/doi/full/10.1056/NEJMoa17084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l.paleari@vrelations.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na.guffanti@boehringer-ingelheim.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hyperlink" Target="http://www.boehringer-ingelheim.com" TargetMode="External"/><Relationship Id="rId3" Type="http://schemas.openxmlformats.org/officeDocument/2006/relationships/hyperlink" Target="mailto:marina.guffanti@boehringer-ingelheim.com" TargetMode="External"/><Relationship Id="rId7" Type="http://schemas.openxmlformats.org/officeDocument/2006/relationships/hyperlink" Target="mailto:marina.guffanti@boehringer-ingelheim.com" TargetMode="External"/><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hyperlink" Target="http://www.boehringer-ingelheim.com" TargetMode="External"/><Relationship Id="rId4" Type="http://schemas.openxmlformats.org/officeDocument/2006/relationships/image" Target="media/image3.png"/><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11AA-EEAE-42E5-BC16-571EC6C0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2297</Words>
  <Characters>13098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Boehringer Ingelheim</Company>
  <LinksUpToDate>false</LinksUpToDate>
  <CharactersWithSpaces>15365</CharactersWithSpaces>
  <SharedDoc>false</SharedDoc>
  <HLinks>
    <vt:vector size="36" baseType="variant">
      <vt:variant>
        <vt:i4>524393</vt:i4>
      </vt:variant>
      <vt:variant>
        <vt:i4>39</vt:i4>
      </vt:variant>
      <vt:variant>
        <vt:i4>0</vt:i4>
      </vt:variant>
      <vt:variant>
        <vt:i4>5</vt:i4>
      </vt:variant>
      <vt:variant>
        <vt:lpwstr>mailto:ml.paleari@vrelations.it</vt:lpwstr>
      </vt:variant>
      <vt:variant>
        <vt:lpwstr/>
      </vt:variant>
      <vt:variant>
        <vt:i4>3211269</vt:i4>
      </vt:variant>
      <vt:variant>
        <vt:i4>36</vt:i4>
      </vt:variant>
      <vt:variant>
        <vt:i4>0</vt:i4>
      </vt:variant>
      <vt:variant>
        <vt:i4>5</vt:i4>
      </vt:variant>
      <vt:variant>
        <vt:lpwstr>mailto:marina.guffanti@boehringer-ingelheim.com</vt:lpwstr>
      </vt:variant>
      <vt:variant>
        <vt:lpwstr/>
      </vt:variant>
      <vt:variant>
        <vt:i4>1835087</vt:i4>
      </vt:variant>
      <vt:variant>
        <vt:i4>33</vt:i4>
      </vt:variant>
      <vt:variant>
        <vt:i4>0</vt:i4>
      </vt:variant>
      <vt:variant>
        <vt:i4>5</vt:i4>
      </vt:variant>
      <vt:variant>
        <vt:lpwstr>http://www.boehringer-ingelheim.com/</vt:lpwstr>
      </vt:variant>
      <vt:variant>
        <vt:lpwstr/>
      </vt:variant>
      <vt:variant>
        <vt:i4>5177356</vt:i4>
      </vt:variant>
      <vt:variant>
        <vt:i4>30</vt:i4>
      </vt:variant>
      <vt:variant>
        <vt:i4>0</vt:i4>
      </vt:variant>
      <vt:variant>
        <vt:i4>5</vt:i4>
      </vt:variant>
      <vt:variant>
        <vt:lpwstr>http://www.boehringer-ingelheim-congress.com/</vt:lpwstr>
      </vt:variant>
      <vt:variant>
        <vt:lpwstr/>
      </vt:variant>
      <vt:variant>
        <vt:i4>1835087</vt:i4>
      </vt:variant>
      <vt:variant>
        <vt:i4>6</vt:i4>
      </vt:variant>
      <vt:variant>
        <vt:i4>0</vt:i4>
      </vt:variant>
      <vt:variant>
        <vt:i4>5</vt:i4>
      </vt:variant>
      <vt:variant>
        <vt:lpwstr>http://www.boehringer-ingelheim.com/</vt:lpwstr>
      </vt:variant>
      <vt:variant>
        <vt:lpwstr/>
      </vt:variant>
      <vt:variant>
        <vt:i4>3211269</vt:i4>
      </vt:variant>
      <vt:variant>
        <vt:i4>3</vt:i4>
      </vt:variant>
      <vt:variant>
        <vt:i4>0</vt:i4>
      </vt:variant>
      <vt:variant>
        <vt:i4>5</vt:i4>
      </vt:variant>
      <vt:variant>
        <vt:lpwstr>mailto:marina.guffanti@boehringer-ingelheim.com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Ambrosi</dc:creator>
  <cp:lastModifiedBy>Alessio Pappagallo</cp:lastModifiedBy>
  <cp:revision>6</cp:revision>
  <cp:lastPrinted>2017-08-28T08:27:00Z</cp:lastPrinted>
  <dcterms:created xsi:type="dcterms:W3CDTF">2017-11-16T10:07:00Z</dcterms:created>
  <dcterms:modified xsi:type="dcterms:W3CDTF">2017-11-16T11:28:00Z</dcterms:modified>
</cp:coreProperties>
</file>