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B1" w:rsidRDefault="00961ACD" w:rsidP="00055BF5">
      <w:pPr>
        <w:spacing w:after="0" w:line="276" w:lineRule="auto"/>
        <w:jc w:val="center"/>
        <w:rPr>
          <w:rFonts w:ascii="Arial" w:hAnsi="Arial" w:cs="Arial"/>
          <w:b/>
          <w:u w:val="single"/>
        </w:rPr>
      </w:pPr>
      <w:r>
        <w:rPr>
          <w:rFonts w:ascii="Arial" w:hAnsi="Arial" w:cs="Arial"/>
          <w:b/>
          <w:u w:val="single"/>
        </w:rPr>
        <w:t>Comunicato</w:t>
      </w:r>
      <w:r w:rsidR="006C6C3D">
        <w:rPr>
          <w:rFonts w:ascii="Arial" w:hAnsi="Arial" w:cs="Arial"/>
          <w:b/>
          <w:u w:val="single"/>
        </w:rPr>
        <w:t xml:space="preserve"> </w:t>
      </w:r>
      <w:r w:rsidR="005C7CB1" w:rsidRPr="005C7CB1">
        <w:rPr>
          <w:rFonts w:ascii="Arial" w:hAnsi="Arial" w:cs="Arial"/>
          <w:b/>
          <w:u w:val="single"/>
        </w:rPr>
        <w:t>stampa</w:t>
      </w:r>
    </w:p>
    <w:p w:rsidR="005C7CB1" w:rsidRPr="00632E47" w:rsidRDefault="005C7CB1" w:rsidP="00055BF5">
      <w:pPr>
        <w:spacing w:after="0" w:line="276" w:lineRule="auto"/>
        <w:jc w:val="center"/>
        <w:rPr>
          <w:rFonts w:ascii="Arial" w:hAnsi="Arial" w:cs="Arial"/>
          <w:b/>
          <w:u w:val="single"/>
        </w:rPr>
      </w:pPr>
    </w:p>
    <w:p w:rsidR="00C72435" w:rsidRDefault="00C72435" w:rsidP="00B77F8F">
      <w:pPr>
        <w:spacing w:after="0" w:line="276" w:lineRule="auto"/>
        <w:jc w:val="center"/>
        <w:rPr>
          <w:rFonts w:ascii="Arial" w:hAnsi="Arial" w:cs="Arial"/>
          <w:b/>
          <w:sz w:val="28"/>
          <w:szCs w:val="26"/>
        </w:rPr>
      </w:pPr>
      <w:r>
        <w:rPr>
          <w:rFonts w:ascii="Arial" w:hAnsi="Arial" w:cs="Arial"/>
          <w:b/>
          <w:sz w:val="28"/>
          <w:szCs w:val="26"/>
        </w:rPr>
        <w:t>Techdow arriva in Italia: a</w:t>
      </w:r>
      <w:r w:rsidR="00926989">
        <w:rPr>
          <w:rFonts w:ascii="Arial" w:hAnsi="Arial" w:cs="Arial"/>
          <w:b/>
          <w:sz w:val="28"/>
          <w:szCs w:val="26"/>
        </w:rPr>
        <w:t xml:space="preserve">l Congresso SIOT in corso a Palermo, </w:t>
      </w:r>
    </w:p>
    <w:p w:rsidR="003A1DC1" w:rsidRDefault="00926989" w:rsidP="00B77F8F">
      <w:pPr>
        <w:spacing w:after="0" w:line="276" w:lineRule="auto"/>
        <w:jc w:val="center"/>
        <w:rPr>
          <w:rFonts w:ascii="Arial" w:hAnsi="Arial" w:cs="Arial"/>
          <w:b/>
          <w:sz w:val="28"/>
          <w:szCs w:val="26"/>
        </w:rPr>
      </w:pPr>
      <w:r>
        <w:rPr>
          <w:rFonts w:ascii="Arial" w:hAnsi="Arial" w:cs="Arial"/>
          <w:b/>
          <w:sz w:val="28"/>
          <w:szCs w:val="26"/>
        </w:rPr>
        <w:t>la Big Pharma</w:t>
      </w:r>
      <w:r w:rsidR="005371DA">
        <w:rPr>
          <w:rFonts w:ascii="Arial" w:hAnsi="Arial" w:cs="Arial"/>
          <w:b/>
          <w:sz w:val="28"/>
          <w:szCs w:val="26"/>
        </w:rPr>
        <w:t xml:space="preserve"> cinese si presenta a stampa e comunità medica</w:t>
      </w:r>
    </w:p>
    <w:p w:rsidR="003A1DC1" w:rsidRPr="004E7926" w:rsidRDefault="003A1DC1" w:rsidP="00EE2D6E">
      <w:pPr>
        <w:spacing w:after="0" w:line="276" w:lineRule="auto"/>
        <w:jc w:val="center"/>
        <w:rPr>
          <w:rFonts w:ascii="Arial" w:hAnsi="Arial" w:cs="Arial"/>
          <w:b/>
          <w:szCs w:val="26"/>
        </w:rPr>
      </w:pPr>
    </w:p>
    <w:p w:rsidR="004F39D1" w:rsidRPr="00DD218F" w:rsidRDefault="006D54B5" w:rsidP="004F39D1">
      <w:pPr>
        <w:spacing w:after="0" w:line="276" w:lineRule="auto"/>
        <w:jc w:val="both"/>
        <w:rPr>
          <w:rFonts w:ascii="Arial" w:hAnsi="Arial" w:cs="Arial"/>
          <w:i/>
        </w:rPr>
      </w:pPr>
      <w:r>
        <w:rPr>
          <w:rFonts w:ascii="Arial" w:hAnsi="Arial" w:cs="Arial"/>
          <w:i/>
        </w:rPr>
        <w:t>Controllata da</w:t>
      </w:r>
      <w:r w:rsidR="000166BF" w:rsidRPr="000166BF">
        <w:rPr>
          <w:rFonts w:ascii="Arial" w:hAnsi="Arial" w:cs="Arial"/>
          <w:i/>
        </w:rPr>
        <w:t>lla holding Hepalink, solido gruppo industriale quotato alla Borsa di Shenzen</w:t>
      </w:r>
      <w:r w:rsidR="000166BF">
        <w:rPr>
          <w:rFonts w:ascii="Arial" w:hAnsi="Arial" w:cs="Arial"/>
          <w:i/>
        </w:rPr>
        <w:t xml:space="preserve">, </w:t>
      </w:r>
      <w:r w:rsidR="00A519CE" w:rsidRPr="00A519CE">
        <w:rPr>
          <w:rFonts w:ascii="Arial" w:hAnsi="Arial" w:cs="Arial"/>
          <w:i/>
        </w:rPr>
        <w:t>Techdow</w:t>
      </w:r>
      <w:r w:rsidR="00164953">
        <w:rPr>
          <w:rFonts w:ascii="Arial" w:hAnsi="Arial" w:cs="Arial"/>
          <w:i/>
        </w:rPr>
        <w:t xml:space="preserve"> Pharma</w:t>
      </w:r>
      <w:r w:rsidR="00C72435">
        <w:rPr>
          <w:rFonts w:ascii="Arial" w:hAnsi="Arial" w:cs="Arial"/>
          <w:i/>
        </w:rPr>
        <w:t xml:space="preserve"> è i</w:t>
      </w:r>
      <w:r w:rsidR="003A1DC1">
        <w:rPr>
          <w:rFonts w:ascii="Arial" w:hAnsi="Arial" w:cs="Arial"/>
          <w:i/>
        </w:rPr>
        <w:t>l maggior produttore mondiale di eparine</w:t>
      </w:r>
      <w:r w:rsidR="00D764C1">
        <w:rPr>
          <w:rFonts w:ascii="Arial" w:hAnsi="Arial" w:cs="Arial"/>
          <w:i/>
        </w:rPr>
        <w:t xml:space="preserve">, </w:t>
      </w:r>
      <w:r w:rsidR="00A519CE" w:rsidRPr="00A519CE">
        <w:rPr>
          <w:rFonts w:ascii="Arial" w:hAnsi="Arial" w:cs="Arial"/>
          <w:i/>
        </w:rPr>
        <w:t>o</w:t>
      </w:r>
      <w:r w:rsidR="00A519CE">
        <w:rPr>
          <w:rFonts w:ascii="Arial" w:hAnsi="Arial" w:cs="Arial"/>
          <w:i/>
        </w:rPr>
        <w:t>ffre medicinali di alta qualità</w:t>
      </w:r>
      <w:r w:rsidR="00A519CE" w:rsidRPr="00A519CE">
        <w:rPr>
          <w:rFonts w:ascii="Arial" w:hAnsi="Arial" w:cs="Arial"/>
          <w:i/>
        </w:rPr>
        <w:t xml:space="preserve">, grazie a </w:t>
      </w:r>
      <w:r w:rsidR="00770A95">
        <w:rPr>
          <w:rFonts w:ascii="Arial" w:hAnsi="Arial" w:cs="Arial"/>
          <w:i/>
        </w:rPr>
        <w:t>una rigorosa</w:t>
      </w:r>
      <w:r w:rsidR="00A519CE">
        <w:rPr>
          <w:rFonts w:ascii="Arial" w:hAnsi="Arial" w:cs="Arial"/>
          <w:i/>
        </w:rPr>
        <w:t xml:space="preserve"> ricerca scientifica,</w:t>
      </w:r>
      <w:r w:rsidR="00F45BF6">
        <w:rPr>
          <w:rFonts w:ascii="Arial" w:hAnsi="Arial" w:cs="Arial"/>
          <w:i/>
        </w:rPr>
        <w:t xml:space="preserve"> tecnologie all'avanguardia e</w:t>
      </w:r>
      <w:r w:rsidR="00A519CE" w:rsidRPr="00A519CE">
        <w:rPr>
          <w:rFonts w:ascii="Arial" w:hAnsi="Arial" w:cs="Arial"/>
          <w:i/>
        </w:rPr>
        <w:t xml:space="preserve"> </w:t>
      </w:r>
      <w:r w:rsidR="00A519CE">
        <w:rPr>
          <w:rFonts w:ascii="Arial" w:hAnsi="Arial" w:cs="Arial"/>
          <w:i/>
        </w:rPr>
        <w:t xml:space="preserve">articolati </w:t>
      </w:r>
      <w:r w:rsidR="00A519CE" w:rsidRPr="00A519CE">
        <w:rPr>
          <w:rFonts w:ascii="Arial" w:hAnsi="Arial" w:cs="Arial"/>
          <w:i/>
        </w:rPr>
        <w:t xml:space="preserve">sistemi di </w:t>
      </w:r>
      <w:r w:rsidR="00A519CE">
        <w:rPr>
          <w:rFonts w:ascii="Arial" w:hAnsi="Arial" w:cs="Arial"/>
          <w:i/>
        </w:rPr>
        <w:t>quality management</w:t>
      </w:r>
      <w:r w:rsidR="00F45BF6">
        <w:rPr>
          <w:rFonts w:ascii="Arial" w:hAnsi="Arial" w:cs="Arial"/>
          <w:i/>
        </w:rPr>
        <w:t xml:space="preserve">. Primo target dell’ingresso in Italia dell’azienda: il mercato dei biosimilari, che attualmente </w:t>
      </w:r>
      <w:r w:rsidR="00D226AA">
        <w:rPr>
          <w:rFonts w:ascii="Arial" w:hAnsi="Arial" w:cs="Arial"/>
          <w:i/>
        </w:rPr>
        <w:t xml:space="preserve">è in crescita nel nostro Paese, </w:t>
      </w:r>
      <w:r w:rsidR="00F45BF6">
        <w:rPr>
          <w:rFonts w:ascii="Arial" w:hAnsi="Arial" w:cs="Arial"/>
          <w:i/>
        </w:rPr>
        <w:t>registra</w:t>
      </w:r>
      <w:r w:rsidR="00D226AA">
        <w:rPr>
          <w:rFonts w:ascii="Arial" w:hAnsi="Arial" w:cs="Arial"/>
          <w:i/>
        </w:rPr>
        <w:t>ndo</w:t>
      </w:r>
      <w:r w:rsidR="00F45BF6">
        <w:rPr>
          <w:rFonts w:ascii="Arial" w:hAnsi="Arial" w:cs="Arial"/>
          <w:i/>
        </w:rPr>
        <w:t xml:space="preserve"> un +61% rispetto al 2016.</w:t>
      </w:r>
      <w:r w:rsidR="00A519CE" w:rsidRPr="00A519CE">
        <w:rPr>
          <w:rFonts w:ascii="Arial" w:hAnsi="Arial" w:cs="Arial"/>
          <w:i/>
        </w:rPr>
        <w:t xml:space="preserve"> </w:t>
      </w:r>
      <w:r w:rsidR="00F45BF6">
        <w:rPr>
          <w:rFonts w:ascii="Arial" w:hAnsi="Arial" w:cs="Arial"/>
          <w:i/>
        </w:rPr>
        <w:t>Techdow</w:t>
      </w:r>
      <w:r w:rsidR="00961ACD">
        <w:rPr>
          <w:rFonts w:ascii="Arial" w:hAnsi="Arial" w:cs="Arial"/>
          <w:i/>
        </w:rPr>
        <w:t xml:space="preserve"> </w:t>
      </w:r>
      <w:r w:rsidR="005371DA">
        <w:rPr>
          <w:rFonts w:ascii="Arial" w:hAnsi="Arial" w:cs="Arial"/>
          <w:i/>
        </w:rPr>
        <w:t>investirà</w:t>
      </w:r>
      <w:r w:rsidR="00961ACD">
        <w:rPr>
          <w:rFonts w:ascii="Arial" w:hAnsi="Arial" w:cs="Arial"/>
          <w:i/>
        </w:rPr>
        <w:t xml:space="preserve"> 25 milioni di euro nei primi tre anni, con un occhio a possibili </w:t>
      </w:r>
      <w:r w:rsidR="000742F6">
        <w:rPr>
          <w:rFonts w:ascii="Arial" w:hAnsi="Arial" w:cs="Arial"/>
          <w:i/>
        </w:rPr>
        <w:t>acquisizioni</w:t>
      </w:r>
      <w:r w:rsidR="005371DA">
        <w:rPr>
          <w:rFonts w:ascii="Arial" w:hAnsi="Arial" w:cs="Arial"/>
          <w:i/>
        </w:rPr>
        <w:t>. Previsto, inoltre,</w:t>
      </w:r>
      <w:r w:rsidR="000742F6">
        <w:rPr>
          <w:rFonts w:ascii="Arial" w:hAnsi="Arial" w:cs="Arial"/>
          <w:i/>
        </w:rPr>
        <w:t xml:space="preserve"> </w:t>
      </w:r>
      <w:r w:rsidR="00961ACD">
        <w:rPr>
          <w:rFonts w:ascii="Arial" w:hAnsi="Arial" w:cs="Arial"/>
          <w:i/>
        </w:rPr>
        <w:t>l’headquarter europeo dell’azienda</w:t>
      </w:r>
      <w:r w:rsidR="005371DA">
        <w:rPr>
          <w:rFonts w:ascii="Arial" w:hAnsi="Arial" w:cs="Arial"/>
          <w:i/>
        </w:rPr>
        <w:t xml:space="preserve"> </w:t>
      </w:r>
      <w:r w:rsidR="00D226AA">
        <w:rPr>
          <w:rFonts w:ascii="Arial" w:hAnsi="Arial" w:cs="Arial"/>
          <w:i/>
        </w:rPr>
        <w:t>in Italia</w:t>
      </w:r>
      <w:r w:rsidR="00961ACD">
        <w:rPr>
          <w:rFonts w:ascii="Arial" w:hAnsi="Arial" w:cs="Arial"/>
          <w:i/>
        </w:rPr>
        <w:t xml:space="preserve"> se </w:t>
      </w:r>
      <w:r w:rsidR="00D764C1">
        <w:rPr>
          <w:rFonts w:ascii="Arial" w:hAnsi="Arial" w:cs="Arial"/>
          <w:i/>
        </w:rPr>
        <w:t xml:space="preserve">quest’ultima </w:t>
      </w:r>
      <w:r w:rsidR="00D226AA">
        <w:rPr>
          <w:rFonts w:ascii="Arial" w:hAnsi="Arial" w:cs="Arial"/>
          <w:i/>
        </w:rPr>
        <w:t>sarà scelta</w:t>
      </w:r>
      <w:r w:rsidR="00961ACD">
        <w:rPr>
          <w:rFonts w:ascii="Arial" w:hAnsi="Arial" w:cs="Arial"/>
          <w:i/>
        </w:rPr>
        <w:t xml:space="preserve"> come sede dell’</w:t>
      </w:r>
      <w:r w:rsidR="00961737">
        <w:rPr>
          <w:rFonts w:ascii="Arial" w:hAnsi="Arial" w:cs="Arial"/>
          <w:i/>
        </w:rPr>
        <w:t>Agenzia Europea del Farmaco.</w:t>
      </w:r>
    </w:p>
    <w:p w:rsidR="006C6C3D" w:rsidRPr="00055BF5" w:rsidRDefault="006C6C3D" w:rsidP="00055BF5">
      <w:pPr>
        <w:spacing w:after="0" w:line="276" w:lineRule="auto"/>
        <w:jc w:val="both"/>
        <w:rPr>
          <w:rFonts w:ascii="Arial" w:hAnsi="Arial" w:cs="Arial"/>
          <w:i/>
          <w:sz w:val="24"/>
        </w:rPr>
      </w:pPr>
    </w:p>
    <w:p w:rsidR="00F26096" w:rsidRDefault="005371DA" w:rsidP="00055BF5">
      <w:pPr>
        <w:spacing w:after="0" w:line="276" w:lineRule="auto"/>
        <w:jc w:val="both"/>
        <w:rPr>
          <w:rFonts w:ascii="Arial" w:hAnsi="Arial" w:cs="Arial"/>
          <w:b/>
        </w:rPr>
      </w:pPr>
      <w:r>
        <w:rPr>
          <w:rFonts w:ascii="Arial" w:hAnsi="Arial" w:cs="Arial"/>
          <w:b/>
        </w:rPr>
        <w:t>Palermo</w:t>
      </w:r>
      <w:r w:rsidR="006C6C3D" w:rsidRPr="006C6C3D">
        <w:rPr>
          <w:rFonts w:ascii="Arial" w:hAnsi="Arial" w:cs="Arial"/>
          <w:b/>
        </w:rPr>
        <w:t xml:space="preserve">, </w:t>
      </w:r>
      <w:r>
        <w:rPr>
          <w:rFonts w:ascii="Arial" w:hAnsi="Arial" w:cs="Arial"/>
          <w:b/>
        </w:rPr>
        <w:t>20</w:t>
      </w:r>
      <w:r w:rsidR="006C6C3D" w:rsidRPr="006C6C3D">
        <w:rPr>
          <w:rFonts w:ascii="Arial" w:hAnsi="Arial" w:cs="Arial"/>
          <w:b/>
        </w:rPr>
        <w:t xml:space="preserve"> ottobre 2017 </w:t>
      </w:r>
      <w:r w:rsidR="006C6C3D">
        <w:rPr>
          <w:rFonts w:ascii="Arial" w:hAnsi="Arial" w:cs="Arial"/>
          <w:b/>
        </w:rPr>
        <w:t>–</w:t>
      </w:r>
      <w:r w:rsidR="000166BF">
        <w:rPr>
          <w:rFonts w:ascii="Arial" w:hAnsi="Arial" w:cs="Arial"/>
          <w:b/>
        </w:rPr>
        <w:t xml:space="preserve"> </w:t>
      </w:r>
      <w:r w:rsidR="00B45039" w:rsidRPr="00F26096">
        <w:rPr>
          <w:rFonts w:ascii="Arial" w:hAnsi="Arial" w:cs="Arial"/>
          <w:b/>
        </w:rPr>
        <w:t>Techdow</w:t>
      </w:r>
      <w:r w:rsidR="00770A95">
        <w:rPr>
          <w:rFonts w:ascii="Arial" w:hAnsi="Arial" w:cs="Arial"/>
          <w:b/>
        </w:rPr>
        <w:t xml:space="preserve"> Pharma</w:t>
      </w:r>
      <w:r w:rsidR="00C8458E" w:rsidRPr="00F26096">
        <w:rPr>
          <w:rFonts w:ascii="Arial" w:hAnsi="Arial" w:cs="Arial"/>
          <w:b/>
        </w:rPr>
        <w:t>,</w:t>
      </w:r>
      <w:r w:rsidR="00B45039" w:rsidRPr="00F26096">
        <w:rPr>
          <w:rFonts w:ascii="Arial" w:hAnsi="Arial" w:cs="Arial"/>
          <w:b/>
        </w:rPr>
        <w:t xml:space="preserve"> multinazionale farmaceutica cinese, leader mond</w:t>
      </w:r>
      <w:r w:rsidR="00C8458E" w:rsidRPr="00F26096">
        <w:rPr>
          <w:rFonts w:ascii="Arial" w:hAnsi="Arial" w:cs="Arial"/>
          <w:b/>
        </w:rPr>
        <w:t>iale nella produzione di eparine</w:t>
      </w:r>
      <w:r w:rsidR="00B45039" w:rsidRPr="00F26096">
        <w:rPr>
          <w:rFonts w:ascii="Arial" w:hAnsi="Arial" w:cs="Arial"/>
          <w:b/>
        </w:rPr>
        <w:t xml:space="preserve"> e p</w:t>
      </w:r>
      <w:r w:rsidR="00C8458E" w:rsidRPr="00F26096">
        <w:rPr>
          <w:rFonts w:ascii="Arial" w:hAnsi="Arial" w:cs="Arial"/>
          <w:b/>
        </w:rPr>
        <w:t xml:space="preserve">rima Big Pharma orientale ad aver avuto l’autorizzazione alla vendita dei propri farmaci </w:t>
      </w:r>
      <w:r w:rsidR="000166BF">
        <w:rPr>
          <w:rFonts w:ascii="Arial" w:hAnsi="Arial" w:cs="Arial"/>
          <w:b/>
        </w:rPr>
        <w:t xml:space="preserve">sul mercato europeo, </w:t>
      </w:r>
      <w:r w:rsidR="000166BF" w:rsidRPr="000166BF">
        <w:rPr>
          <w:rFonts w:ascii="Arial" w:hAnsi="Arial" w:cs="Arial"/>
        </w:rPr>
        <w:t>d</w:t>
      </w:r>
      <w:r w:rsidR="00C8458E">
        <w:rPr>
          <w:rFonts w:ascii="Arial" w:hAnsi="Arial" w:cs="Arial"/>
        </w:rPr>
        <w:t xml:space="preserve">opo UK, Germania e Polonia, </w:t>
      </w:r>
      <w:r w:rsidR="00C8458E" w:rsidRPr="00F26096">
        <w:rPr>
          <w:rFonts w:ascii="Arial" w:hAnsi="Arial" w:cs="Arial"/>
          <w:b/>
        </w:rPr>
        <w:t xml:space="preserve">si appresta a </w:t>
      </w:r>
      <w:r w:rsidR="000742F6">
        <w:rPr>
          <w:rFonts w:ascii="Arial" w:hAnsi="Arial" w:cs="Arial"/>
          <w:b/>
        </w:rPr>
        <w:t xml:space="preserve">fare </w:t>
      </w:r>
      <w:r w:rsidR="00C72435">
        <w:rPr>
          <w:rFonts w:ascii="Arial" w:hAnsi="Arial" w:cs="Arial"/>
          <w:b/>
        </w:rPr>
        <w:t xml:space="preserve">il suo </w:t>
      </w:r>
      <w:r w:rsidR="001C556A">
        <w:rPr>
          <w:rFonts w:ascii="Arial" w:hAnsi="Arial" w:cs="Arial"/>
          <w:b/>
        </w:rPr>
        <w:t>debutto</w:t>
      </w:r>
      <w:r w:rsidR="00C72435">
        <w:rPr>
          <w:rFonts w:ascii="Arial" w:hAnsi="Arial" w:cs="Arial"/>
          <w:b/>
        </w:rPr>
        <w:t xml:space="preserve"> anche in Italia</w:t>
      </w:r>
      <w:r>
        <w:rPr>
          <w:rFonts w:ascii="Arial" w:hAnsi="Arial" w:cs="Arial"/>
          <w:b/>
        </w:rPr>
        <w:t xml:space="preserve">. </w:t>
      </w:r>
      <w:r w:rsidRPr="005371DA">
        <w:rPr>
          <w:rFonts w:ascii="Arial" w:hAnsi="Arial" w:cs="Arial"/>
        </w:rPr>
        <w:t xml:space="preserve">L’azienda ha scelto la cornice di </w:t>
      </w:r>
      <w:r w:rsidRPr="001C556A">
        <w:rPr>
          <w:rFonts w:ascii="Arial" w:hAnsi="Arial" w:cs="Arial"/>
          <w:b/>
        </w:rPr>
        <w:t>Palermo</w:t>
      </w:r>
      <w:r w:rsidRPr="005371DA">
        <w:rPr>
          <w:rFonts w:ascii="Arial" w:hAnsi="Arial" w:cs="Arial"/>
        </w:rPr>
        <w:t>, in occasione del</w:t>
      </w:r>
      <w:r>
        <w:rPr>
          <w:rFonts w:ascii="Arial" w:hAnsi="Arial" w:cs="Arial"/>
        </w:rPr>
        <w:t xml:space="preserve"> </w:t>
      </w:r>
      <w:r w:rsidRPr="001C556A">
        <w:rPr>
          <w:rFonts w:ascii="Arial" w:hAnsi="Arial" w:cs="Arial"/>
          <w:b/>
        </w:rPr>
        <w:t xml:space="preserve">102° </w:t>
      </w:r>
      <w:r w:rsidR="00CA5395" w:rsidRPr="001C556A">
        <w:rPr>
          <w:rFonts w:ascii="Arial" w:hAnsi="Arial" w:cs="Arial"/>
          <w:b/>
        </w:rPr>
        <w:t>Congresso della Società Italiana di Ortopedia e Traumatologia</w:t>
      </w:r>
      <w:r w:rsidR="001C556A">
        <w:rPr>
          <w:rFonts w:ascii="Arial" w:hAnsi="Arial" w:cs="Arial"/>
        </w:rPr>
        <w:t xml:space="preserve"> (SIOT)</w:t>
      </w:r>
      <w:r w:rsidR="00CA5395">
        <w:rPr>
          <w:rFonts w:ascii="Arial" w:hAnsi="Arial" w:cs="Arial"/>
        </w:rPr>
        <w:t>, per presentare</w:t>
      </w:r>
      <w:r w:rsidR="00C72435">
        <w:rPr>
          <w:rFonts w:ascii="Arial" w:hAnsi="Arial" w:cs="Arial"/>
        </w:rPr>
        <w:t xml:space="preserve"> alla stampa e alla comunità medica </w:t>
      </w:r>
      <w:r w:rsidR="001C556A">
        <w:rPr>
          <w:rFonts w:ascii="Arial" w:hAnsi="Arial" w:cs="Arial"/>
        </w:rPr>
        <w:t xml:space="preserve">italiane </w:t>
      </w:r>
      <w:r w:rsidRPr="005371DA">
        <w:rPr>
          <w:rFonts w:ascii="Arial" w:hAnsi="Arial" w:cs="Arial"/>
        </w:rPr>
        <w:t>il suo piano di sviluppo nel nostro Paese</w:t>
      </w:r>
      <w:r w:rsidR="00C72435">
        <w:rPr>
          <w:rFonts w:ascii="Arial" w:hAnsi="Arial" w:cs="Arial"/>
        </w:rPr>
        <w:t xml:space="preserve"> che prevede innanzitutto </w:t>
      </w:r>
      <w:r w:rsidR="001C556A">
        <w:rPr>
          <w:rFonts w:ascii="Arial" w:hAnsi="Arial" w:cs="Arial"/>
        </w:rPr>
        <w:t>l’ingresso</w:t>
      </w:r>
      <w:r w:rsidR="00C72435">
        <w:rPr>
          <w:rFonts w:ascii="Arial" w:hAnsi="Arial" w:cs="Arial"/>
          <w:b/>
        </w:rPr>
        <w:t xml:space="preserve"> nel mercato dei farmaci biosimilari</w:t>
      </w:r>
      <w:r w:rsidR="001C556A">
        <w:rPr>
          <w:rFonts w:ascii="Arial" w:hAnsi="Arial" w:cs="Arial"/>
          <w:b/>
        </w:rPr>
        <w:t>.</w:t>
      </w:r>
    </w:p>
    <w:p w:rsidR="00D23B40" w:rsidRDefault="00D23B40" w:rsidP="00055BF5">
      <w:pPr>
        <w:spacing w:after="0" w:line="276" w:lineRule="auto"/>
        <w:jc w:val="both"/>
        <w:rPr>
          <w:rFonts w:ascii="Arial" w:hAnsi="Arial" w:cs="Arial"/>
          <w:b/>
        </w:rPr>
      </w:pPr>
    </w:p>
    <w:p w:rsidR="00D23B40" w:rsidRDefault="00D23B40" w:rsidP="00D23B40">
      <w:pPr>
        <w:spacing w:after="0" w:line="276" w:lineRule="auto"/>
        <w:jc w:val="both"/>
        <w:rPr>
          <w:rFonts w:ascii="Arial" w:hAnsi="Arial" w:cs="Arial"/>
        </w:rPr>
      </w:pPr>
      <w:r>
        <w:rPr>
          <w:rFonts w:ascii="Arial" w:hAnsi="Arial" w:cs="Arial"/>
        </w:rPr>
        <w:t xml:space="preserve">Fondata nel 2004, Techdow è parte della holding </w:t>
      </w:r>
      <w:r w:rsidRPr="00F26096">
        <w:rPr>
          <w:rFonts w:ascii="Arial" w:hAnsi="Arial" w:cs="Arial"/>
          <w:b/>
        </w:rPr>
        <w:t>Hepalink</w:t>
      </w:r>
      <w:r>
        <w:rPr>
          <w:rFonts w:ascii="Arial" w:hAnsi="Arial" w:cs="Arial"/>
        </w:rPr>
        <w:t xml:space="preserve">, solido gruppo industriale con 20 anni di storia, fortemente votato all’innovazione e all’impegno in Ricerca e Sviluppo, dal 2010 quotato alla Borsa di Shenzen. </w:t>
      </w:r>
      <w:r w:rsidR="00F45BF6">
        <w:rPr>
          <w:rFonts w:ascii="Arial" w:hAnsi="Arial" w:cs="Arial"/>
        </w:rPr>
        <w:t>L</w:t>
      </w:r>
      <w:r>
        <w:rPr>
          <w:rFonts w:ascii="Arial" w:hAnsi="Arial" w:cs="Arial"/>
        </w:rPr>
        <w:t xml:space="preserve">’azienda </w:t>
      </w:r>
      <w:r w:rsidR="00F45BF6">
        <w:rPr>
          <w:rFonts w:ascii="Arial" w:hAnsi="Arial" w:cs="Arial"/>
        </w:rPr>
        <w:t xml:space="preserve">a livello globale ha un fatturato di 1,5 miliardi di dollari, in Europa </w:t>
      </w:r>
      <w:r>
        <w:rPr>
          <w:rFonts w:ascii="Arial" w:hAnsi="Arial" w:cs="Arial"/>
        </w:rPr>
        <w:t>si è dotata di proprie strutture per il marketing e le vendite</w:t>
      </w:r>
      <w:r w:rsidR="00F45BF6">
        <w:rPr>
          <w:rFonts w:ascii="Arial" w:hAnsi="Arial" w:cs="Arial"/>
        </w:rPr>
        <w:t xml:space="preserve"> </w:t>
      </w:r>
      <w:r>
        <w:rPr>
          <w:rFonts w:ascii="Arial" w:hAnsi="Arial" w:cs="Arial"/>
        </w:rPr>
        <w:t>e nel 2018 prevede di aprire le sue sedi anche in Francia e Spagna.</w:t>
      </w:r>
    </w:p>
    <w:p w:rsidR="00D23B40" w:rsidRDefault="00D23B40" w:rsidP="00D23B40">
      <w:pPr>
        <w:spacing w:after="0" w:line="276" w:lineRule="auto"/>
        <w:jc w:val="both"/>
        <w:rPr>
          <w:rFonts w:ascii="Arial" w:hAnsi="Arial" w:cs="Arial"/>
        </w:rPr>
      </w:pPr>
    </w:p>
    <w:p w:rsidR="00D23B40" w:rsidRPr="00B04397" w:rsidRDefault="00D23B40" w:rsidP="00D23B40">
      <w:pPr>
        <w:spacing w:after="0" w:line="276" w:lineRule="auto"/>
        <w:jc w:val="both"/>
        <w:rPr>
          <w:rFonts w:ascii="Arial" w:hAnsi="Arial" w:cs="Arial"/>
          <w:i/>
        </w:rPr>
      </w:pPr>
      <w:r>
        <w:rPr>
          <w:rFonts w:ascii="Arial" w:hAnsi="Arial" w:cs="Arial"/>
          <w:i/>
        </w:rPr>
        <w:t>“Techdow si propone come partner di medici, Regioni e pazienti, per una scelta sostenibile”,</w:t>
      </w:r>
      <w:r w:rsidRPr="00A94A8C">
        <w:rPr>
          <w:rFonts w:ascii="Arial" w:hAnsi="Arial" w:cs="Arial"/>
        </w:rPr>
        <w:t xml:space="preserve"> </w:t>
      </w:r>
      <w:r>
        <w:rPr>
          <w:rFonts w:ascii="Arial" w:hAnsi="Arial" w:cs="Arial"/>
        </w:rPr>
        <w:t xml:space="preserve">spiega </w:t>
      </w:r>
      <w:r w:rsidRPr="00F26096">
        <w:rPr>
          <w:rFonts w:ascii="Arial" w:hAnsi="Arial" w:cs="Arial"/>
          <w:b/>
        </w:rPr>
        <w:t>Giorgio Foresti</w:t>
      </w:r>
      <w:r>
        <w:rPr>
          <w:rFonts w:ascii="Arial" w:hAnsi="Arial" w:cs="Arial"/>
        </w:rPr>
        <w:t xml:space="preserve">, </w:t>
      </w:r>
      <w:r w:rsidRPr="006A12B5">
        <w:rPr>
          <w:rFonts w:ascii="Arial" w:hAnsi="Arial" w:cs="Arial"/>
        </w:rPr>
        <w:t>designato</w:t>
      </w:r>
      <w:r>
        <w:rPr>
          <w:rFonts w:ascii="Arial" w:hAnsi="Arial" w:cs="Arial"/>
        </w:rPr>
        <w:t xml:space="preserve"> </w:t>
      </w:r>
      <w:r w:rsidRPr="000D41DB">
        <w:rPr>
          <w:rFonts w:ascii="Arial" w:hAnsi="Arial" w:cs="Arial"/>
        </w:rPr>
        <w:t>prossimo</w:t>
      </w:r>
      <w:r w:rsidRPr="006A12B5">
        <w:rPr>
          <w:rFonts w:ascii="Arial" w:hAnsi="Arial" w:cs="Arial"/>
        </w:rPr>
        <w:t xml:space="preserve"> Amministratore Delegato di Techdow Pharma Italy</w:t>
      </w:r>
      <w:r>
        <w:rPr>
          <w:rFonts w:ascii="Arial" w:hAnsi="Arial" w:cs="Arial"/>
        </w:rPr>
        <w:t xml:space="preserve">. </w:t>
      </w:r>
      <w:r w:rsidRPr="00A94A8C">
        <w:rPr>
          <w:rFonts w:ascii="Arial" w:hAnsi="Arial" w:cs="Arial"/>
          <w:i/>
        </w:rPr>
        <w:t>“N</w:t>
      </w:r>
      <w:r>
        <w:rPr>
          <w:rFonts w:ascii="Arial" w:hAnsi="Arial" w:cs="Arial"/>
          <w:i/>
        </w:rPr>
        <w:t>el</w:t>
      </w:r>
      <w:r w:rsidRPr="00395D97">
        <w:rPr>
          <w:rFonts w:ascii="Arial" w:hAnsi="Arial" w:cs="Arial"/>
          <w:i/>
        </w:rPr>
        <w:t xml:space="preserve"> nostro Paese</w:t>
      </w:r>
      <w:r>
        <w:rPr>
          <w:rFonts w:ascii="Arial" w:hAnsi="Arial" w:cs="Arial"/>
          <w:i/>
        </w:rPr>
        <w:t xml:space="preserve">, tuttavia, l’azienda </w:t>
      </w:r>
      <w:r w:rsidRPr="00395D97">
        <w:rPr>
          <w:rFonts w:ascii="Arial" w:hAnsi="Arial" w:cs="Arial"/>
          <w:i/>
        </w:rPr>
        <w:t xml:space="preserve">non vede semplicemente un ulteriore sbocco alla vendita dei propri prodotti, ma una piazza strategica per implementare un </w:t>
      </w:r>
      <w:r w:rsidRPr="00F26096">
        <w:rPr>
          <w:rFonts w:ascii="Arial" w:hAnsi="Arial" w:cs="Arial"/>
          <w:b/>
          <w:i/>
        </w:rPr>
        <w:t>percorso di investimenti crescenti</w:t>
      </w:r>
      <w:r>
        <w:rPr>
          <w:rFonts w:ascii="Arial" w:hAnsi="Arial" w:cs="Arial"/>
        </w:rPr>
        <w:t xml:space="preserve">. </w:t>
      </w:r>
      <w:r>
        <w:rPr>
          <w:rFonts w:ascii="Arial" w:hAnsi="Arial" w:cs="Arial"/>
          <w:i/>
        </w:rPr>
        <w:t xml:space="preserve">Parliamo di </w:t>
      </w:r>
      <w:r w:rsidRPr="00703732">
        <w:rPr>
          <w:rFonts w:ascii="Arial" w:hAnsi="Arial" w:cs="Arial"/>
          <w:b/>
          <w:i/>
        </w:rPr>
        <w:t>c</w:t>
      </w:r>
      <w:r w:rsidRPr="00F26096">
        <w:rPr>
          <w:rFonts w:ascii="Arial" w:hAnsi="Arial" w:cs="Arial"/>
          <w:b/>
          <w:i/>
        </w:rPr>
        <w:t xml:space="preserve">irca 5 milioni di euro nel 2018, 8 </w:t>
      </w:r>
      <w:r>
        <w:rPr>
          <w:rFonts w:ascii="Arial" w:hAnsi="Arial" w:cs="Arial"/>
          <w:b/>
          <w:i/>
        </w:rPr>
        <w:t xml:space="preserve">milioni </w:t>
      </w:r>
      <w:r w:rsidRPr="00F26096">
        <w:rPr>
          <w:rFonts w:ascii="Arial" w:hAnsi="Arial" w:cs="Arial"/>
          <w:b/>
          <w:i/>
        </w:rPr>
        <w:t>nel 2019 e 12 nel 2020</w:t>
      </w:r>
      <w:r>
        <w:rPr>
          <w:rFonts w:ascii="Arial" w:hAnsi="Arial" w:cs="Arial"/>
          <w:i/>
        </w:rPr>
        <w:t xml:space="preserve">. A questo si aggiunge l’interesse per il patrimonio di competenze e know-how rappresentato dal comparto farmaceutico italiano, in un’ottica di </w:t>
      </w:r>
      <w:r w:rsidRPr="00F26096">
        <w:rPr>
          <w:rFonts w:ascii="Arial" w:hAnsi="Arial" w:cs="Arial"/>
          <w:b/>
          <w:i/>
        </w:rPr>
        <w:t>future acquisizioni</w:t>
      </w:r>
      <w:r>
        <w:rPr>
          <w:rFonts w:ascii="Arial" w:hAnsi="Arial" w:cs="Arial"/>
          <w:i/>
        </w:rPr>
        <w:t>. Il primo passo dell’ingresso in Italia sarà con i biosimiliari</w:t>
      </w:r>
      <w:r>
        <w:rPr>
          <w:rFonts w:ascii="Arial" w:hAnsi="Arial" w:cs="Arial"/>
        </w:rPr>
        <w:t xml:space="preserve">, </w:t>
      </w:r>
      <w:r w:rsidRPr="004F736E">
        <w:rPr>
          <w:rFonts w:ascii="Arial" w:hAnsi="Arial" w:cs="Arial"/>
          <w:i/>
        </w:rPr>
        <w:t xml:space="preserve">ma </w:t>
      </w:r>
      <w:r>
        <w:rPr>
          <w:rFonts w:ascii="Arial" w:hAnsi="Arial" w:cs="Arial"/>
          <w:i/>
        </w:rPr>
        <w:t xml:space="preserve">l’azienda ha attualmente </w:t>
      </w:r>
      <w:r w:rsidRPr="004F736E">
        <w:rPr>
          <w:rFonts w:ascii="Arial" w:hAnsi="Arial" w:cs="Arial"/>
          <w:i/>
        </w:rPr>
        <w:t xml:space="preserve">una </w:t>
      </w:r>
      <w:r w:rsidRPr="00F26096">
        <w:rPr>
          <w:rFonts w:ascii="Arial" w:hAnsi="Arial" w:cs="Arial"/>
          <w:b/>
          <w:i/>
        </w:rPr>
        <w:t>promettente pipeline in ambito biotech</w:t>
      </w:r>
      <w:r w:rsidRPr="004F736E">
        <w:rPr>
          <w:rFonts w:ascii="Arial" w:hAnsi="Arial" w:cs="Arial"/>
          <w:i/>
        </w:rPr>
        <w:t xml:space="preserve"> </w:t>
      </w:r>
      <w:r>
        <w:rPr>
          <w:rFonts w:ascii="Arial" w:hAnsi="Arial" w:cs="Arial"/>
          <w:i/>
        </w:rPr>
        <w:t xml:space="preserve">che, </w:t>
      </w:r>
      <w:r w:rsidRPr="004F736E">
        <w:rPr>
          <w:rFonts w:ascii="Arial" w:hAnsi="Arial" w:cs="Arial"/>
          <w:i/>
        </w:rPr>
        <w:t>nei prossimi anni</w:t>
      </w:r>
      <w:r>
        <w:rPr>
          <w:rFonts w:ascii="Arial" w:hAnsi="Arial" w:cs="Arial"/>
          <w:i/>
        </w:rPr>
        <w:t>,</w:t>
      </w:r>
      <w:r w:rsidRPr="004F736E">
        <w:rPr>
          <w:rFonts w:ascii="Arial" w:hAnsi="Arial" w:cs="Arial"/>
          <w:i/>
        </w:rPr>
        <w:t xml:space="preserve"> </w:t>
      </w:r>
      <w:r>
        <w:rPr>
          <w:rFonts w:ascii="Arial" w:hAnsi="Arial" w:cs="Arial"/>
          <w:i/>
        </w:rPr>
        <w:t>le consentirà di proporre</w:t>
      </w:r>
      <w:r w:rsidRPr="004F736E">
        <w:rPr>
          <w:rFonts w:ascii="Arial" w:hAnsi="Arial" w:cs="Arial"/>
          <w:i/>
        </w:rPr>
        <w:t xml:space="preserve"> prodotti </w:t>
      </w:r>
      <w:r w:rsidRPr="000D41DB">
        <w:rPr>
          <w:rFonts w:ascii="Arial" w:hAnsi="Arial" w:cs="Arial"/>
          <w:i/>
        </w:rPr>
        <w:t>innovativi in aree terapeutiche quali Oncologia, Cardiovascolare, Diabete”.</w:t>
      </w:r>
      <w:r>
        <w:rPr>
          <w:rFonts w:ascii="Arial" w:hAnsi="Arial" w:cs="Arial"/>
          <w:i/>
        </w:rPr>
        <w:t xml:space="preserve"> </w:t>
      </w:r>
    </w:p>
    <w:p w:rsidR="00D23B40" w:rsidRDefault="00D23B40" w:rsidP="00D23B40">
      <w:pPr>
        <w:spacing w:after="0" w:line="276" w:lineRule="auto"/>
        <w:jc w:val="both"/>
        <w:rPr>
          <w:rFonts w:ascii="Arial" w:hAnsi="Arial" w:cs="Arial"/>
        </w:rPr>
      </w:pPr>
    </w:p>
    <w:p w:rsidR="00D23B40" w:rsidRDefault="00D23B40" w:rsidP="00D23B40">
      <w:pPr>
        <w:spacing w:after="0" w:line="276" w:lineRule="auto"/>
        <w:jc w:val="both"/>
        <w:rPr>
          <w:rFonts w:ascii="Arial" w:hAnsi="Arial" w:cs="Arial"/>
        </w:rPr>
      </w:pPr>
      <w:r>
        <w:rPr>
          <w:rFonts w:ascii="Arial" w:hAnsi="Arial" w:cs="Arial"/>
        </w:rPr>
        <w:t>L’alta</w:t>
      </w:r>
      <w:r w:rsidRPr="00A372DA">
        <w:rPr>
          <w:rFonts w:ascii="Arial" w:hAnsi="Arial" w:cs="Arial"/>
        </w:rPr>
        <w:t xml:space="preserve"> qualità de</w:t>
      </w:r>
      <w:r>
        <w:rPr>
          <w:rFonts w:ascii="Arial" w:hAnsi="Arial" w:cs="Arial"/>
        </w:rPr>
        <w:t>i principi attivi di Techdow</w:t>
      </w:r>
      <w:r w:rsidRPr="00A372DA">
        <w:rPr>
          <w:rFonts w:ascii="Arial" w:hAnsi="Arial" w:cs="Arial"/>
        </w:rPr>
        <w:t xml:space="preserve"> è </w:t>
      </w:r>
      <w:r>
        <w:rPr>
          <w:rFonts w:ascii="Arial" w:hAnsi="Arial" w:cs="Arial"/>
        </w:rPr>
        <w:t xml:space="preserve">attestata dal fatto che l’azienda sia fra i pochi produttori cinesi ad aver superato i controlli sulle buone prassi di fabbricazione (le </w:t>
      </w:r>
      <w:r w:rsidRPr="00F26096">
        <w:rPr>
          <w:rFonts w:ascii="Arial" w:hAnsi="Arial" w:cs="Arial"/>
          <w:b/>
        </w:rPr>
        <w:t>“Good Manufacturing Practices”</w:t>
      </w:r>
      <w:r w:rsidRPr="002A70B9">
        <w:rPr>
          <w:rFonts w:ascii="Arial" w:hAnsi="Arial" w:cs="Arial"/>
        </w:rPr>
        <w:t xml:space="preserve"> </w:t>
      </w:r>
      <w:r>
        <w:rPr>
          <w:rFonts w:ascii="Arial" w:hAnsi="Arial" w:cs="Arial"/>
        </w:rPr>
        <w:t xml:space="preserve">GMP) </w:t>
      </w:r>
      <w:r w:rsidRPr="00F26096">
        <w:rPr>
          <w:rFonts w:ascii="Arial" w:hAnsi="Arial" w:cs="Arial"/>
          <w:b/>
        </w:rPr>
        <w:t>in USA, Europa, Australia, Brasile e Cina</w:t>
      </w:r>
      <w:r>
        <w:rPr>
          <w:rFonts w:ascii="Arial" w:hAnsi="Arial" w:cs="Arial"/>
        </w:rPr>
        <w:t xml:space="preserve">. Un’ulteriore conferma degli elevati standard produttivi è il fatto che </w:t>
      </w:r>
      <w:r w:rsidRPr="00F26096">
        <w:rPr>
          <w:rFonts w:ascii="Arial" w:hAnsi="Arial" w:cs="Arial"/>
          <w:b/>
        </w:rPr>
        <w:t>il 27% dello staff</w:t>
      </w:r>
      <w:r>
        <w:rPr>
          <w:rFonts w:ascii="Arial" w:hAnsi="Arial" w:cs="Arial"/>
        </w:rPr>
        <w:t xml:space="preserve"> aziendale sia </w:t>
      </w:r>
      <w:r w:rsidRPr="00F26096">
        <w:rPr>
          <w:rFonts w:ascii="Arial" w:hAnsi="Arial" w:cs="Arial"/>
          <w:b/>
        </w:rPr>
        <w:t>occupato in funzioni di Quality Assurance</w:t>
      </w:r>
      <w:r>
        <w:rPr>
          <w:rFonts w:ascii="Arial" w:hAnsi="Arial" w:cs="Arial"/>
          <w:b/>
        </w:rPr>
        <w:t xml:space="preserve"> e Quality Control</w:t>
      </w:r>
      <w:r>
        <w:rPr>
          <w:rFonts w:ascii="Arial" w:hAnsi="Arial" w:cs="Arial"/>
        </w:rPr>
        <w:t xml:space="preserve">. </w:t>
      </w:r>
    </w:p>
    <w:p w:rsidR="00D23B40" w:rsidRPr="005371DA" w:rsidRDefault="00D23B40" w:rsidP="00055BF5">
      <w:pPr>
        <w:spacing w:after="0" w:line="276" w:lineRule="auto"/>
        <w:jc w:val="both"/>
        <w:rPr>
          <w:rFonts w:ascii="Arial" w:hAnsi="Arial" w:cs="Arial"/>
        </w:rPr>
      </w:pPr>
    </w:p>
    <w:p w:rsidR="000742F6" w:rsidRDefault="000742F6" w:rsidP="00055BF5">
      <w:pPr>
        <w:spacing w:after="0" w:line="276" w:lineRule="auto"/>
        <w:jc w:val="both"/>
        <w:rPr>
          <w:rFonts w:ascii="Arial" w:hAnsi="Arial" w:cs="Arial"/>
        </w:rPr>
      </w:pPr>
    </w:p>
    <w:p w:rsidR="000742F6" w:rsidRDefault="00D23B40" w:rsidP="000742F6">
      <w:pPr>
        <w:spacing w:after="0" w:line="276" w:lineRule="auto"/>
        <w:jc w:val="both"/>
        <w:rPr>
          <w:rFonts w:ascii="Arial" w:hAnsi="Arial" w:cs="Arial"/>
        </w:rPr>
      </w:pPr>
      <w:r>
        <w:rPr>
          <w:rFonts w:ascii="Arial" w:hAnsi="Arial" w:cs="Arial"/>
        </w:rPr>
        <w:lastRenderedPageBreak/>
        <w:t>L’azienda inizierà</w:t>
      </w:r>
      <w:r w:rsidR="00D764C1">
        <w:rPr>
          <w:rFonts w:ascii="Arial" w:hAnsi="Arial" w:cs="Arial"/>
        </w:rPr>
        <w:t>, quindi,</w:t>
      </w:r>
      <w:r>
        <w:rPr>
          <w:rFonts w:ascii="Arial" w:hAnsi="Arial" w:cs="Arial"/>
        </w:rPr>
        <w:t xml:space="preserve"> il suo percorso di penetrazione del mercato farmaceutico italiano nell’ambito dei biosimilari,</w:t>
      </w:r>
      <w:r w:rsidR="00FB63FE" w:rsidRPr="00FB63FE">
        <w:rPr>
          <w:rFonts w:ascii="Arial" w:hAnsi="Arial" w:cs="Arial"/>
        </w:rPr>
        <w:t xml:space="preserve"> farmaci sviluppati per risultare simili a un biotecnologico già autorizzato (il cosiddetto medicinale "originator”)</w:t>
      </w:r>
      <w:r>
        <w:rPr>
          <w:rFonts w:ascii="Arial" w:hAnsi="Arial" w:cs="Arial"/>
        </w:rPr>
        <w:t>,</w:t>
      </w:r>
      <w:r w:rsidR="00FB63FE" w:rsidRPr="00FB63FE">
        <w:rPr>
          <w:rFonts w:ascii="Arial" w:hAnsi="Arial" w:cs="Arial"/>
        </w:rPr>
        <w:t xml:space="preserve"> </w:t>
      </w:r>
      <w:r>
        <w:rPr>
          <w:rFonts w:ascii="Arial" w:hAnsi="Arial" w:cs="Arial"/>
        </w:rPr>
        <w:t>ch</w:t>
      </w:r>
      <w:r w:rsidR="00FB63FE" w:rsidRPr="00FB63FE">
        <w:rPr>
          <w:rFonts w:ascii="Arial" w:hAnsi="Arial" w:cs="Arial"/>
        </w:rPr>
        <w:t>e vengono approvati dall’Agenzia Europea dei Medicinali (EMA) in base a procedure molto severe.</w:t>
      </w:r>
      <w:r w:rsidR="00FB63FE">
        <w:rPr>
          <w:rFonts w:ascii="Arial" w:hAnsi="Arial" w:cs="Arial"/>
        </w:rPr>
        <w:t xml:space="preserve"> L’Ente regolatorio pretende, infatti, </w:t>
      </w:r>
      <w:r w:rsidR="00FB63FE" w:rsidRPr="00FB63FE">
        <w:rPr>
          <w:rFonts w:ascii="Arial" w:hAnsi="Arial" w:cs="Arial"/>
        </w:rPr>
        <w:t xml:space="preserve">l’“esercizio di comparabilità”: attraverso rigorosi studi preclinici e clinici, l’azienda produttrice </w:t>
      </w:r>
      <w:r>
        <w:rPr>
          <w:rFonts w:ascii="Arial" w:hAnsi="Arial" w:cs="Arial"/>
        </w:rPr>
        <w:t>di un</w:t>
      </w:r>
      <w:r w:rsidR="00FB63FE" w:rsidRPr="00FB63FE">
        <w:rPr>
          <w:rFonts w:ascii="Arial" w:hAnsi="Arial" w:cs="Arial"/>
        </w:rPr>
        <w:t xml:space="preserve"> biosimilare deve dimostrare che il suo farmaco è comparabile a quello di riferimento, per quanto riguarda qualità, sicurezza ed efficacia.</w:t>
      </w:r>
      <w:r w:rsidR="00FB63FE">
        <w:rPr>
          <w:rFonts w:ascii="Arial" w:hAnsi="Arial" w:cs="Arial"/>
        </w:rPr>
        <w:t xml:space="preserve"> </w:t>
      </w:r>
      <w:r w:rsidR="00FB63FE" w:rsidRPr="009D0F98">
        <w:rPr>
          <w:rFonts w:ascii="Arial" w:hAnsi="Arial" w:cs="Arial"/>
          <w:b/>
        </w:rPr>
        <w:t>Oggi, in Europa, i</w:t>
      </w:r>
      <w:r w:rsidR="000742F6" w:rsidRPr="009D0F98">
        <w:rPr>
          <w:rFonts w:ascii="Arial" w:hAnsi="Arial" w:cs="Arial"/>
          <w:b/>
        </w:rPr>
        <w:t xml:space="preserve">l mercato dei biosimilari supera i </w:t>
      </w:r>
      <w:r w:rsidR="006C609F">
        <w:rPr>
          <w:rFonts w:ascii="Arial" w:hAnsi="Arial" w:cs="Arial"/>
          <w:b/>
        </w:rPr>
        <w:t xml:space="preserve">700 </w:t>
      </w:r>
      <w:r w:rsidR="000742F6" w:rsidRPr="009D0F98">
        <w:rPr>
          <w:rFonts w:ascii="Arial" w:hAnsi="Arial" w:cs="Arial"/>
          <w:b/>
        </w:rPr>
        <w:t>mili</w:t>
      </w:r>
      <w:r w:rsidR="006C609F">
        <w:rPr>
          <w:rFonts w:ascii="Arial" w:hAnsi="Arial" w:cs="Arial"/>
          <w:b/>
        </w:rPr>
        <w:t>oni</w:t>
      </w:r>
      <w:r w:rsidR="000742F6" w:rsidRPr="009D0F98">
        <w:rPr>
          <w:rFonts w:ascii="Arial" w:hAnsi="Arial" w:cs="Arial"/>
          <w:b/>
        </w:rPr>
        <w:t xml:space="preserve"> di euro</w:t>
      </w:r>
      <w:r w:rsidR="000742F6" w:rsidRPr="000742F6">
        <w:rPr>
          <w:rFonts w:ascii="Arial" w:hAnsi="Arial" w:cs="Arial"/>
        </w:rPr>
        <w:t xml:space="preserve"> e ha</w:t>
      </w:r>
      <w:r w:rsidR="000742F6">
        <w:rPr>
          <w:rFonts w:ascii="Arial" w:hAnsi="Arial" w:cs="Arial"/>
        </w:rPr>
        <w:t xml:space="preserve"> un tasso di crescita positivo</w:t>
      </w:r>
      <w:r w:rsidR="009F1B08">
        <w:rPr>
          <w:rFonts w:ascii="Arial" w:hAnsi="Arial" w:cs="Arial"/>
        </w:rPr>
        <w:t xml:space="preserve"> e costante</w:t>
      </w:r>
      <w:r w:rsidR="000742F6">
        <w:rPr>
          <w:rFonts w:ascii="Arial" w:hAnsi="Arial" w:cs="Arial"/>
        </w:rPr>
        <w:t xml:space="preserve">. </w:t>
      </w:r>
      <w:r w:rsidR="000742F6" w:rsidRPr="000742F6">
        <w:rPr>
          <w:rFonts w:ascii="Arial" w:hAnsi="Arial" w:cs="Arial"/>
        </w:rPr>
        <w:t>L’Italia è tra i principali attori di questo mercato</w:t>
      </w:r>
      <w:r w:rsidR="00FB63FE">
        <w:rPr>
          <w:rFonts w:ascii="Arial" w:hAnsi="Arial" w:cs="Arial"/>
        </w:rPr>
        <w:t>,</w:t>
      </w:r>
      <w:r w:rsidR="000742F6" w:rsidRPr="000742F6">
        <w:rPr>
          <w:rFonts w:ascii="Arial" w:hAnsi="Arial" w:cs="Arial"/>
        </w:rPr>
        <w:t xml:space="preserve"> con una penetr</w:t>
      </w:r>
      <w:r w:rsidR="000742F6">
        <w:rPr>
          <w:rFonts w:ascii="Arial" w:hAnsi="Arial" w:cs="Arial"/>
        </w:rPr>
        <w:t xml:space="preserve">azione superiore alla media EU. </w:t>
      </w:r>
      <w:r w:rsidR="005D1CB4" w:rsidRPr="001C3907">
        <w:rPr>
          <w:rFonts w:ascii="Arial" w:hAnsi="Arial" w:cs="Arial"/>
          <w:b/>
        </w:rPr>
        <w:t>Nel nostro Paese, in particolare,</w:t>
      </w:r>
      <w:r w:rsidR="000742F6" w:rsidRPr="001C3907">
        <w:rPr>
          <w:rFonts w:ascii="Arial" w:hAnsi="Arial" w:cs="Arial"/>
          <w:b/>
        </w:rPr>
        <w:t xml:space="preserve"> vi è stato un incremento nell’utilizzo delle molecole biosimilari </w:t>
      </w:r>
      <w:r w:rsidR="00FB63FE" w:rsidRPr="001C3907">
        <w:rPr>
          <w:rFonts w:ascii="Arial" w:hAnsi="Arial" w:cs="Arial"/>
          <w:b/>
        </w:rPr>
        <w:t xml:space="preserve">del </w:t>
      </w:r>
      <w:r w:rsidR="000742F6" w:rsidRPr="001C3907">
        <w:rPr>
          <w:rFonts w:ascii="Arial" w:hAnsi="Arial" w:cs="Arial"/>
          <w:b/>
        </w:rPr>
        <w:t>61% rispetto al 2016</w:t>
      </w:r>
      <w:r w:rsidR="000742F6" w:rsidRPr="000742F6">
        <w:rPr>
          <w:rFonts w:ascii="Arial" w:hAnsi="Arial" w:cs="Arial"/>
        </w:rPr>
        <w:t>.</w:t>
      </w:r>
    </w:p>
    <w:p w:rsidR="000742F6" w:rsidRDefault="000742F6" w:rsidP="000742F6">
      <w:pPr>
        <w:spacing w:after="0" w:line="276" w:lineRule="auto"/>
        <w:jc w:val="both"/>
        <w:rPr>
          <w:rFonts w:ascii="Arial" w:hAnsi="Arial" w:cs="Arial"/>
        </w:rPr>
      </w:pPr>
    </w:p>
    <w:p w:rsidR="00824A10" w:rsidRDefault="00BD3744" w:rsidP="00D23B40">
      <w:pPr>
        <w:spacing w:after="0" w:line="276" w:lineRule="auto"/>
        <w:jc w:val="both"/>
        <w:rPr>
          <w:rFonts w:ascii="Arial" w:hAnsi="Arial" w:cs="Arial"/>
          <w:i/>
        </w:rPr>
      </w:pPr>
      <w:r>
        <w:rPr>
          <w:rFonts w:ascii="Arial" w:hAnsi="Arial" w:cs="Arial"/>
          <w:i/>
        </w:rPr>
        <w:t>“</w:t>
      </w:r>
      <w:r w:rsidRPr="00D23B40">
        <w:rPr>
          <w:rFonts w:ascii="Arial" w:hAnsi="Arial" w:cs="Arial"/>
          <w:i/>
        </w:rPr>
        <w:t>Sono già diversi i farmaci biosimilari sul mercato</w:t>
      </w:r>
      <w:r w:rsidR="00D23B40">
        <w:rPr>
          <w:rFonts w:ascii="Arial" w:hAnsi="Arial" w:cs="Arial"/>
          <w:i/>
        </w:rPr>
        <w:t>”</w:t>
      </w:r>
      <w:r w:rsidR="00D23B40">
        <w:rPr>
          <w:rFonts w:ascii="Arial" w:hAnsi="Arial" w:cs="Arial"/>
        </w:rPr>
        <w:t xml:space="preserve">, evidenzia </w:t>
      </w:r>
      <w:r w:rsidR="00D23B40" w:rsidRPr="00F45BF6">
        <w:rPr>
          <w:rFonts w:ascii="Arial" w:hAnsi="Arial" w:cs="Arial"/>
          <w:b/>
        </w:rPr>
        <w:t>Giovanni Di Perri</w:t>
      </w:r>
      <w:r w:rsidR="00D23B40">
        <w:rPr>
          <w:rFonts w:ascii="Arial" w:hAnsi="Arial" w:cs="Arial"/>
        </w:rPr>
        <w:t xml:space="preserve">, </w:t>
      </w:r>
      <w:r w:rsidR="00D23B40" w:rsidRPr="00D23B40">
        <w:rPr>
          <w:rFonts w:ascii="Arial" w:hAnsi="Arial" w:cs="Arial"/>
        </w:rPr>
        <w:t>Professore Ordinario di Malattie Infettive, Direttore della Clinica di Malattie Infettive e del Laboratorio di Farmacologia Clinica e Farmacogenetica</w:t>
      </w:r>
      <w:r w:rsidR="00D23B40">
        <w:rPr>
          <w:rFonts w:ascii="Arial" w:hAnsi="Arial" w:cs="Arial"/>
        </w:rPr>
        <w:t xml:space="preserve">, </w:t>
      </w:r>
      <w:r w:rsidR="00D23B40" w:rsidRPr="00D23B40">
        <w:rPr>
          <w:rFonts w:ascii="Arial" w:hAnsi="Arial" w:cs="Arial"/>
        </w:rPr>
        <w:t>Università degli Studi di Torino</w:t>
      </w:r>
      <w:r w:rsidR="00D23B40" w:rsidRPr="00D23B40">
        <w:rPr>
          <w:rFonts w:ascii="Arial" w:hAnsi="Arial" w:cs="Arial"/>
          <w:i/>
        </w:rPr>
        <w:t xml:space="preserve">. </w:t>
      </w:r>
      <w:r>
        <w:rPr>
          <w:rFonts w:ascii="Arial" w:hAnsi="Arial" w:cs="Arial"/>
          <w:i/>
        </w:rPr>
        <w:t>“</w:t>
      </w:r>
      <w:r w:rsidR="00D23B40" w:rsidRPr="00D23B40">
        <w:rPr>
          <w:rFonts w:ascii="Arial" w:hAnsi="Arial" w:cs="Arial"/>
          <w:i/>
        </w:rPr>
        <w:t>L’elemento di maggiore rilevanza in termini di ricaduta sulla salute umana è rappresentato dal fatto che la crescita in corso sul mercato dei biosimilari determinerà la possibilità di un concreto risparmio finanziario e, quindi, di un accesso alle cure più agevole.</w:t>
      </w:r>
      <w:r w:rsidR="00D23B40">
        <w:rPr>
          <w:rFonts w:ascii="Arial" w:hAnsi="Arial" w:cs="Arial"/>
          <w:i/>
        </w:rPr>
        <w:t xml:space="preserve"> </w:t>
      </w:r>
      <w:r w:rsidR="00D23B40" w:rsidRPr="00D23B40">
        <w:rPr>
          <w:rFonts w:ascii="Arial" w:hAnsi="Arial" w:cs="Arial"/>
          <w:i/>
        </w:rPr>
        <w:t>L’ingresso in Italia della prima Big Pharma cinese, la Techdow, accreditata in cinque Continenti alla produzione di biosimilari, non potrà che portare ulteriore spinta allo sviluppo di questo settore, le cui reali potenzialità vanno certamente oltre l’attuale contesto di applicazione”.</w:t>
      </w:r>
    </w:p>
    <w:p w:rsidR="00D764C1" w:rsidRDefault="00D764C1" w:rsidP="00D23B40">
      <w:pPr>
        <w:spacing w:after="0" w:line="276" w:lineRule="auto"/>
        <w:jc w:val="both"/>
        <w:rPr>
          <w:rFonts w:ascii="Arial" w:hAnsi="Arial" w:cs="Arial"/>
          <w:i/>
        </w:rPr>
      </w:pPr>
    </w:p>
    <w:p w:rsidR="00D764C1" w:rsidRPr="00D23B40" w:rsidRDefault="00D764C1" w:rsidP="00961737">
      <w:pPr>
        <w:spacing w:after="0" w:line="276" w:lineRule="auto"/>
        <w:jc w:val="both"/>
        <w:rPr>
          <w:rFonts w:ascii="Arial" w:hAnsi="Arial" w:cs="Arial"/>
          <w:i/>
        </w:rPr>
      </w:pPr>
      <w:r>
        <w:rPr>
          <w:rFonts w:ascii="Arial" w:hAnsi="Arial" w:cs="Arial"/>
          <w:i/>
        </w:rPr>
        <w:t>“</w:t>
      </w:r>
      <w:r w:rsidRPr="00D764C1">
        <w:rPr>
          <w:rFonts w:ascii="Arial" w:hAnsi="Arial" w:cs="Arial"/>
          <w:i/>
        </w:rPr>
        <w:t>Ad oggi, la prima generazione di farmaci biologici sta raggiungendo, o ha già raggiunto, la scadenza brevettuale e un gran numero di biosimilari si sta affacciando nel mercato farmaceutico italiano</w:t>
      </w:r>
      <w:r w:rsidR="00961737">
        <w:rPr>
          <w:rFonts w:ascii="Arial" w:hAnsi="Arial" w:cs="Arial"/>
          <w:i/>
        </w:rPr>
        <w:t>”</w:t>
      </w:r>
      <w:r w:rsidR="00961737">
        <w:rPr>
          <w:rFonts w:ascii="Arial" w:hAnsi="Arial" w:cs="Arial"/>
        </w:rPr>
        <w:t xml:space="preserve">, illustra </w:t>
      </w:r>
      <w:r w:rsidR="00961737" w:rsidRPr="00961737">
        <w:rPr>
          <w:rFonts w:ascii="Arial" w:hAnsi="Arial" w:cs="Arial"/>
          <w:b/>
        </w:rPr>
        <w:t>Francesco Saverio Mennini</w:t>
      </w:r>
      <w:r w:rsidR="00961737">
        <w:rPr>
          <w:rFonts w:ascii="Arial" w:hAnsi="Arial" w:cs="Arial"/>
        </w:rPr>
        <w:t xml:space="preserve">, </w:t>
      </w:r>
      <w:r w:rsidR="00961737" w:rsidRPr="00961737">
        <w:rPr>
          <w:rFonts w:ascii="Arial" w:hAnsi="Arial" w:cs="Arial"/>
        </w:rPr>
        <w:t>Direttore Centro per la Valutazione Economica e HTA (CEIS - EEHTA), Università degli Studi di Roma "Tor Vergata”</w:t>
      </w:r>
      <w:r w:rsidRPr="00D764C1">
        <w:rPr>
          <w:rFonts w:ascii="Arial" w:hAnsi="Arial" w:cs="Arial"/>
          <w:i/>
        </w:rPr>
        <w:t xml:space="preserve">. </w:t>
      </w:r>
      <w:r w:rsidR="00961737">
        <w:rPr>
          <w:rFonts w:ascii="Arial" w:hAnsi="Arial" w:cs="Arial"/>
          <w:i/>
        </w:rPr>
        <w:t>“Il</w:t>
      </w:r>
      <w:r>
        <w:rPr>
          <w:rFonts w:ascii="Arial" w:hAnsi="Arial" w:cs="Arial"/>
          <w:i/>
        </w:rPr>
        <w:t xml:space="preserve"> loro impiego</w:t>
      </w:r>
      <w:r w:rsidR="00961737">
        <w:rPr>
          <w:rFonts w:ascii="Arial" w:hAnsi="Arial" w:cs="Arial"/>
          <w:i/>
        </w:rPr>
        <w:t xml:space="preserve"> potrà</w:t>
      </w:r>
      <w:r w:rsidRPr="00D764C1">
        <w:rPr>
          <w:rFonts w:ascii="Arial" w:hAnsi="Arial" w:cs="Arial"/>
          <w:i/>
        </w:rPr>
        <w:t xml:space="preserve"> generare importanti risparmi per</w:t>
      </w:r>
      <w:r w:rsidR="00961737">
        <w:rPr>
          <w:rFonts w:ascii="Arial" w:hAnsi="Arial" w:cs="Arial"/>
          <w:i/>
        </w:rPr>
        <w:t xml:space="preserve"> i Sistemi Sanitari, </w:t>
      </w:r>
      <w:r>
        <w:rPr>
          <w:rFonts w:ascii="Arial" w:hAnsi="Arial" w:cs="Arial"/>
          <w:i/>
        </w:rPr>
        <w:t xml:space="preserve">offrire </w:t>
      </w:r>
      <w:r w:rsidRPr="00D764C1">
        <w:rPr>
          <w:rFonts w:ascii="Arial" w:hAnsi="Arial" w:cs="Arial"/>
          <w:i/>
        </w:rPr>
        <w:t xml:space="preserve">la possibilità di estendere l’accesso alle cure a un numero </w:t>
      </w:r>
      <w:r w:rsidR="00961737">
        <w:rPr>
          <w:rFonts w:ascii="Arial" w:hAnsi="Arial" w:cs="Arial"/>
          <w:i/>
        </w:rPr>
        <w:t>crescente</w:t>
      </w:r>
      <w:r w:rsidRPr="00D764C1">
        <w:rPr>
          <w:rFonts w:ascii="Arial" w:hAnsi="Arial" w:cs="Arial"/>
          <w:i/>
        </w:rPr>
        <w:t xml:space="preserve"> di pazienti e </w:t>
      </w:r>
      <w:r w:rsidR="00961737">
        <w:rPr>
          <w:rFonts w:ascii="Arial" w:hAnsi="Arial" w:cs="Arial"/>
          <w:i/>
        </w:rPr>
        <w:t xml:space="preserve">permetterà </w:t>
      </w:r>
      <w:r w:rsidRPr="00D764C1">
        <w:rPr>
          <w:rFonts w:ascii="Arial" w:hAnsi="Arial" w:cs="Arial"/>
          <w:i/>
        </w:rPr>
        <w:t xml:space="preserve">di disporre di un maggior quantitativo di risorse economiche </w:t>
      </w:r>
      <w:r>
        <w:rPr>
          <w:rFonts w:ascii="Arial" w:hAnsi="Arial" w:cs="Arial"/>
          <w:i/>
        </w:rPr>
        <w:t xml:space="preserve">da reinvestire in innovazione. </w:t>
      </w:r>
      <w:r w:rsidR="00DC5C85">
        <w:rPr>
          <w:rFonts w:ascii="Arial" w:hAnsi="Arial" w:cs="Arial"/>
          <w:i/>
        </w:rPr>
        <w:t xml:space="preserve">Un’analisi </w:t>
      </w:r>
      <w:r w:rsidR="00DC5C85" w:rsidRPr="00DC5C85">
        <w:rPr>
          <w:rFonts w:ascii="Arial" w:hAnsi="Arial" w:cs="Arial"/>
          <w:i/>
        </w:rPr>
        <w:t xml:space="preserve">recente </w:t>
      </w:r>
      <w:r w:rsidR="00DC5C85">
        <w:rPr>
          <w:rFonts w:ascii="Arial" w:hAnsi="Arial" w:cs="Arial"/>
          <w:i/>
        </w:rPr>
        <w:t xml:space="preserve">che ho condotto insieme al prof. Cicchetti e ad Assogenerici ha cercato di </w:t>
      </w:r>
      <w:r w:rsidR="00DC5C85" w:rsidRPr="00DC5C85">
        <w:rPr>
          <w:rFonts w:ascii="Arial" w:hAnsi="Arial" w:cs="Arial"/>
          <w:i/>
        </w:rPr>
        <w:t>fornire una quantificazione degli impatti economici che i biosimilari avranno sulla spesa sanitaria nazionale tra il 2014 e il 2020.</w:t>
      </w:r>
      <w:r w:rsidR="00DC5C85">
        <w:rPr>
          <w:rFonts w:ascii="Arial" w:hAnsi="Arial" w:cs="Arial"/>
          <w:i/>
        </w:rPr>
        <w:t xml:space="preserve"> </w:t>
      </w:r>
      <w:r w:rsidRPr="00D764C1">
        <w:rPr>
          <w:rFonts w:ascii="Arial" w:hAnsi="Arial" w:cs="Arial"/>
          <w:i/>
        </w:rPr>
        <w:t xml:space="preserve">Dal 2017 in poi, </w:t>
      </w:r>
      <w:r>
        <w:rPr>
          <w:rFonts w:ascii="Arial" w:hAnsi="Arial" w:cs="Arial"/>
          <w:i/>
        </w:rPr>
        <w:t>secondo lo scenario ipotizzato</w:t>
      </w:r>
      <w:r w:rsidRPr="00D764C1">
        <w:rPr>
          <w:rFonts w:ascii="Arial" w:hAnsi="Arial" w:cs="Arial"/>
          <w:i/>
        </w:rPr>
        <w:t>, si prevede una penetrazione del biosimilare varia</w:t>
      </w:r>
      <w:r w:rsidR="00DC5C85">
        <w:rPr>
          <w:rFonts w:ascii="Arial" w:hAnsi="Arial" w:cs="Arial"/>
          <w:i/>
        </w:rPr>
        <w:t>bile</w:t>
      </w:r>
      <w:r w:rsidRPr="00D764C1">
        <w:rPr>
          <w:rFonts w:ascii="Arial" w:hAnsi="Arial" w:cs="Arial"/>
          <w:i/>
        </w:rPr>
        <w:t xml:space="preserve"> </w:t>
      </w:r>
      <w:r w:rsidR="00DC5C85">
        <w:rPr>
          <w:rFonts w:ascii="Arial" w:hAnsi="Arial" w:cs="Arial"/>
          <w:i/>
        </w:rPr>
        <w:t>da</w:t>
      </w:r>
      <w:r w:rsidRPr="00D764C1">
        <w:rPr>
          <w:rFonts w:ascii="Arial" w:hAnsi="Arial" w:cs="Arial"/>
          <w:i/>
        </w:rPr>
        <w:t xml:space="preserve"> un minimo del 34% a un massimo del 61%, sul totale pazienti trattati in Italia.</w:t>
      </w:r>
      <w:r w:rsidR="00DC5C85" w:rsidRPr="00DC5C85">
        <w:t xml:space="preserve"> </w:t>
      </w:r>
      <w:r w:rsidR="00DC5C85" w:rsidRPr="00DC5C85">
        <w:rPr>
          <w:rFonts w:ascii="Arial" w:hAnsi="Arial" w:cs="Arial"/>
          <w:i/>
        </w:rPr>
        <w:t>Complessivamente, al 2020 si è stimato che i risparmi cumulati saranno tra i 500 e i 755 milioni</w:t>
      </w:r>
      <w:r w:rsidR="00374501">
        <w:rPr>
          <w:rFonts w:ascii="Arial" w:hAnsi="Arial" w:cs="Arial"/>
          <w:i/>
        </w:rPr>
        <w:t xml:space="preserve"> </w:t>
      </w:r>
      <w:bookmarkStart w:id="0" w:name="_GoBack"/>
      <w:bookmarkEnd w:id="0"/>
      <w:r w:rsidR="00374501">
        <w:rPr>
          <w:rFonts w:ascii="Arial" w:hAnsi="Arial" w:cs="Arial"/>
          <w:i/>
        </w:rPr>
        <w:t>di euro</w:t>
      </w:r>
      <w:r w:rsidR="00DC5C85">
        <w:rPr>
          <w:rFonts w:ascii="Arial" w:hAnsi="Arial" w:cs="Arial"/>
          <w:i/>
        </w:rPr>
        <w:t>”</w:t>
      </w:r>
      <w:r w:rsidR="00DC5C85" w:rsidRPr="00DC5C85">
        <w:rPr>
          <w:rFonts w:ascii="Arial" w:hAnsi="Arial" w:cs="Arial"/>
          <w:i/>
        </w:rPr>
        <w:t>.</w:t>
      </w:r>
      <w:r w:rsidR="00DC5C85" w:rsidRPr="00DC5C85">
        <w:t xml:space="preserve"> </w:t>
      </w:r>
    </w:p>
    <w:p w:rsidR="00236737" w:rsidRDefault="00236737" w:rsidP="00A372DA">
      <w:pPr>
        <w:spacing w:after="0" w:line="276" w:lineRule="auto"/>
        <w:jc w:val="both"/>
        <w:rPr>
          <w:rFonts w:ascii="Arial" w:hAnsi="Arial" w:cs="Arial"/>
          <w:color w:val="000000"/>
        </w:rPr>
      </w:pPr>
    </w:p>
    <w:p w:rsidR="00AE75D0" w:rsidRDefault="00AE75D0" w:rsidP="00A372DA">
      <w:pPr>
        <w:spacing w:after="0" w:line="276" w:lineRule="auto"/>
        <w:jc w:val="both"/>
        <w:rPr>
          <w:rFonts w:ascii="Arial" w:hAnsi="Arial" w:cs="Arial"/>
        </w:rPr>
      </w:pPr>
    </w:p>
    <w:p w:rsidR="00BB7111" w:rsidRDefault="00BB7111" w:rsidP="00A372DA">
      <w:pPr>
        <w:spacing w:after="0" w:line="276" w:lineRule="auto"/>
        <w:jc w:val="both"/>
        <w:rPr>
          <w:rFonts w:ascii="Arial" w:hAnsi="Arial" w:cs="Arial"/>
        </w:rPr>
      </w:pPr>
    </w:p>
    <w:p w:rsidR="00824A10" w:rsidRPr="004F39D1" w:rsidRDefault="00824A10" w:rsidP="00824A10">
      <w:pPr>
        <w:spacing w:after="0" w:line="276" w:lineRule="auto"/>
        <w:jc w:val="both"/>
        <w:rPr>
          <w:rFonts w:ascii="Arial" w:hAnsi="Arial" w:cs="Arial"/>
          <w:color w:val="000000"/>
        </w:rPr>
      </w:pPr>
      <w:r>
        <w:rPr>
          <w:rFonts w:ascii="Arial" w:hAnsi="Arial" w:cs="Arial"/>
          <w:b/>
        </w:rPr>
        <w:t>Ufficio stampa</w:t>
      </w:r>
    </w:p>
    <w:p w:rsidR="00824A10" w:rsidRPr="008177D0" w:rsidRDefault="00824A10" w:rsidP="00824A10">
      <w:pPr>
        <w:spacing w:after="0"/>
        <w:jc w:val="both"/>
        <w:rPr>
          <w:rFonts w:ascii="Arial" w:hAnsi="Arial" w:cs="Arial"/>
        </w:rPr>
      </w:pPr>
      <w:r w:rsidRPr="008177D0">
        <w:rPr>
          <w:rFonts w:cs="Arial"/>
          <w:noProof/>
          <w:lang w:eastAsia="it-IT"/>
        </w:rPr>
        <w:drawing>
          <wp:inline distT="0" distB="0" distL="0" distR="0" wp14:anchorId="4891A86F" wp14:editId="16F7757B">
            <wp:extent cx="1543050" cy="171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254" cy="172917"/>
                    </a:xfrm>
                    <a:prstGeom prst="rect">
                      <a:avLst/>
                    </a:prstGeom>
                    <a:noFill/>
                    <a:ln>
                      <a:noFill/>
                    </a:ln>
                  </pic:spPr>
                </pic:pic>
              </a:graphicData>
            </a:graphic>
          </wp:inline>
        </w:drawing>
      </w:r>
    </w:p>
    <w:p w:rsidR="00824A10" w:rsidRPr="008177D0" w:rsidRDefault="00824A10" w:rsidP="00824A10">
      <w:pPr>
        <w:spacing w:after="0"/>
        <w:jc w:val="both"/>
        <w:rPr>
          <w:rFonts w:ascii="Arial" w:hAnsi="Arial" w:cs="Arial"/>
        </w:rPr>
      </w:pPr>
      <w:r w:rsidRPr="008177D0">
        <w:rPr>
          <w:rFonts w:ascii="Arial" w:hAnsi="Arial" w:cs="Arial"/>
        </w:rPr>
        <w:t xml:space="preserve">Francesca Alibrandi, 02 20424923, cell. 335.8368826, </w:t>
      </w:r>
      <w:hyperlink r:id="rId8" w:history="1">
        <w:r w:rsidRPr="008177D0">
          <w:rPr>
            <w:rStyle w:val="Collegamentoipertestuale"/>
            <w:rFonts w:ascii="Arial" w:hAnsi="Arial" w:cs="Arial"/>
          </w:rPr>
          <w:t>f.alibrandi@vrelations.it</w:t>
        </w:r>
      </w:hyperlink>
    </w:p>
    <w:p w:rsidR="00824A10" w:rsidRDefault="00824A10" w:rsidP="00824A10">
      <w:pPr>
        <w:spacing w:after="0"/>
        <w:jc w:val="both"/>
        <w:rPr>
          <w:rFonts w:ascii="Arial" w:hAnsi="Arial" w:cs="Arial"/>
        </w:rPr>
      </w:pPr>
      <w:r w:rsidRPr="008177D0">
        <w:rPr>
          <w:rFonts w:ascii="Arial" w:hAnsi="Arial" w:cs="Arial"/>
        </w:rPr>
        <w:t xml:space="preserve">Antonella Martucci, 02 20424925, cell. 340.6775463, </w:t>
      </w:r>
      <w:hyperlink r:id="rId9" w:history="1">
        <w:r w:rsidRPr="008177D0">
          <w:rPr>
            <w:rStyle w:val="Collegamentoipertestuale"/>
            <w:rFonts w:ascii="Arial" w:hAnsi="Arial" w:cs="Arial"/>
          </w:rPr>
          <w:t>a.martucci@vrelations.it</w:t>
        </w:r>
      </w:hyperlink>
    </w:p>
    <w:p w:rsidR="00B84A1E" w:rsidRDefault="00B84A1E" w:rsidP="008236B7">
      <w:pPr>
        <w:spacing w:after="0"/>
        <w:jc w:val="both"/>
        <w:rPr>
          <w:rFonts w:ascii="Arial" w:hAnsi="Arial" w:cs="Arial"/>
        </w:rPr>
      </w:pPr>
    </w:p>
    <w:p w:rsidR="00B84A1E" w:rsidRDefault="00B84A1E" w:rsidP="008236B7">
      <w:pPr>
        <w:spacing w:after="0"/>
        <w:jc w:val="both"/>
        <w:rPr>
          <w:rFonts w:ascii="Arial" w:hAnsi="Arial" w:cs="Arial"/>
        </w:rPr>
      </w:pPr>
    </w:p>
    <w:p w:rsidR="00B84A1E" w:rsidRPr="008177D0" w:rsidRDefault="00B84A1E" w:rsidP="008236B7">
      <w:pPr>
        <w:spacing w:after="0"/>
        <w:jc w:val="both"/>
        <w:rPr>
          <w:rFonts w:ascii="Arial" w:hAnsi="Arial" w:cs="Arial"/>
        </w:rPr>
      </w:pPr>
    </w:p>
    <w:p w:rsidR="00FC2768" w:rsidRDefault="00FC2768" w:rsidP="00D57300">
      <w:pPr>
        <w:spacing w:after="0" w:line="276" w:lineRule="auto"/>
        <w:jc w:val="both"/>
        <w:rPr>
          <w:rFonts w:ascii="Arial" w:hAnsi="Arial" w:cs="Arial"/>
          <w:color w:val="000000"/>
        </w:rPr>
      </w:pPr>
    </w:p>
    <w:p w:rsidR="007D245A" w:rsidRPr="005C7CB1" w:rsidRDefault="007D245A" w:rsidP="00055BF5">
      <w:pPr>
        <w:spacing w:after="0" w:line="276" w:lineRule="auto"/>
        <w:rPr>
          <w:rFonts w:ascii="Arial" w:hAnsi="Arial" w:cs="Arial"/>
        </w:rPr>
      </w:pPr>
    </w:p>
    <w:sectPr w:rsidR="007D245A" w:rsidRPr="005C7CB1" w:rsidSect="005C7CB1">
      <w:headerReference w:type="defaul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2C9" w:rsidRDefault="000D42C9" w:rsidP="005C7CB1">
      <w:pPr>
        <w:spacing w:after="0" w:line="240" w:lineRule="auto"/>
      </w:pPr>
      <w:r>
        <w:separator/>
      </w:r>
    </w:p>
  </w:endnote>
  <w:endnote w:type="continuationSeparator" w:id="0">
    <w:p w:rsidR="000D42C9" w:rsidRDefault="000D42C9" w:rsidP="005C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2C9" w:rsidRDefault="000D42C9" w:rsidP="005C7CB1">
      <w:pPr>
        <w:spacing w:after="0" w:line="240" w:lineRule="auto"/>
      </w:pPr>
      <w:r>
        <w:separator/>
      </w:r>
    </w:p>
  </w:footnote>
  <w:footnote w:type="continuationSeparator" w:id="0">
    <w:p w:rsidR="000D42C9" w:rsidRDefault="000D42C9" w:rsidP="005C7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B1" w:rsidRDefault="005C7CB1" w:rsidP="005C7CB1">
    <w:pPr>
      <w:pStyle w:val="Intestazione"/>
      <w:jc w:val="center"/>
    </w:pPr>
    <w:r>
      <w:rPr>
        <w:noProof/>
      </w:rPr>
      <w:drawing>
        <wp:inline distT="0" distB="0" distL="0" distR="0" wp14:anchorId="3062F387">
          <wp:extent cx="2542540" cy="6381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93B12"/>
    <w:multiLevelType w:val="hybridMultilevel"/>
    <w:tmpl w:val="E64EF258"/>
    <w:lvl w:ilvl="0" w:tplc="B5F03F48">
      <w:start w:val="1"/>
      <w:numFmt w:val="bullet"/>
      <w:lvlText w:val="•"/>
      <w:lvlJc w:val="left"/>
      <w:pPr>
        <w:tabs>
          <w:tab w:val="num" w:pos="720"/>
        </w:tabs>
        <w:ind w:left="720" w:hanging="360"/>
      </w:pPr>
      <w:rPr>
        <w:rFonts w:ascii="Arial" w:hAnsi="Arial" w:hint="default"/>
      </w:rPr>
    </w:lvl>
    <w:lvl w:ilvl="1" w:tplc="0C8CC99A" w:tentative="1">
      <w:start w:val="1"/>
      <w:numFmt w:val="bullet"/>
      <w:lvlText w:val="•"/>
      <w:lvlJc w:val="left"/>
      <w:pPr>
        <w:tabs>
          <w:tab w:val="num" w:pos="1440"/>
        </w:tabs>
        <w:ind w:left="1440" w:hanging="360"/>
      </w:pPr>
      <w:rPr>
        <w:rFonts w:ascii="Arial" w:hAnsi="Arial" w:hint="default"/>
      </w:rPr>
    </w:lvl>
    <w:lvl w:ilvl="2" w:tplc="C13A59FC" w:tentative="1">
      <w:start w:val="1"/>
      <w:numFmt w:val="bullet"/>
      <w:lvlText w:val="•"/>
      <w:lvlJc w:val="left"/>
      <w:pPr>
        <w:tabs>
          <w:tab w:val="num" w:pos="2160"/>
        </w:tabs>
        <w:ind w:left="2160" w:hanging="360"/>
      </w:pPr>
      <w:rPr>
        <w:rFonts w:ascii="Arial" w:hAnsi="Arial" w:hint="default"/>
      </w:rPr>
    </w:lvl>
    <w:lvl w:ilvl="3" w:tplc="A5C88508" w:tentative="1">
      <w:start w:val="1"/>
      <w:numFmt w:val="bullet"/>
      <w:lvlText w:val="•"/>
      <w:lvlJc w:val="left"/>
      <w:pPr>
        <w:tabs>
          <w:tab w:val="num" w:pos="2880"/>
        </w:tabs>
        <w:ind w:left="2880" w:hanging="360"/>
      </w:pPr>
      <w:rPr>
        <w:rFonts w:ascii="Arial" w:hAnsi="Arial" w:hint="default"/>
      </w:rPr>
    </w:lvl>
    <w:lvl w:ilvl="4" w:tplc="01A6A71A" w:tentative="1">
      <w:start w:val="1"/>
      <w:numFmt w:val="bullet"/>
      <w:lvlText w:val="•"/>
      <w:lvlJc w:val="left"/>
      <w:pPr>
        <w:tabs>
          <w:tab w:val="num" w:pos="3600"/>
        </w:tabs>
        <w:ind w:left="3600" w:hanging="360"/>
      </w:pPr>
      <w:rPr>
        <w:rFonts w:ascii="Arial" w:hAnsi="Arial" w:hint="default"/>
      </w:rPr>
    </w:lvl>
    <w:lvl w:ilvl="5" w:tplc="359E5A72" w:tentative="1">
      <w:start w:val="1"/>
      <w:numFmt w:val="bullet"/>
      <w:lvlText w:val="•"/>
      <w:lvlJc w:val="left"/>
      <w:pPr>
        <w:tabs>
          <w:tab w:val="num" w:pos="4320"/>
        </w:tabs>
        <w:ind w:left="4320" w:hanging="360"/>
      </w:pPr>
      <w:rPr>
        <w:rFonts w:ascii="Arial" w:hAnsi="Arial" w:hint="default"/>
      </w:rPr>
    </w:lvl>
    <w:lvl w:ilvl="6" w:tplc="516AC708" w:tentative="1">
      <w:start w:val="1"/>
      <w:numFmt w:val="bullet"/>
      <w:lvlText w:val="•"/>
      <w:lvlJc w:val="left"/>
      <w:pPr>
        <w:tabs>
          <w:tab w:val="num" w:pos="5040"/>
        </w:tabs>
        <w:ind w:left="5040" w:hanging="360"/>
      </w:pPr>
      <w:rPr>
        <w:rFonts w:ascii="Arial" w:hAnsi="Arial" w:hint="default"/>
      </w:rPr>
    </w:lvl>
    <w:lvl w:ilvl="7" w:tplc="FB268282" w:tentative="1">
      <w:start w:val="1"/>
      <w:numFmt w:val="bullet"/>
      <w:lvlText w:val="•"/>
      <w:lvlJc w:val="left"/>
      <w:pPr>
        <w:tabs>
          <w:tab w:val="num" w:pos="5760"/>
        </w:tabs>
        <w:ind w:left="5760" w:hanging="360"/>
      </w:pPr>
      <w:rPr>
        <w:rFonts w:ascii="Arial" w:hAnsi="Arial" w:hint="default"/>
      </w:rPr>
    </w:lvl>
    <w:lvl w:ilvl="8" w:tplc="4D703CA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52"/>
    <w:rsid w:val="00014CC1"/>
    <w:rsid w:val="000166BF"/>
    <w:rsid w:val="00055BF5"/>
    <w:rsid w:val="000742F6"/>
    <w:rsid w:val="0008488F"/>
    <w:rsid w:val="000D41DB"/>
    <w:rsid w:val="000D42C9"/>
    <w:rsid w:val="000D4C4E"/>
    <w:rsid w:val="000F40AC"/>
    <w:rsid w:val="00130AE4"/>
    <w:rsid w:val="00162AFE"/>
    <w:rsid w:val="00164953"/>
    <w:rsid w:val="001871A2"/>
    <w:rsid w:val="00190A34"/>
    <w:rsid w:val="001B4E8C"/>
    <w:rsid w:val="001C1DAA"/>
    <w:rsid w:val="001C3907"/>
    <w:rsid w:val="001C556A"/>
    <w:rsid w:val="002160D0"/>
    <w:rsid w:val="002170F3"/>
    <w:rsid w:val="00223C25"/>
    <w:rsid w:val="00227582"/>
    <w:rsid w:val="00235330"/>
    <w:rsid w:val="00236737"/>
    <w:rsid w:val="00261E2D"/>
    <w:rsid w:val="002648AE"/>
    <w:rsid w:val="00283129"/>
    <w:rsid w:val="00290D2C"/>
    <w:rsid w:val="002A70B9"/>
    <w:rsid w:val="002B1560"/>
    <w:rsid w:val="002C1026"/>
    <w:rsid w:val="002C145C"/>
    <w:rsid w:val="002D33FC"/>
    <w:rsid w:val="002D39D8"/>
    <w:rsid w:val="002D5743"/>
    <w:rsid w:val="002F48EE"/>
    <w:rsid w:val="00327B82"/>
    <w:rsid w:val="00340082"/>
    <w:rsid w:val="00345179"/>
    <w:rsid w:val="00364385"/>
    <w:rsid w:val="00370B88"/>
    <w:rsid w:val="00374501"/>
    <w:rsid w:val="00395D97"/>
    <w:rsid w:val="003A1DC1"/>
    <w:rsid w:val="003D37AF"/>
    <w:rsid w:val="003D62A9"/>
    <w:rsid w:val="003F0876"/>
    <w:rsid w:val="0045159C"/>
    <w:rsid w:val="004650C8"/>
    <w:rsid w:val="004870D3"/>
    <w:rsid w:val="004A6F57"/>
    <w:rsid w:val="004B3851"/>
    <w:rsid w:val="004D1E96"/>
    <w:rsid w:val="004E7926"/>
    <w:rsid w:val="004F39D1"/>
    <w:rsid w:val="004F736E"/>
    <w:rsid w:val="004F7E04"/>
    <w:rsid w:val="00503127"/>
    <w:rsid w:val="005371DA"/>
    <w:rsid w:val="00543925"/>
    <w:rsid w:val="00575B4A"/>
    <w:rsid w:val="005937EA"/>
    <w:rsid w:val="005C7CB1"/>
    <w:rsid w:val="005D1CB4"/>
    <w:rsid w:val="005E57B4"/>
    <w:rsid w:val="005F2AF6"/>
    <w:rsid w:val="00632E47"/>
    <w:rsid w:val="00644A25"/>
    <w:rsid w:val="0065167D"/>
    <w:rsid w:val="00697E2D"/>
    <w:rsid w:val="006A12B5"/>
    <w:rsid w:val="006A5421"/>
    <w:rsid w:val="006C609F"/>
    <w:rsid w:val="006C6C3D"/>
    <w:rsid w:val="006D54B5"/>
    <w:rsid w:val="006E2FFD"/>
    <w:rsid w:val="006F7C86"/>
    <w:rsid w:val="00703732"/>
    <w:rsid w:val="00717436"/>
    <w:rsid w:val="00730B98"/>
    <w:rsid w:val="00732CB1"/>
    <w:rsid w:val="00770A95"/>
    <w:rsid w:val="00774D5F"/>
    <w:rsid w:val="00797BD8"/>
    <w:rsid w:val="007C07AC"/>
    <w:rsid w:val="007D245A"/>
    <w:rsid w:val="008018CD"/>
    <w:rsid w:val="008236B7"/>
    <w:rsid w:val="00823CCA"/>
    <w:rsid w:val="00824A10"/>
    <w:rsid w:val="00840630"/>
    <w:rsid w:val="0086388B"/>
    <w:rsid w:val="00864FDB"/>
    <w:rsid w:val="009021D1"/>
    <w:rsid w:val="00903044"/>
    <w:rsid w:val="00917E78"/>
    <w:rsid w:val="009261D7"/>
    <w:rsid w:val="00926989"/>
    <w:rsid w:val="00961737"/>
    <w:rsid w:val="00961ACD"/>
    <w:rsid w:val="009758A8"/>
    <w:rsid w:val="009877B3"/>
    <w:rsid w:val="00990683"/>
    <w:rsid w:val="009C302C"/>
    <w:rsid w:val="009C57DA"/>
    <w:rsid w:val="009C5A6F"/>
    <w:rsid w:val="009D012F"/>
    <w:rsid w:val="009D0F98"/>
    <w:rsid w:val="009D23A6"/>
    <w:rsid w:val="009E6D64"/>
    <w:rsid w:val="009E7E8D"/>
    <w:rsid w:val="009F0DA9"/>
    <w:rsid w:val="009F1B08"/>
    <w:rsid w:val="00A12480"/>
    <w:rsid w:val="00A25B93"/>
    <w:rsid w:val="00A372DA"/>
    <w:rsid w:val="00A40EF0"/>
    <w:rsid w:val="00A43BF3"/>
    <w:rsid w:val="00A519CE"/>
    <w:rsid w:val="00A53BA8"/>
    <w:rsid w:val="00A94A8C"/>
    <w:rsid w:val="00AE75D0"/>
    <w:rsid w:val="00B04397"/>
    <w:rsid w:val="00B45039"/>
    <w:rsid w:val="00B77F8F"/>
    <w:rsid w:val="00B84A1E"/>
    <w:rsid w:val="00B86345"/>
    <w:rsid w:val="00BB5A7B"/>
    <w:rsid w:val="00BB7111"/>
    <w:rsid w:val="00BC7E89"/>
    <w:rsid w:val="00BD3744"/>
    <w:rsid w:val="00BD374E"/>
    <w:rsid w:val="00C450CC"/>
    <w:rsid w:val="00C72435"/>
    <w:rsid w:val="00C82D9A"/>
    <w:rsid w:val="00C8458E"/>
    <w:rsid w:val="00CA5395"/>
    <w:rsid w:val="00CB56D3"/>
    <w:rsid w:val="00CB577F"/>
    <w:rsid w:val="00CE07BA"/>
    <w:rsid w:val="00D0075A"/>
    <w:rsid w:val="00D071F6"/>
    <w:rsid w:val="00D07418"/>
    <w:rsid w:val="00D135EB"/>
    <w:rsid w:val="00D226AA"/>
    <w:rsid w:val="00D23B40"/>
    <w:rsid w:val="00D30B44"/>
    <w:rsid w:val="00D557CA"/>
    <w:rsid w:val="00D57300"/>
    <w:rsid w:val="00D72DEF"/>
    <w:rsid w:val="00D764C1"/>
    <w:rsid w:val="00D77BEB"/>
    <w:rsid w:val="00D855D7"/>
    <w:rsid w:val="00D9370C"/>
    <w:rsid w:val="00DA1842"/>
    <w:rsid w:val="00DA4A5B"/>
    <w:rsid w:val="00DA4D32"/>
    <w:rsid w:val="00DA7217"/>
    <w:rsid w:val="00DC0CD3"/>
    <w:rsid w:val="00DC23AB"/>
    <w:rsid w:val="00DC5C85"/>
    <w:rsid w:val="00DD12F2"/>
    <w:rsid w:val="00DD218F"/>
    <w:rsid w:val="00E136C4"/>
    <w:rsid w:val="00E2144C"/>
    <w:rsid w:val="00E567B5"/>
    <w:rsid w:val="00E80F12"/>
    <w:rsid w:val="00E91DB2"/>
    <w:rsid w:val="00EB6F1E"/>
    <w:rsid w:val="00EC2952"/>
    <w:rsid w:val="00EE2D6E"/>
    <w:rsid w:val="00EF113F"/>
    <w:rsid w:val="00EF51C7"/>
    <w:rsid w:val="00F03E0B"/>
    <w:rsid w:val="00F26096"/>
    <w:rsid w:val="00F35F62"/>
    <w:rsid w:val="00F36FF4"/>
    <w:rsid w:val="00F45BF6"/>
    <w:rsid w:val="00F56594"/>
    <w:rsid w:val="00F86482"/>
    <w:rsid w:val="00FB63FE"/>
    <w:rsid w:val="00FC2768"/>
    <w:rsid w:val="00FD7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99338"/>
  <w15:chartTrackingRefBased/>
  <w15:docId w15:val="{FEDE4F31-0E71-4779-BC50-D4FA50A4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5A7B"/>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5C7C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7CB1"/>
  </w:style>
  <w:style w:type="paragraph" w:styleId="Pidipagina">
    <w:name w:val="footer"/>
    <w:basedOn w:val="Normale"/>
    <w:link w:val="PidipaginaCarattere"/>
    <w:uiPriority w:val="99"/>
    <w:unhideWhenUsed/>
    <w:rsid w:val="005C7C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7CB1"/>
  </w:style>
  <w:style w:type="character" w:styleId="Collegamentoipertestuale">
    <w:name w:val="Hyperlink"/>
    <w:uiPriority w:val="99"/>
    <w:unhideWhenUsed/>
    <w:rsid w:val="006F7C86"/>
    <w:rPr>
      <w:color w:val="0000FF"/>
      <w:u w:val="single"/>
    </w:rPr>
  </w:style>
  <w:style w:type="character" w:styleId="Menzionenonrisolta">
    <w:name w:val="Unresolved Mention"/>
    <w:basedOn w:val="Carpredefinitoparagrafo"/>
    <w:uiPriority w:val="99"/>
    <w:semiHidden/>
    <w:unhideWhenUsed/>
    <w:rsid w:val="00B84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2670">
      <w:bodyDiv w:val="1"/>
      <w:marLeft w:val="0"/>
      <w:marRight w:val="0"/>
      <w:marTop w:val="0"/>
      <w:marBottom w:val="0"/>
      <w:divBdr>
        <w:top w:val="none" w:sz="0" w:space="0" w:color="auto"/>
        <w:left w:val="none" w:sz="0" w:space="0" w:color="auto"/>
        <w:bottom w:val="none" w:sz="0" w:space="0" w:color="auto"/>
        <w:right w:val="none" w:sz="0" w:space="0" w:color="auto"/>
      </w:divBdr>
      <w:divsChild>
        <w:div w:id="2032488345">
          <w:marLeft w:val="446"/>
          <w:marRight w:val="0"/>
          <w:marTop w:val="0"/>
          <w:marBottom w:val="0"/>
          <w:divBdr>
            <w:top w:val="none" w:sz="0" w:space="0" w:color="auto"/>
            <w:left w:val="none" w:sz="0" w:space="0" w:color="auto"/>
            <w:bottom w:val="none" w:sz="0" w:space="0" w:color="auto"/>
            <w:right w:val="none" w:sz="0" w:space="0" w:color="auto"/>
          </w:divBdr>
        </w:div>
        <w:div w:id="543566535">
          <w:marLeft w:val="446"/>
          <w:marRight w:val="0"/>
          <w:marTop w:val="0"/>
          <w:marBottom w:val="0"/>
          <w:divBdr>
            <w:top w:val="none" w:sz="0" w:space="0" w:color="auto"/>
            <w:left w:val="none" w:sz="0" w:space="0" w:color="auto"/>
            <w:bottom w:val="none" w:sz="0" w:space="0" w:color="auto"/>
            <w:right w:val="none" w:sz="0" w:space="0" w:color="auto"/>
          </w:divBdr>
        </w:div>
        <w:div w:id="1223836263">
          <w:marLeft w:val="446"/>
          <w:marRight w:val="0"/>
          <w:marTop w:val="0"/>
          <w:marBottom w:val="0"/>
          <w:divBdr>
            <w:top w:val="none" w:sz="0" w:space="0" w:color="auto"/>
            <w:left w:val="none" w:sz="0" w:space="0" w:color="auto"/>
            <w:bottom w:val="none" w:sz="0" w:space="0" w:color="auto"/>
            <w:right w:val="none" w:sz="0" w:space="0" w:color="auto"/>
          </w:divBdr>
        </w:div>
        <w:div w:id="4889051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ibrand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962</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Francesca Alibrandi</cp:lastModifiedBy>
  <cp:revision>12</cp:revision>
  <dcterms:created xsi:type="dcterms:W3CDTF">2017-10-17T19:30:00Z</dcterms:created>
  <dcterms:modified xsi:type="dcterms:W3CDTF">2017-10-20T08:17:00Z</dcterms:modified>
</cp:coreProperties>
</file>