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84" w:rsidRPr="00280F84" w:rsidRDefault="00BD0C30" w:rsidP="00280F84">
      <w:pPr>
        <w:pStyle w:val="Testocommento"/>
        <w:spacing w:line="240" w:lineRule="auto"/>
        <w:jc w:val="both"/>
        <w:rPr>
          <w:rFonts w:asciiTheme="minorHAnsi" w:hAnsiTheme="minorHAnsi" w:cstheme="minorHAnsi"/>
          <w:b/>
          <w:bCs/>
          <w:sz w:val="26"/>
          <w:lang w:val="it-IT"/>
        </w:rPr>
      </w:pPr>
      <w:r>
        <w:rPr>
          <w:rFonts w:asciiTheme="minorHAnsi" w:hAnsiTheme="minorHAnsi" w:cstheme="minorHAnsi"/>
          <w:b/>
          <w:bCs/>
          <w:sz w:val="26"/>
          <w:lang w:val="it-IT"/>
        </w:rPr>
        <w:t xml:space="preserve">Parere positivo del </w:t>
      </w:r>
      <w:r w:rsidRPr="00C1305C">
        <w:rPr>
          <w:rFonts w:asciiTheme="minorHAnsi" w:hAnsiTheme="minorHAnsi" w:cstheme="minorHAnsi"/>
          <w:b/>
          <w:bCs/>
          <w:sz w:val="26"/>
          <w:lang w:val="it-IT"/>
        </w:rPr>
        <w:t xml:space="preserve">CHMP </w:t>
      </w:r>
      <w:r>
        <w:rPr>
          <w:rFonts w:asciiTheme="minorHAnsi" w:hAnsiTheme="minorHAnsi" w:cstheme="minorHAnsi"/>
          <w:b/>
          <w:bCs/>
          <w:sz w:val="26"/>
          <w:lang w:val="it-IT"/>
        </w:rPr>
        <w:t xml:space="preserve">all’inclusione </w:t>
      </w:r>
      <w:r w:rsidR="000B4B08">
        <w:rPr>
          <w:rFonts w:asciiTheme="minorHAnsi" w:hAnsiTheme="minorHAnsi" w:cstheme="minorHAnsi"/>
          <w:b/>
          <w:bCs/>
          <w:sz w:val="26"/>
          <w:lang w:val="it-IT"/>
        </w:rPr>
        <w:t xml:space="preserve">nel </w:t>
      </w:r>
      <w:r w:rsidR="000B4B08" w:rsidRPr="00BF20E1">
        <w:rPr>
          <w:rFonts w:asciiTheme="minorHAnsi" w:hAnsiTheme="minorHAnsi" w:cstheme="minorHAnsi"/>
          <w:b/>
          <w:bCs/>
          <w:sz w:val="26"/>
          <w:lang w:val="it-IT"/>
        </w:rPr>
        <w:t>Riassunto delle Caratteristiche d</w:t>
      </w:r>
      <w:r w:rsidR="000B4B08">
        <w:rPr>
          <w:rFonts w:asciiTheme="minorHAnsi" w:hAnsiTheme="minorHAnsi" w:cstheme="minorHAnsi"/>
          <w:b/>
          <w:bCs/>
          <w:sz w:val="26"/>
          <w:lang w:val="it-IT"/>
        </w:rPr>
        <w:t>i</w:t>
      </w:r>
      <w:r w:rsidR="000B4B08" w:rsidRPr="00BF20E1">
        <w:rPr>
          <w:rFonts w:asciiTheme="minorHAnsi" w:hAnsiTheme="minorHAnsi" w:cstheme="minorHAnsi"/>
          <w:b/>
          <w:bCs/>
          <w:sz w:val="26"/>
          <w:lang w:val="it-IT"/>
        </w:rPr>
        <w:t xml:space="preserve"> Prodotto </w:t>
      </w:r>
      <w:r w:rsidR="000B4B08">
        <w:rPr>
          <w:rFonts w:asciiTheme="minorHAnsi" w:hAnsiTheme="minorHAnsi" w:cstheme="minorHAnsi"/>
          <w:b/>
          <w:bCs/>
          <w:sz w:val="26"/>
          <w:lang w:val="it-IT"/>
        </w:rPr>
        <w:t>di dabigatran</w:t>
      </w:r>
      <w:r w:rsidR="000B4B08" w:rsidRPr="00C1305C">
        <w:rPr>
          <w:rFonts w:asciiTheme="minorHAnsi" w:hAnsiTheme="minorHAnsi" w:cstheme="minorHAnsi"/>
          <w:b/>
          <w:bCs/>
          <w:sz w:val="26"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sz w:val="26"/>
          <w:lang w:val="it-IT"/>
        </w:rPr>
        <w:t>dei risultati d</w:t>
      </w:r>
      <w:r w:rsidR="000B4B08">
        <w:rPr>
          <w:rFonts w:asciiTheme="minorHAnsi" w:hAnsiTheme="minorHAnsi" w:cstheme="minorHAnsi"/>
          <w:b/>
          <w:bCs/>
          <w:sz w:val="26"/>
          <w:lang w:val="it-IT"/>
        </w:rPr>
        <w:t>ello studio</w:t>
      </w:r>
      <w:r>
        <w:rPr>
          <w:rFonts w:asciiTheme="minorHAnsi" w:hAnsiTheme="minorHAnsi" w:cstheme="minorHAnsi"/>
          <w:b/>
          <w:bCs/>
          <w:sz w:val="26"/>
          <w:lang w:val="it-IT"/>
        </w:rPr>
        <w:t xml:space="preserve"> RE</w:t>
      </w:r>
      <w:r w:rsidRPr="00C1305C">
        <w:rPr>
          <w:rFonts w:asciiTheme="minorHAnsi" w:hAnsiTheme="minorHAnsi" w:cstheme="minorHAnsi"/>
          <w:b/>
          <w:bCs/>
          <w:sz w:val="26"/>
          <w:lang w:val="it-IT"/>
        </w:rPr>
        <w:t>-CIRCUIT®</w:t>
      </w:r>
      <w:r>
        <w:rPr>
          <w:rFonts w:asciiTheme="minorHAnsi" w:hAnsiTheme="minorHAnsi" w:cstheme="minorHAnsi"/>
          <w:b/>
          <w:bCs/>
          <w:sz w:val="26"/>
          <w:lang w:val="it-IT"/>
        </w:rPr>
        <w:t>, relativi a pazienti con Fibrillazione Atriale</w:t>
      </w:r>
      <w:r w:rsidR="000B4B08">
        <w:rPr>
          <w:rFonts w:asciiTheme="minorHAnsi" w:hAnsiTheme="minorHAnsi" w:cstheme="minorHAnsi"/>
          <w:b/>
          <w:bCs/>
          <w:sz w:val="26"/>
          <w:lang w:val="it-IT"/>
        </w:rPr>
        <w:t xml:space="preserve"> Non Valvolare</w:t>
      </w:r>
      <w:r>
        <w:rPr>
          <w:rFonts w:asciiTheme="minorHAnsi" w:hAnsiTheme="minorHAnsi" w:cstheme="minorHAnsi"/>
          <w:b/>
          <w:bCs/>
          <w:sz w:val="26"/>
          <w:lang w:val="it-IT"/>
        </w:rPr>
        <w:t xml:space="preserve"> sottoposti ad ablazione transcatetere </w:t>
      </w:r>
    </w:p>
    <w:p w:rsidR="00BD0C30" w:rsidRPr="00C1305C" w:rsidRDefault="00BD0C30" w:rsidP="00BD0C30">
      <w:pPr>
        <w:pStyle w:val="Paragrafoelenco"/>
        <w:numPr>
          <w:ilvl w:val="0"/>
          <w:numId w:val="12"/>
        </w:numPr>
        <w:spacing w:after="200" w:line="312" w:lineRule="auto"/>
        <w:jc w:val="both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sz w:val="20"/>
          <w:lang w:val="it-IT"/>
        </w:rPr>
        <w:t>Il CHMP dell’EMA ha espresso parere</w:t>
      </w:r>
      <w:r w:rsidRPr="00C1305C">
        <w:rPr>
          <w:rFonts w:asciiTheme="minorHAnsi" w:hAnsiTheme="minorHAnsi" w:cstheme="minorHAnsi"/>
          <w:sz w:val="20"/>
          <w:lang w:val="it-IT"/>
        </w:rPr>
        <w:t xml:space="preserve"> positiv</w:t>
      </w:r>
      <w:r>
        <w:rPr>
          <w:rFonts w:asciiTheme="minorHAnsi" w:hAnsiTheme="minorHAnsi" w:cstheme="minorHAnsi"/>
          <w:sz w:val="20"/>
          <w:lang w:val="it-IT"/>
        </w:rPr>
        <w:t xml:space="preserve">o all’aggiornamento del </w:t>
      </w:r>
      <w:r w:rsidRPr="00A52986">
        <w:rPr>
          <w:rFonts w:asciiTheme="minorHAnsi" w:hAnsiTheme="minorHAnsi" w:cstheme="minorHAnsi"/>
          <w:sz w:val="20"/>
          <w:lang w:val="it-IT"/>
        </w:rPr>
        <w:t>Riassunto delle Caratteristiche d</w:t>
      </w:r>
      <w:r>
        <w:rPr>
          <w:rFonts w:asciiTheme="minorHAnsi" w:hAnsiTheme="minorHAnsi" w:cstheme="minorHAnsi"/>
          <w:sz w:val="20"/>
          <w:lang w:val="it-IT"/>
        </w:rPr>
        <w:t>i</w:t>
      </w:r>
      <w:r w:rsidRPr="00A52986">
        <w:rPr>
          <w:rFonts w:asciiTheme="minorHAnsi" w:hAnsiTheme="minorHAnsi" w:cstheme="minorHAnsi"/>
          <w:sz w:val="20"/>
          <w:lang w:val="it-IT"/>
        </w:rPr>
        <w:t xml:space="preserve"> Prodotto</w:t>
      </w:r>
      <w:r w:rsidR="000B4B08">
        <w:rPr>
          <w:rFonts w:asciiTheme="minorHAnsi" w:hAnsiTheme="minorHAnsi" w:cstheme="minorHAnsi"/>
          <w:sz w:val="20"/>
          <w:lang w:val="it-IT"/>
        </w:rPr>
        <w:t xml:space="preserve"> (RCP)</w:t>
      </w:r>
      <w:r w:rsidRPr="00A52986">
        <w:rPr>
          <w:rFonts w:asciiTheme="minorHAnsi" w:hAnsiTheme="minorHAnsi" w:cstheme="minorHAnsi"/>
          <w:sz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lang w:val="it-IT"/>
        </w:rPr>
        <w:t>di</w:t>
      </w:r>
      <w:r w:rsidRPr="00C1305C">
        <w:rPr>
          <w:rFonts w:asciiTheme="minorHAnsi" w:hAnsiTheme="minorHAnsi" w:cstheme="minorHAnsi"/>
          <w:sz w:val="20"/>
          <w:lang w:val="it-IT"/>
        </w:rPr>
        <w:t xml:space="preserve"> dabigatran etexilat</w:t>
      </w:r>
      <w:r>
        <w:rPr>
          <w:rFonts w:asciiTheme="minorHAnsi" w:hAnsiTheme="minorHAnsi" w:cstheme="minorHAnsi"/>
          <w:sz w:val="20"/>
          <w:lang w:val="it-IT"/>
        </w:rPr>
        <w:t>o;</w:t>
      </w:r>
    </w:p>
    <w:p w:rsidR="002F7A3A" w:rsidRPr="00C1305C" w:rsidRDefault="002F7A3A" w:rsidP="002F7A3A">
      <w:pPr>
        <w:pStyle w:val="Paragrafoelenco"/>
        <w:numPr>
          <w:ilvl w:val="0"/>
          <w:numId w:val="12"/>
        </w:numPr>
        <w:spacing w:after="200" w:line="312" w:lineRule="auto"/>
        <w:jc w:val="both"/>
        <w:rPr>
          <w:rFonts w:asciiTheme="minorHAnsi" w:hAnsiTheme="minorHAnsi" w:cstheme="minorHAnsi"/>
          <w:sz w:val="20"/>
          <w:lang w:val="it-IT"/>
        </w:rPr>
      </w:pPr>
      <w:r w:rsidRPr="002F7A3A">
        <w:rPr>
          <w:rFonts w:asciiTheme="minorHAnsi" w:hAnsiTheme="minorHAnsi" w:cstheme="minorHAnsi"/>
          <w:sz w:val="20"/>
          <w:lang w:val="it-IT"/>
        </w:rPr>
        <w:t xml:space="preserve">Il CHMP raccomanda di </w:t>
      </w:r>
      <w:r>
        <w:rPr>
          <w:rFonts w:asciiTheme="minorHAnsi" w:hAnsiTheme="minorHAnsi" w:cstheme="minorHAnsi"/>
          <w:sz w:val="20"/>
          <w:lang w:val="it-IT"/>
        </w:rPr>
        <w:t>inserire</w:t>
      </w:r>
      <w:r w:rsidR="000B4B08">
        <w:rPr>
          <w:rFonts w:asciiTheme="minorHAnsi" w:hAnsiTheme="minorHAnsi" w:cstheme="minorHAnsi"/>
          <w:sz w:val="20"/>
          <w:lang w:val="it-IT"/>
        </w:rPr>
        <w:t xml:space="preserve"> in RCP</w:t>
      </w:r>
      <w:r>
        <w:rPr>
          <w:rFonts w:asciiTheme="minorHAnsi" w:hAnsiTheme="minorHAnsi" w:cstheme="minorHAnsi"/>
          <w:sz w:val="20"/>
          <w:lang w:val="it-IT"/>
        </w:rPr>
        <w:t xml:space="preserve"> i</w:t>
      </w:r>
      <w:r w:rsidRPr="002F7A3A">
        <w:rPr>
          <w:rFonts w:asciiTheme="minorHAnsi" w:hAnsiTheme="minorHAnsi" w:cstheme="minorHAnsi"/>
          <w:sz w:val="20"/>
          <w:lang w:val="it-IT"/>
        </w:rPr>
        <w:t xml:space="preserve"> dati che dimostr</w:t>
      </w:r>
      <w:r>
        <w:rPr>
          <w:rFonts w:asciiTheme="minorHAnsi" w:hAnsiTheme="minorHAnsi" w:cstheme="minorHAnsi"/>
          <w:sz w:val="20"/>
          <w:lang w:val="it-IT"/>
        </w:rPr>
        <w:t>a</w:t>
      </w:r>
      <w:r w:rsidRPr="002F7A3A">
        <w:rPr>
          <w:rFonts w:asciiTheme="minorHAnsi" w:hAnsiTheme="minorHAnsi" w:cstheme="minorHAnsi"/>
          <w:sz w:val="20"/>
          <w:lang w:val="it-IT"/>
        </w:rPr>
        <w:t xml:space="preserve">no che l'ablazione </w:t>
      </w:r>
      <w:r>
        <w:rPr>
          <w:rFonts w:asciiTheme="minorHAnsi" w:hAnsiTheme="minorHAnsi" w:cstheme="minorHAnsi"/>
          <w:sz w:val="20"/>
          <w:lang w:val="it-IT"/>
        </w:rPr>
        <w:t>transcate</w:t>
      </w:r>
      <w:r w:rsidR="001E1387">
        <w:rPr>
          <w:rFonts w:asciiTheme="minorHAnsi" w:hAnsiTheme="minorHAnsi" w:cstheme="minorHAnsi"/>
          <w:sz w:val="20"/>
          <w:lang w:val="it-IT"/>
        </w:rPr>
        <w:t>te</w:t>
      </w:r>
      <w:r>
        <w:rPr>
          <w:rFonts w:asciiTheme="minorHAnsi" w:hAnsiTheme="minorHAnsi" w:cstheme="minorHAnsi"/>
          <w:sz w:val="20"/>
          <w:lang w:val="it-IT"/>
        </w:rPr>
        <w:t>re</w:t>
      </w:r>
      <w:r w:rsidRPr="002F7A3A">
        <w:rPr>
          <w:rFonts w:asciiTheme="minorHAnsi" w:hAnsiTheme="minorHAnsi" w:cstheme="minorHAnsi"/>
          <w:sz w:val="20"/>
          <w:lang w:val="it-IT"/>
        </w:rPr>
        <w:t xml:space="preserve"> può essere </w:t>
      </w:r>
      <w:r>
        <w:rPr>
          <w:rFonts w:asciiTheme="minorHAnsi" w:hAnsiTheme="minorHAnsi" w:cstheme="minorHAnsi"/>
          <w:sz w:val="20"/>
          <w:lang w:val="it-IT"/>
        </w:rPr>
        <w:t>praticata</w:t>
      </w:r>
      <w:r w:rsidRPr="002F7A3A">
        <w:rPr>
          <w:rFonts w:asciiTheme="minorHAnsi" w:hAnsiTheme="minorHAnsi" w:cstheme="minorHAnsi"/>
          <w:sz w:val="20"/>
          <w:lang w:val="it-IT"/>
        </w:rPr>
        <w:t xml:space="preserve"> in pazienti</w:t>
      </w:r>
      <w:r>
        <w:rPr>
          <w:rFonts w:asciiTheme="minorHAnsi" w:hAnsiTheme="minorHAnsi" w:cstheme="minorHAnsi"/>
          <w:sz w:val="20"/>
          <w:lang w:val="it-IT"/>
        </w:rPr>
        <w:t xml:space="preserve"> che assumono </w:t>
      </w:r>
      <w:r w:rsidR="000B4B08">
        <w:rPr>
          <w:rFonts w:asciiTheme="minorHAnsi" w:hAnsiTheme="minorHAnsi" w:cstheme="minorHAnsi"/>
          <w:sz w:val="20"/>
          <w:lang w:val="it-IT"/>
        </w:rPr>
        <w:t xml:space="preserve">dabigatran </w:t>
      </w:r>
      <w:r w:rsidRPr="002F7A3A">
        <w:rPr>
          <w:rFonts w:asciiTheme="minorHAnsi" w:hAnsiTheme="minorHAnsi" w:cstheme="minorHAnsi"/>
          <w:sz w:val="20"/>
          <w:lang w:val="it-IT"/>
        </w:rPr>
        <w:t xml:space="preserve">150 mg due volte al giorno, senza interrompere il trattamento </w:t>
      </w:r>
      <w:r>
        <w:rPr>
          <w:rFonts w:asciiTheme="minorHAnsi" w:hAnsiTheme="minorHAnsi" w:cstheme="minorHAnsi"/>
          <w:sz w:val="20"/>
          <w:lang w:val="it-IT"/>
        </w:rPr>
        <w:t>con il farmaco;</w:t>
      </w:r>
    </w:p>
    <w:p w:rsidR="00BD0C30" w:rsidRPr="00C1305C" w:rsidRDefault="00BD0C30" w:rsidP="00BD0C30">
      <w:pPr>
        <w:pStyle w:val="Paragrafoelenco"/>
        <w:numPr>
          <w:ilvl w:val="0"/>
          <w:numId w:val="12"/>
        </w:numPr>
        <w:spacing w:after="200" w:line="312" w:lineRule="auto"/>
        <w:jc w:val="both"/>
        <w:rPr>
          <w:rFonts w:asciiTheme="minorHAnsi" w:hAnsiTheme="minorHAnsi" w:cstheme="minorHAnsi"/>
          <w:sz w:val="20"/>
          <w:lang w:val="it-IT"/>
        </w:rPr>
      </w:pPr>
      <w:r>
        <w:rPr>
          <w:rFonts w:asciiTheme="minorHAnsi" w:hAnsiTheme="minorHAnsi" w:cstheme="minorHAnsi"/>
          <w:sz w:val="20"/>
          <w:lang w:val="it-IT"/>
        </w:rPr>
        <w:t>Nello Studio</w:t>
      </w:r>
      <w:r w:rsidRPr="00C1305C">
        <w:rPr>
          <w:rFonts w:asciiTheme="minorHAnsi" w:hAnsiTheme="minorHAnsi" w:cstheme="minorHAnsi"/>
          <w:sz w:val="20"/>
          <w:lang w:val="it-IT"/>
        </w:rPr>
        <w:t xml:space="preserve"> RE-CIRCUIT® </w:t>
      </w:r>
      <w:r>
        <w:rPr>
          <w:rFonts w:asciiTheme="minorHAnsi" w:hAnsiTheme="minorHAnsi" w:cstheme="minorHAnsi"/>
          <w:sz w:val="20"/>
          <w:lang w:val="it-IT"/>
        </w:rPr>
        <w:t xml:space="preserve">la terapia continuativa con </w:t>
      </w:r>
      <w:r w:rsidRPr="00C1305C">
        <w:rPr>
          <w:rFonts w:asciiTheme="minorHAnsi" w:hAnsiTheme="minorHAnsi" w:cstheme="minorHAnsi"/>
          <w:sz w:val="20"/>
          <w:lang w:val="it-IT"/>
        </w:rPr>
        <w:t>dabigatran etexilat</w:t>
      </w:r>
      <w:r>
        <w:rPr>
          <w:rFonts w:asciiTheme="minorHAnsi" w:hAnsiTheme="minorHAnsi" w:cstheme="minorHAnsi"/>
          <w:sz w:val="20"/>
          <w:lang w:val="it-IT"/>
        </w:rPr>
        <w:t>o</w:t>
      </w:r>
      <w:r w:rsidRPr="00C1305C">
        <w:rPr>
          <w:rFonts w:asciiTheme="minorHAnsi" w:hAnsiTheme="minorHAnsi" w:cstheme="minorHAnsi"/>
          <w:sz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lang w:val="it-IT"/>
        </w:rPr>
        <w:t>ha dimostrato</w:t>
      </w:r>
      <w:r w:rsidR="0046304B">
        <w:rPr>
          <w:rFonts w:asciiTheme="minorHAnsi" w:hAnsiTheme="minorHAnsi" w:cstheme="minorHAnsi"/>
          <w:sz w:val="20"/>
          <w:lang w:val="it-IT"/>
        </w:rPr>
        <w:t xml:space="preserve"> meno</w:t>
      </w:r>
      <w:r>
        <w:rPr>
          <w:rFonts w:asciiTheme="minorHAnsi" w:hAnsiTheme="minorHAnsi" w:cstheme="minorHAnsi"/>
          <w:sz w:val="20"/>
          <w:lang w:val="it-IT"/>
        </w:rPr>
        <w:t xml:space="preserve"> emorragie maggiori rispetto a </w:t>
      </w:r>
      <w:r w:rsidRPr="00C1305C">
        <w:rPr>
          <w:rFonts w:asciiTheme="minorHAnsi" w:hAnsiTheme="minorHAnsi" w:cstheme="minorHAnsi"/>
          <w:sz w:val="20"/>
          <w:lang w:val="it-IT"/>
        </w:rPr>
        <w:t xml:space="preserve">warfarin in </w:t>
      </w:r>
      <w:r>
        <w:rPr>
          <w:rFonts w:asciiTheme="minorHAnsi" w:hAnsiTheme="minorHAnsi" w:cstheme="minorHAnsi"/>
          <w:sz w:val="20"/>
          <w:lang w:val="it-IT"/>
        </w:rPr>
        <w:t>pazienti con F</w:t>
      </w:r>
      <w:r w:rsidRPr="00C1305C">
        <w:rPr>
          <w:rFonts w:asciiTheme="minorHAnsi" w:hAnsiTheme="minorHAnsi" w:cstheme="minorHAnsi"/>
          <w:sz w:val="20"/>
          <w:lang w:val="it-IT"/>
        </w:rPr>
        <w:t>ibrilla</w:t>
      </w:r>
      <w:r>
        <w:rPr>
          <w:rFonts w:asciiTheme="minorHAnsi" w:hAnsiTheme="minorHAnsi" w:cstheme="minorHAnsi"/>
          <w:sz w:val="20"/>
          <w:lang w:val="it-IT"/>
        </w:rPr>
        <w:t>z</w:t>
      </w:r>
      <w:r w:rsidRPr="00C1305C">
        <w:rPr>
          <w:rFonts w:asciiTheme="minorHAnsi" w:hAnsiTheme="minorHAnsi" w:cstheme="minorHAnsi"/>
          <w:sz w:val="20"/>
          <w:lang w:val="it-IT"/>
        </w:rPr>
        <w:t>ion</w:t>
      </w:r>
      <w:r>
        <w:rPr>
          <w:rFonts w:asciiTheme="minorHAnsi" w:hAnsiTheme="minorHAnsi" w:cstheme="minorHAnsi"/>
          <w:sz w:val="20"/>
          <w:lang w:val="it-IT"/>
        </w:rPr>
        <w:t>e Atriale</w:t>
      </w:r>
      <w:r w:rsidR="000B4B08">
        <w:rPr>
          <w:rFonts w:asciiTheme="minorHAnsi" w:hAnsiTheme="minorHAnsi" w:cstheme="minorHAnsi"/>
          <w:sz w:val="20"/>
          <w:lang w:val="it-IT"/>
        </w:rPr>
        <w:t xml:space="preserve"> Non Valvolare</w:t>
      </w:r>
      <w:r>
        <w:rPr>
          <w:rFonts w:asciiTheme="minorHAnsi" w:hAnsiTheme="minorHAnsi" w:cstheme="minorHAnsi"/>
          <w:sz w:val="20"/>
          <w:lang w:val="it-IT"/>
        </w:rPr>
        <w:t xml:space="preserve"> sottoposti ad ablazione trans</w:t>
      </w:r>
      <w:r w:rsidRPr="00C1305C">
        <w:rPr>
          <w:rFonts w:asciiTheme="minorHAnsi" w:hAnsiTheme="minorHAnsi" w:cstheme="minorHAnsi"/>
          <w:sz w:val="20"/>
          <w:lang w:val="it-IT"/>
        </w:rPr>
        <w:t>cateter</w:t>
      </w:r>
      <w:r>
        <w:rPr>
          <w:rFonts w:asciiTheme="minorHAnsi" w:hAnsiTheme="minorHAnsi" w:cstheme="minorHAnsi"/>
          <w:sz w:val="20"/>
          <w:lang w:val="it-IT"/>
        </w:rPr>
        <w:t>e.</w:t>
      </w:r>
    </w:p>
    <w:p w:rsidR="00BD0C30" w:rsidRDefault="00BD0C30" w:rsidP="00BD0C30">
      <w:pPr>
        <w:autoSpaceDE w:val="0"/>
        <w:autoSpaceDN w:val="0"/>
        <w:adjustRightInd w:val="0"/>
        <w:jc w:val="both"/>
        <w:rPr>
          <w:rFonts w:eastAsia="BISans"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  <w:lang w:eastAsia="en-GB"/>
        </w:rPr>
        <w:t>Ingelheim, Germania</w:t>
      </w:r>
      <w:r w:rsidRPr="00C1305C">
        <w:rPr>
          <w:rFonts w:cstheme="minorHAnsi"/>
          <w:b/>
          <w:sz w:val="20"/>
          <w:szCs w:val="20"/>
          <w:lang w:eastAsia="en-GB"/>
        </w:rPr>
        <w:t>,</w:t>
      </w:r>
      <w:r w:rsidRPr="00C1305C">
        <w:rPr>
          <w:rFonts w:eastAsia="BISans" w:cstheme="minorHAnsi"/>
          <w:b/>
          <w:bCs/>
          <w:spacing w:val="1"/>
          <w:sz w:val="20"/>
          <w:szCs w:val="20"/>
        </w:rPr>
        <w:t xml:space="preserve"> </w:t>
      </w:r>
      <w:r w:rsidR="002F7A3A">
        <w:rPr>
          <w:rFonts w:eastAsia="BISans" w:cstheme="minorHAnsi"/>
          <w:b/>
          <w:bCs/>
          <w:spacing w:val="1"/>
          <w:sz w:val="20"/>
          <w:szCs w:val="20"/>
        </w:rPr>
        <w:t xml:space="preserve">18 </w:t>
      </w:r>
      <w:r>
        <w:rPr>
          <w:rFonts w:eastAsia="BISans" w:cstheme="minorHAnsi"/>
          <w:b/>
          <w:bCs/>
          <w:spacing w:val="1"/>
          <w:sz w:val="20"/>
          <w:szCs w:val="20"/>
        </w:rPr>
        <w:t>settemb</w:t>
      </w:r>
      <w:r w:rsidRPr="00C1305C">
        <w:rPr>
          <w:rFonts w:eastAsia="BISans" w:cstheme="minorHAnsi"/>
          <w:b/>
          <w:bCs/>
          <w:spacing w:val="1"/>
          <w:sz w:val="20"/>
          <w:szCs w:val="20"/>
        </w:rPr>
        <w:t>r</w:t>
      </w:r>
      <w:r>
        <w:rPr>
          <w:rFonts w:eastAsia="BISans" w:cstheme="minorHAnsi"/>
          <w:b/>
          <w:bCs/>
          <w:spacing w:val="1"/>
          <w:sz w:val="20"/>
          <w:szCs w:val="20"/>
        </w:rPr>
        <w:t>e</w:t>
      </w:r>
      <w:r w:rsidRPr="00C1305C">
        <w:rPr>
          <w:rFonts w:eastAsia="BISans" w:cstheme="minorHAnsi"/>
          <w:b/>
          <w:bCs/>
          <w:spacing w:val="1"/>
          <w:sz w:val="20"/>
          <w:szCs w:val="20"/>
        </w:rPr>
        <w:t xml:space="preserve">, 2017 </w:t>
      </w:r>
      <w:r w:rsidRPr="00C1305C">
        <w:rPr>
          <w:rFonts w:eastAsia="BISans" w:cstheme="minorHAnsi"/>
          <w:bCs/>
          <w:sz w:val="20"/>
          <w:szCs w:val="20"/>
        </w:rPr>
        <w:t>–</w:t>
      </w:r>
      <w:r>
        <w:rPr>
          <w:rFonts w:eastAsia="BISans" w:cstheme="minorHAnsi"/>
          <w:bCs/>
          <w:sz w:val="20"/>
          <w:szCs w:val="20"/>
        </w:rPr>
        <w:t xml:space="preserve"> Il </w:t>
      </w:r>
      <w:r w:rsidRPr="008675E3">
        <w:rPr>
          <w:rFonts w:eastAsia="BISans" w:cstheme="minorHAnsi"/>
          <w:bCs/>
          <w:sz w:val="20"/>
          <w:szCs w:val="20"/>
        </w:rPr>
        <w:t xml:space="preserve">Comitato che valuta i Farmaci per Uso Umano </w:t>
      </w:r>
      <w:r w:rsidRPr="00C1305C">
        <w:rPr>
          <w:rFonts w:eastAsia="BISans" w:cstheme="minorHAnsi"/>
          <w:bCs/>
          <w:sz w:val="20"/>
          <w:szCs w:val="20"/>
        </w:rPr>
        <w:t xml:space="preserve">(CHMP) </w:t>
      </w:r>
      <w:r w:rsidRPr="008675E3">
        <w:rPr>
          <w:rFonts w:eastAsia="BISans" w:cstheme="minorHAnsi"/>
          <w:bCs/>
          <w:sz w:val="20"/>
          <w:szCs w:val="20"/>
        </w:rPr>
        <w:t xml:space="preserve">dell’Agenzia Europea del Farmaco </w:t>
      </w:r>
      <w:r w:rsidRPr="00C1305C">
        <w:rPr>
          <w:rFonts w:eastAsia="BISans" w:cstheme="minorHAnsi"/>
          <w:bCs/>
          <w:sz w:val="20"/>
          <w:szCs w:val="20"/>
        </w:rPr>
        <w:t>(EMA) ha</w:t>
      </w:r>
      <w:r>
        <w:rPr>
          <w:rFonts w:eastAsia="BISans" w:cstheme="minorHAnsi"/>
          <w:bCs/>
          <w:sz w:val="20"/>
          <w:szCs w:val="20"/>
        </w:rPr>
        <w:t xml:space="preserve"> espresso parere positivo all’aggiornamento del </w:t>
      </w:r>
      <w:r w:rsidRPr="00A367EA">
        <w:rPr>
          <w:rFonts w:eastAsia="BISans" w:cstheme="minorHAnsi"/>
          <w:bCs/>
          <w:sz w:val="20"/>
          <w:szCs w:val="20"/>
        </w:rPr>
        <w:t>Ria</w:t>
      </w:r>
      <w:r>
        <w:rPr>
          <w:rFonts w:eastAsia="BISans" w:cstheme="minorHAnsi"/>
          <w:bCs/>
          <w:sz w:val="20"/>
          <w:szCs w:val="20"/>
        </w:rPr>
        <w:t xml:space="preserve">ssunto delle Caratteristiche di </w:t>
      </w:r>
      <w:r w:rsidRPr="00A367EA">
        <w:rPr>
          <w:rFonts w:eastAsia="BISans" w:cstheme="minorHAnsi"/>
          <w:bCs/>
          <w:sz w:val="20"/>
          <w:szCs w:val="20"/>
        </w:rPr>
        <w:t xml:space="preserve">Prodotto </w:t>
      </w:r>
      <w:r>
        <w:rPr>
          <w:rFonts w:eastAsia="BISans" w:cstheme="minorHAnsi"/>
          <w:bCs/>
          <w:sz w:val="20"/>
          <w:szCs w:val="20"/>
        </w:rPr>
        <w:t>per</w:t>
      </w:r>
      <w:r w:rsidRPr="00C1305C">
        <w:rPr>
          <w:rFonts w:eastAsia="BISans" w:cstheme="minorHAnsi"/>
          <w:bCs/>
          <w:sz w:val="20"/>
          <w:szCs w:val="20"/>
        </w:rPr>
        <w:t xml:space="preserve"> dabigatran etexilat</w:t>
      </w:r>
      <w:r>
        <w:rPr>
          <w:rFonts w:eastAsia="BISans" w:cstheme="minorHAnsi"/>
          <w:bCs/>
          <w:sz w:val="20"/>
          <w:szCs w:val="20"/>
        </w:rPr>
        <w:t>o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come terapia</w:t>
      </w:r>
      <w:r w:rsidR="000B4B08">
        <w:rPr>
          <w:rFonts w:eastAsia="BISans" w:cstheme="minorHAnsi"/>
          <w:bCs/>
          <w:sz w:val="20"/>
          <w:szCs w:val="20"/>
        </w:rPr>
        <w:t xml:space="preserve"> anticoagulante orale</w:t>
      </w:r>
      <w:r>
        <w:rPr>
          <w:rFonts w:eastAsia="BISans" w:cstheme="minorHAnsi"/>
          <w:bCs/>
          <w:sz w:val="20"/>
          <w:szCs w:val="20"/>
        </w:rPr>
        <w:t xml:space="preserve"> per </w:t>
      </w:r>
      <w:r w:rsidR="000B4B08">
        <w:rPr>
          <w:rFonts w:eastAsia="BISans" w:cstheme="minorHAnsi"/>
          <w:bCs/>
          <w:sz w:val="20"/>
          <w:szCs w:val="20"/>
        </w:rPr>
        <w:t xml:space="preserve">i </w:t>
      </w:r>
      <w:r>
        <w:rPr>
          <w:rFonts w:eastAsia="BISans" w:cstheme="minorHAnsi"/>
          <w:bCs/>
          <w:sz w:val="20"/>
          <w:szCs w:val="20"/>
        </w:rPr>
        <w:t>pazienti con Fibrillazione Atriale (FA)</w:t>
      </w:r>
      <w:r w:rsidRPr="00C1305C">
        <w:rPr>
          <w:rFonts w:eastAsia="BISans" w:cstheme="minorHAnsi"/>
          <w:bCs/>
          <w:sz w:val="20"/>
          <w:szCs w:val="20"/>
        </w:rPr>
        <w:t xml:space="preserve">. </w:t>
      </w:r>
      <w:r>
        <w:rPr>
          <w:rFonts w:eastAsia="BISans" w:cstheme="minorHAnsi"/>
          <w:bCs/>
          <w:sz w:val="20"/>
          <w:szCs w:val="20"/>
        </w:rPr>
        <w:t xml:space="preserve">Il </w:t>
      </w:r>
      <w:r w:rsidRPr="00C1305C">
        <w:rPr>
          <w:rFonts w:eastAsia="BISans" w:cstheme="minorHAnsi"/>
          <w:bCs/>
          <w:sz w:val="20"/>
          <w:szCs w:val="20"/>
        </w:rPr>
        <w:t xml:space="preserve">CHMP </w:t>
      </w:r>
      <w:r>
        <w:rPr>
          <w:rFonts w:eastAsia="BISans" w:cstheme="minorHAnsi"/>
          <w:bCs/>
          <w:sz w:val="20"/>
          <w:szCs w:val="20"/>
        </w:rPr>
        <w:t xml:space="preserve">raccomanda l’inclusione </w:t>
      </w:r>
      <w:r w:rsidR="000B4B08">
        <w:rPr>
          <w:rFonts w:eastAsia="BISans" w:cstheme="minorHAnsi"/>
          <w:bCs/>
          <w:sz w:val="20"/>
          <w:szCs w:val="20"/>
        </w:rPr>
        <w:t xml:space="preserve">in RCP di dabigatran </w:t>
      </w:r>
      <w:r>
        <w:rPr>
          <w:rFonts w:eastAsia="BISans" w:cstheme="minorHAnsi"/>
          <w:bCs/>
          <w:sz w:val="20"/>
          <w:szCs w:val="20"/>
        </w:rPr>
        <w:t xml:space="preserve">dei recenti risultati dello </w:t>
      </w:r>
      <w:r w:rsidR="002B0712">
        <w:rPr>
          <w:rFonts w:eastAsia="BISans" w:cstheme="minorHAnsi"/>
          <w:bCs/>
          <w:sz w:val="20"/>
          <w:szCs w:val="20"/>
        </w:rPr>
        <w:t>S</w:t>
      </w:r>
      <w:r>
        <w:rPr>
          <w:rFonts w:eastAsia="BISans" w:cstheme="minorHAnsi"/>
          <w:bCs/>
          <w:sz w:val="20"/>
          <w:szCs w:val="20"/>
        </w:rPr>
        <w:t>tudio</w:t>
      </w:r>
      <w:r w:rsidR="000B4B08">
        <w:rPr>
          <w:rFonts w:eastAsia="BISans" w:cstheme="minorHAnsi"/>
          <w:bCs/>
          <w:sz w:val="20"/>
          <w:szCs w:val="20"/>
        </w:rPr>
        <w:t xml:space="preserve"> clinico</w:t>
      </w:r>
      <w:r>
        <w:rPr>
          <w:rFonts w:eastAsia="BISans" w:cstheme="minorHAnsi"/>
          <w:bCs/>
          <w:sz w:val="20"/>
          <w:szCs w:val="20"/>
        </w:rPr>
        <w:t xml:space="preserve"> </w:t>
      </w:r>
      <w:r w:rsidRPr="00C1305C">
        <w:rPr>
          <w:rFonts w:eastAsia="BISans" w:cstheme="minorHAnsi"/>
          <w:bCs/>
          <w:sz w:val="20"/>
          <w:szCs w:val="20"/>
        </w:rPr>
        <w:t xml:space="preserve">RE-CIRCUIT® </w:t>
      </w:r>
      <w:r>
        <w:rPr>
          <w:rFonts w:eastAsia="BISans" w:cstheme="minorHAnsi"/>
          <w:bCs/>
          <w:sz w:val="20"/>
          <w:szCs w:val="20"/>
        </w:rPr>
        <w:t xml:space="preserve">che hanno dimostrato </w:t>
      </w:r>
      <w:r w:rsidR="000B4B08">
        <w:rPr>
          <w:rFonts w:eastAsia="BISans" w:cstheme="minorHAnsi"/>
          <w:bCs/>
          <w:sz w:val="20"/>
          <w:szCs w:val="20"/>
        </w:rPr>
        <w:t xml:space="preserve">una significativa riduzione del sanguinamento maggiore, </w:t>
      </w:r>
      <w:r w:rsidR="000B4B08" w:rsidRPr="00A367EA">
        <w:rPr>
          <w:rFonts w:eastAsia="BISans" w:cstheme="minorHAnsi"/>
          <w:bCs/>
          <w:sz w:val="20"/>
          <w:szCs w:val="20"/>
        </w:rPr>
        <w:t>rispetto a warfarin</w:t>
      </w:r>
      <w:r w:rsidR="000B4B08">
        <w:rPr>
          <w:rFonts w:eastAsia="BISans" w:cstheme="minorHAnsi"/>
          <w:bCs/>
          <w:sz w:val="20"/>
          <w:szCs w:val="20"/>
        </w:rPr>
        <w:t>,</w:t>
      </w:r>
      <w:r w:rsidR="000B4B08" w:rsidRPr="00A367EA">
        <w:rPr>
          <w:rFonts w:eastAsia="BISans" w:cstheme="minorHAnsi"/>
          <w:bCs/>
          <w:sz w:val="20"/>
          <w:szCs w:val="20"/>
        </w:rPr>
        <w:t xml:space="preserve"> </w:t>
      </w:r>
      <w:r w:rsidR="000B4B08">
        <w:rPr>
          <w:rFonts w:eastAsia="BISans" w:cstheme="minorHAnsi"/>
          <w:bCs/>
          <w:sz w:val="20"/>
          <w:szCs w:val="20"/>
        </w:rPr>
        <w:t>associata alla</w:t>
      </w:r>
      <w:r w:rsidRPr="00A367EA">
        <w:rPr>
          <w:rFonts w:eastAsia="BISans" w:cstheme="minorHAnsi"/>
          <w:bCs/>
          <w:sz w:val="20"/>
          <w:szCs w:val="20"/>
        </w:rPr>
        <w:t xml:space="preserve"> terapia </w:t>
      </w:r>
      <w:r>
        <w:rPr>
          <w:rFonts w:eastAsia="BISans" w:cstheme="minorHAnsi"/>
          <w:bCs/>
          <w:sz w:val="20"/>
          <w:szCs w:val="20"/>
        </w:rPr>
        <w:t>continuativa</w:t>
      </w:r>
      <w:r w:rsidRPr="00A367EA">
        <w:rPr>
          <w:rFonts w:eastAsia="BISans" w:cstheme="minorHAnsi"/>
          <w:bCs/>
          <w:sz w:val="20"/>
          <w:szCs w:val="20"/>
        </w:rPr>
        <w:t xml:space="preserve"> con </w:t>
      </w:r>
      <w:r w:rsidRPr="00C1305C">
        <w:rPr>
          <w:rFonts w:cstheme="minorHAnsi"/>
          <w:sz w:val="20"/>
        </w:rPr>
        <w:t>dabigatran etexilat</w:t>
      </w:r>
      <w:r>
        <w:rPr>
          <w:rFonts w:cstheme="minorHAnsi"/>
          <w:sz w:val="20"/>
        </w:rPr>
        <w:t>o</w:t>
      </w:r>
      <w:r w:rsidRPr="00C1305C">
        <w:rPr>
          <w:rFonts w:eastAsia="BISans" w:cstheme="minorHAnsi"/>
          <w:bCs/>
          <w:sz w:val="20"/>
          <w:szCs w:val="20"/>
        </w:rPr>
        <w:t xml:space="preserve"> 150 mg </w:t>
      </w:r>
      <w:r>
        <w:rPr>
          <w:rFonts w:eastAsia="BISans" w:cstheme="minorHAnsi"/>
          <w:bCs/>
          <w:sz w:val="20"/>
          <w:szCs w:val="20"/>
        </w:rPr>
        <w:t xml:space="preserve">due volte/die, </w:t>
      </w:r>
      <w:r w:rsidRPr="00C1305C">
        <w:rPr>
          <w:rFonts w:eastAsia="BISans" w:cstheme="minorHAnsi"/>
          <w:bCs/>
          <w:sz w:val="20"/>
          <w:szCs w:val="20"/>
        </w:rPr>
        <w:t xml:space="preserve">in </w:t>
      </w:r>
      <w:r w:rsidRPr="00A367EA">
        <w:rPr>
          <w:rFonts w:eastAsia="BISans" w:cstheme="minorHAnsi"/>
          <w:bCs/>
          <w:sz w:val="20"/>
          <w:szCs w:val="20"/>
        </w:rPr>
        <w:t xml:space="preserve">pazienti con </w:t>
      </w:r>
      <w:r>
        <w:rPr>
          <w:rFonts w:eastAsia="BISans" w:cstheme="minorHAnsi"/>
          <w:bCs/>
          <w:sz w:val="20"/>
          <w:szCs w:val="20"/>
        </w:rPr>
        <w:t>F</w:t>
      </w:r>
      <w:r w:rsidRPr="00A367EA">
        <w:rPr>
          <w:rFonts w:eastAsia="BISans" w:cstheme="minorHAnsi"/>
          <w:bCs/>
          <w:sz w:val="20"/>
          <w:szCs w:val="20"/>
        </w:rPr>
        <w:t xml:space="preserve">ibrillazione </w:t>
      </w:r>
      <w:r>
        <w:rPr>
          <w:rFonts w:eastAsia="BISans" w:cstheme="minorHAnsi"/>
          <w:bCs/>
          <w:sz w:val="20"/>
          <w:szCs w:val="20"/>
        </w:rPr>
        <w:t>A</w:t>
      </w:r>
      <w:r w:rsidRPr="00A367EA">
        <w:rPr>
          <w:rFonts w:eastAsia="BISans" w:cstheme="minorHAnsi"/>
          <w:bCs/>
          <w:sz w:val="20"/>
          <w:szCs w:val="20"/>
        </w:rPr>
        <w:t>triale sottoposti ad ablazione transcatetere</w:t>
      </w:r>
      <w:r w:rsidRPr="00C1305C">
        <w:rPr>
          <w:rFonts w:eastAsia="BISans" w:cstheme="minorHAnsi"/>
          <w:bCs/>
          <w:sz w:val="20"/>
          <w:szCs w:val="20"/>
        </w:rPr>
        <w:t xml:space="preserve">. </w:t>
      </w:r>
      <w:r>
        <w:rPr>
          <w:rFonts w:eastAsia="BISans" w:cstheme="minorHAnsi"/>
          <w:bCs/>
          <w:sz w:val="20"/>
          <w:szCs w:val="20"/>
        </w:rPr>
        <w:t xml:space="preserve">Il </w:t>
      </w:r>
      <w:r w:rsidRPr="00A367EA">
        <w:rPr>
          <w:rFonts w:eastAsia="BISans" w:cstheme="minorHAnsi"/>
          <w:bCs/>
          <w:sz w:val="20"/>
          <w:szCs w:val="20"/>
        </w:rPr>
        <w:t>Ria</w:t>
      </w:r>
      <w:r>
        <w:rPr>
          <w:rFonts w:eastAsia="BISans" w:cstheme="minorHAnsi"/>
          <w:bCs/>
          <w:sz w:val="20"/>
          <w:szCs w:val="20"/>
        </w:rPr>
        <w:t>ssunto delle Caratteristiche di</w:t>
      </w:r>
      <w:r w:rsidRPr="00A367EA">
        <w:rPr>
          <w:rFonts w:eastAsia="BISans" w:cstheme="minorHAnsi"/>
          <w:bCs/>
          <w:sz w:val="20"/>
          <w:szCs w:val="20"/>
        </w:rPr>
        <w:t xml:space="preserve"> Prodotto </w:t>
      </w:r>
      <w:r w:rsidR="000B4B08">
        <w:rPr>
          <w:rFonts w:eastAsia="BISans" w:cstheme="minorHAnsi"/>
          <w:bCs/>
          <w:sz w:val="20"/>
          <w:szCs w:val="20"/>
        </w:rPr>
        <w:t xml:space="preserve">così </w:t>
      </w:r>
      <w:r>
        <w:rPr>
          <w:rFonts w:eastAsia="BISans" w:cstheme="minorHAnsi"/>
          <w:bCs/>
          <w:sz w:val="20"/>
          <w:szCs w:val="20"/>
        </w:rPr>
        <w:t>aggiornato</w:t>
      </w:r>
      <w:r w:rsidR="008602EE">
        <w:rPr>
          <w:rFonts w:eastAsia="BISans" w:cstheme="minorHAnsi"/>
          <w:bCs/>
          <w:sz w:val="20"/>
          <w:szCs w:val="20"/>
        </w:rPr>
        <w:t xml:space="preserve">, se approvato </w:t>
      </w:r>
      <w:r w:rsidR="00E90081">
        <w:rPr>
          <w:rFonts w:eastAsia="BISans" w:cstheme="minorHAnsi"/>
          <w:bCs/>
          <w:sz w:val="20"/>
          <w:szCs w:val="20"/>
        </w:rPr>
        <w:t>dalla Commissione Europea,</w:t>
      </w:r>
      <w:r>
        <w:rPr>
          <w:rFonts w:eastAsia="BISans" w:cstheme="minorHAnsi"/>
          <w:bCs/>
          <w:sz w:val="20"/>
          <w:szCs w:val="20"/>
        </w:rPr>
        <w:t xml:space="preserve"> indicherà che i pazienti con </w:t>
      </w:r>
      <w:r w:rsidRPr="00C1305C">
        <w:rPr>
          <w:rFonts w:eastAsia="BISans" w:cstheme="minorHAnsi"/>
          <w:bCs/>
          <w:sz w:val="20"/>
          <w:szCs w:val="20"/>
        </w:rPr>
        <w:t>F</w:t>
      </w:r>
      <w:r>
        <w:rPr>
          <w:rFonts w:eastAsia="BISans" w:cstheme="minorHAnsi"/>
          <w:bCs/>
          <w:sz w:val="20"/>
          <w:szCs w:val="20"/>
        </w:rPr>
        <w:t>A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in terapia con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 w:rsidRPr="00C1305C">
        <w:rPr>
          <w:rFonts w:cstheme="minorHAnsi"/>
          <w:sz w:val="20"/>
        </w:rPr>
        <w:t>dabigatran etexilat</w:t>
      </w:r>
      <w:r>
        <w:rPr>
          <w:rFonts w:cstheme="minorHAnsi"/>
          <w:sz w:val="20"/>
        </w:rPr>
        <w:t>o</w:t>
      </w:r>
      <w:r w:rsidR="00E90081">
        <w:rPr>
          <w:rFonts w:cstheme="minorHAnsi"/>
          <w:sz w:val="20"/>
        </w:rPr>
        <w:t xml:space="preserve"> 150 mg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 xml:space="preserve">due volte/die </w:t>
      </w:r>
      <w:r w:rsidRPr="00A367EA">
        <w:rPr>
          <w:rFonts w:eastAsia="BISans" w:cstheme="minorHAnsi"/>
          <w:bCs/>
          <w:sz w:val="20"/>
          <w:szCs w:val="20"/>
        </w:rPr>
        <w:t>sottoposti ad ablazione transcatetere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non devono interrompere la terapia con il farmaco.</w:t>
      </w:r>
    </w:p>
    <w:p w:rsidR="00BD0C30" w:rsidRPr="00C1305C" w:rsidRDefault="00280F84" w:rsidP="00BD0C30">
      <w:pPr>
        <w:autoSpaceDE w:val="0"/>
        <w:autoSpaceDN w:val="0"/>
        <w:adjustRightInd w:val="0"/>
        <w:jc w:val="both"/>
        <w:rPr>
          <w:rFonts w:eastAsia="BISans" w:cstheme="minorHAnsi"/>
          <w:bCs/>
          <w:sz w:val="20"/>
          <w:szCs w:val="20"/>
        </w:rPr>
      </w:pPr>
      <w:hyperlink r:id="rId8" w:history="1">
        <w:r w:rsidR="00BD0C30">
          <w:rPr>
            <w:rStyle w:val="Collegamentoipertestuale"/>
            <w:rFonts w:asciiTheme="minorHAnsi" w:eastAsia="BISans" w:hAnsiTheme="minorHAnsi" w:cstheme="minorHAnsi"/>
            <w:bCs/>
            <w:sz w:val="20"/>
            <w:szCs w:val="20"/>
          </w:rPr>
          <w:t xml:space="preserve">I </w:t>
        </w:r>
        <w:r w:rsidR="00BD0C30" w:rsidRPr="00C1305C">
          <w:rPr>
            <w:rStyle w:val="Collegamentoipertestuale"/>
            <w:rFonts w:asciiTheme="minorHAnsi" w:eastAsia="BISans" w:hAnsiTheme="minorHAnsi" w:cstheme="minorHAnsi"/>
            <w:bCs/>
            <w:sz w:val="20"/>
            <w:szCs w:val="20"/>
          </w:rPr>
          <w:t>r</w:t>
        </w:r>
        <w:r w:rsidR="00BD0C30">
          <w:rPr>
            <w:rStyle w:val="Collegamentoipertestuale"/>
            <w:rFonts w:asciiTheme="minorHAnsi" w:eastAsia="BISans" w:hAnsiTheme="minorHAnsi" w:cstheme="minorHAnsi"/>
            <w:bCs/>
            <w:sz w:val="20"/>
            <w:szCs w:val="20"/>
          </w:rPr>
          <w:t>i</w:t>
        </w:r>
        <w:r w:rsidR="00BD0C30" w:rsidRPr="00C1305C">
          <w:rPr>
            <w:rStyle w:val="Collegamentoipertestuale"/>
            <w:rFonts w:asciiTheme="minorHAnsi" w:eastAsia="BISans" w:hAnsiTheme="minorHAnsi" w:cstheme="minorHAnsi"/>
            <w:bCs/>
            <w:sz w:val="20"/>
            <w:szCs w:val="20"/>
          </w:rPr>
          <w:t>sult</w:t>
        </w:r>
        <w:r w:rsidR="00BD0C30">
          <w:rPr>
            <w:rStyle w:val="Collegamentoipertestuale"/>
            <w:rFonts w:asciiTheme="minorHAnsi" w:eastAsia="BISans" w:hAnsiTheme="minorHAnsi" w:cstheme="minorHAnsi"/>
            <w:bCs/>
            <w:sz w:val="20"/>
            <w:szCs w:val="20"/>
          </w:rPr>
          <w:t>ati dello studio</w:t>
        </w:r>
        <w:r w:rsidR="00BD0C30" w:rsidRPr="00C1305C">
          <w:rPr>
            <w:rStyle w:val="Collegamentoipertestuale"/>
            <w:rFonts w:asciiTheme="minorHAnsi" w:eastAsia="BISans" w:hAnsiTheme="minorHAnsi" w:cstheme="minorHAnsi"/>
            <w:bCs/>
            <w:sz w:val="20"/>
            <w:szCs w:val="20"/>
          </w:rPr>
          <w:t xml:space="preserve"> RE-CIRCUIT®</w:t>
        </w:r>
      </w:hyperlink>
      <w:r w:rsidR="00BD0C30">
        <w:rPr>
          <w:rStyle w:val="Collegamentoipertestuale"/>
          <w:rFonts w:asciiTheme="minorHAnsi" w:eastAsia="BISans" w:hAnsiTheme="minorHAnsi" w:cstheme="minorHAnsi"/>
          <w:bCs/>
          <w:sz w:val="20"/>
          <w:szCs w:val="20"/>
        </w:rPr>
        <w:t xml:space="preserve"> </w:t>
      </w:r>
      <w:r w:rsidR="00BD0C30">
        <w:rPr>
          <w:rFonts w:eastAsia="BISans" w:cstheme="minorHAnsi"/>
          <w:bCs/>
          <w:sz w:val="20"/>
          <w:szCs w:val="20"/>
        </w:rPr>
        <w:t xml:space="preserve">hanno dimostrato che la </w:t>
      </w:r>
      <w:r w:rsidR="00BD0C30" w:rsidRPr="00A367EA">
        <w:rPr>
          <w:rFonts w:eastAsia="BISans" w:cstheme="minorHAnsi"/>
          <w:bCs/>
          <w:sz w:val="20"/>
          <w:szCs w:val="20"/>
        </w:rPr>
        <w:t xml:space="preserve">terapia </w:t>
      </w:r>
      <w:r w:rsidR="002B0712">
        <w:rPr>
          <w:rFonts w:eastAsia="BISans" w:cstheme="minorHAnsi"/>
          <w:bCs/>
          <w:sz w:val="20"/>
          <w:szCs w:val="20"/>
        </w:rPr>
        <w:t>continuativa</w:t>
      </w:r>
      <w:r w:rsidR="00BD0C30" w:rsidRPr="00A367EA">
        <w:rPr>
          <w:rFonts w:eastAsia="BISans" w:cstheme="minorHAnsi"/>
          <w:bCs/>
          <w:sz w:val="20"/>
          <w:szCs w:val="20"/>
        </w:rPr>
        <w:t xml:space="preserve"> con </w:t>
      </w:r>
      <w:r w:rsidR="00BD0C30" w:rsidRPr="00C1305C">
        <w:rPr>
          <w:rFonts w:cstheme="minorHAnsi"/>
          <w:sz w:val="20"/>
        </w:rPr>
        <w:t>dabigatran etexilat</w:t>
      </w:r>
      <w:r w:rsidR="00BD0C30">
        <w:rPr>
          <w:rFonts w:cstheme="minorHAnsi"/>
          <w:sz w:val="20"/>
        </w:rPr>
        <w:t>o</w:t>
      </w:r>
      <w:r w:rsidR="00BD0C30">
        <w:rPr>
          <w:rFonts w:eastAsia="BISans" w:cstheme="minorHAnsi"/>
          <w:bCs/>
          <w:sz w:val="20"/>
          <w:szCs w:val="20"/>
        </w:rPr>
        <w:t xml:space="preserve"> è stata</w:t>
      </w:r>
      <w:r w:rsidR="00BD0C30" w:rsidRPr="00C1305C">
        <w:rPr>
          <w:rFonts w:eastAsia="BISans" w:cstheme="minorHAnsi"/>
          <w:bCs/>
          <w:sz w:val="20"/>
          <w:szCs w:val="20"/>
        </w:rPr>
        <w:t xml:space="preserve"> associat</w:t>
      </w:r>
      <w:r w:rsidR="00BD0C30">
        <w:rPr>
          <w:rFonts w:eastAsia="BISans" w:cstheme="minorHAnsi"/>
          <w:bCs/>
          <w:sz w:val="20"/>
          <w:szCs w:val="20"/>
        </w:rPr>
        <w:t>a</w:t>
      </w:r>
      <w:r w:rsidR="00BD0C30" w:rsidRPr="00C1305C">
        <w:rPr>
          <w:rFonts w:eastAsia="BISans" w:cstheme="minorHAnsi"/>
          <w:bCs/>
          <w:sz w:val="20"/>
          <w:szCs w:val="20"/>
        </w:rPr>
        <w:t xml:space="preserve"> a</w:t>
      </w:r>
      <w:r w:rsidR="000B4B08">
        <w:rPr>
          <w:rFonts w:eastAsia="BISans" w:cstheme="minorHAnsi"/>
          <w:bCs/>
          <w:sz w:val="20"/>
          <w:szCs w:val="20"/>
        </w:rPr>
        <w:t>d</w:t>
      </w:r>
      <w:r w:rsidR="00BD0C30">
        <w:rPr>
          <w:rFonts w:eastAsia="BISans" w:cstheme="minorHAnsi"/>
          <w:bCs/>
          <w:sz w:val="20"/>
          <w:szCs w:val="20"/>
        </w:rPr>
        <w:t xml:space="preserve"> una </w:t>
      </w:r>
      <w:r w:rsidR="00BD0C30" w:rsidRPr="00C1305C">
        <w:rPr>
          <w:rFonts w:eastAsia="BISans" w:cstheme="minorHAnsi"/>
          <w:bCs/>
          <w:sz w:val="20"/>
          <w:szCs w:val="20"/>
        </w:rPr>
        <w:t>significat</w:t>
      </w:r>
      <w:r w:rsidR="00BD0C30">
        <w:rPr>
          <w:rFonts w:eastAsia="BISans" w:cstheme="minorHAnsi"/>
          <w:bCs/>
          <w:sz w:val="20"/>
          <w:szCs w:val="20"/>
        </w:rPr>
        <w:t xml:space="preserve">iva riduzione </w:t>
      </w:r>
      <w:r w:rsidR="000B4B08">
        <w:rPr>
          <w:rFonts w:eastAsia="BISans" w:cstheme="minorHAnsi"/>
          <w:bCs/>
          <w:sz w:val="20"/>
          <w:szCs w:val="20"/>
        </w:rPr>
        <w:t>degli</w:t>
      </w:r>
      <w:r w:rsidR="00BD0C30">
        <w:rPr>
          <w:rFonts w:eastAsia="BISans" w:cstheme="minorHAnsi"/>
          <w:bCs/>
          <w:sz w:val="20"/>
          <w:szCs w:val="20"/>
        </w:rPr>
        <w:t xml:space="preserve"> eventi di emorragia maggiore rispetto a </w:t>
      </w:r>
      <w:r w:rsidR="00BD0C30" w:rsidRPr="00C1305C">
        <w:rPr>
          <w:rFonts w:eastAsia="BISans" w:cstheme="minorHAnsi"/>
          <w:bCs/>
          <w:sz w:val="20"/>
          <w:szCs w:val="20"/>
        </w:rPr>
        <w:t>warfarin</w:t>
      </w:r>
      <w:r w:rsidR="00BD0C30">
        <w:rPr>
          <w:rFonts w:eastAsia="BISans" w:cstheme="minorHAnsi"/>
          <w:bCs/>
          <w:sz w:val="20"/>
          <w:szCs w:val="20"/>
        </w:rPr>
        <w:t xml:space="preserve"> (dosaggio corretto per il target </w:t>
      </w:r>
      <w:r w:rsidR="000B4B08">
        <w:rPr>
          <w:rFonts w:eastAsia="BISans" w:cstheme="minorHAnsi"/>
          <w:bCs/>
          <w:sz w:val="20"/>
          <w:szCs w:val="20"/>
        </w:rPr>
        <w:t xml:space="preserve">di </w:t>
      </w:r>
      <w:r w:rsidR="00BD0C30" w:rsidRPr="00C1305C">
        <w:rPr>
          <w:rFonts w:eastAsia="BISans" w:cstheme="minorHAnsi"/>
          <w:bCs/>
          <w:sz w:val="20"/>
          <w:szCs w:val="20"/>
        </w:rPr>
        <w:t>INR</w:t>
      </w:r>
      <w:r w:rsidR="00BD0C30">
        <w:rPr>
          <w:rFonts w:eastAsia="BISans" w:cstheme="minorHAnsi"/>
          <w:bCs/>
          <w:sz w:val="20"/>
          <w:szCs w:val="20"/>
        </w:rPr>
        <w:t>), in occasione di una procedura di ablazione</w:t>
      </w:r>
      <w:r w:rsidR="000B4B08">
        <w:rPr>
          <w:rFonts w:eastAsia="BISans" w:cstheme="minorHAnsi"/>
          <w:bCs/>
          <w:sz w:val="20"/>
          <w:szCs w:val="20"/>
        </w:rPr>
        <w:t xml:space="preserve"> transcatetere</w:t>
      </w:r>
      <w:r w:rsidR="00BD0C30" w:rsidRPr="00C1305C">
        <w:rPr>
          <w:rFonts w:eastAsia="BISans" w:cstheme="minorHAnsi"/>
          <w:bCs/>
          <w:sz w:val="20"/>
          <w:szCs w:val="20"/>
        </w:rPr>
        <w:t xml:space="preserve">. </w:t>
      </w:r>
      <w:r w:rsidR="00BD0C30">
        <w:rPr>
          <w:rFonts w:eastAsia="BISans" w:cstheme="minorHAnsi"/>
          <w:bCs/>
          <w:sz w:val="20"/>
          <w:szCs w:val="20"/>
        </w:rPr>
        <w:t xml:space="preserve">I risultati dello Studio erano stati </w:t>
      </w:r>
      <w:r w:rsidR="00BD0C30" w:rsidRPr="00C1305C">
        <w:rPr>
          <w:rFonts w:eastAsia="BISans" w:cstheme="minorHAnsi"/>
          <w:bCs/>
          <w:sz w:val="20"/>
          <w:szCs w:val="20"/>
        </w:rPr>
        <w:t>present</w:t>
      </w:r>
      <w:r w:rsidR="00BD0C30">
        <w:rPr>
          <w:rFonts w:eastAsia="BISans" w:cstheme="minorHAnsi"/>
          <w:bCs/>
          <w:sz w:val="20"/>
          <w:szCs w:val="20"/>
        </w:rPr>
        <w:t xml:space="preserve">ati </w:t>
      </w:r>
      <w:r w:rsidR="000B4B08">
        <w:rPr>
          <w:rFonts w:eastAsia="BISans" w:cstheme="minorHAnsi"/>
          <w:bCs/>
          <w:sz w:val="20"/>
          <w:szCs w:val="20"/>
        </w:rPr>
        <w:t>durante l’ultimo</w:t>
      </w:r>
      <w:r w:rsidR="00BD0C30" w:rsidRPr="00D30E3B">
        <w:rPr>
          <w:rFonts w:eastAsia="BISans" w:cstheme="minorHAnsi"/>
          <w:bCs/>
          <w:sz w:val="20"/>
          <w:szCs w:val="20"/>
        </w:rPr>
        <w:t xml:space="preserve"> Congresso </w:t>
      </w:r>
      <w:r w:rsidR="00BD0C30" w:rsidRPr="0054288A">
        <w:rPr>
          <w:rFonts w:eastAsia="BISans" w:cstheme="minorHAnsi"/>
          <w:bCs/>
          <w:i/>
          <w:sz w:val="20"/>
          <w:szCs w:val="20"/>
        </w:rPr>
        <w:t>dell’American College of Cardiology</w:t>
      </w:r>
      <w:r w:rsidR="00BD0C30" w:rsidRPr="00D30E3B">
        <w:rPr>
          <w:rFonts w:eastAsia="BISans" w:cstheme="minorHAnsi"/>
          <w:bCs/>
          <w:sz w:val="20"/>
          <w:szCs w:val="20"/>
        </w:rPr>
        <w:t xml:space="preserve"> (ACC) a Washington e contemporaneamente pubblicati sul </w:t>
      </w:r>
      <w:r w:rsidR="00BD0C30" w:rsidRPr="00C1305C">
        <w:rPr>
          <w:rFonts w:eastAsia="BISans" w:cstheme="minorHAnsi"/>
          <w:bCs/>
          <w:i/>
          <w:sz w:val="20"/>
          <w:szCs w:val="20"/>
        </w:rPr>
        <w:t>New England Journal of Medicine.</w:t>
      </w:r>
      <w:r w:rsidR="00BD0C30" w:rsidRPr="00C1305C">
        <w:rPr>
          <w:rFonts w:eastAsia="BISans" w:cstheme="minorHAnsi"/>
          <w:bCs/>
          <w:iCs/>
          <w:sz w:val="20"/>
          <w:szCs w:val="20"/>
          <w:vertAlign w:val="superscript"/>
        </w:rPr>
        <w:t xml:space="preserve">1,2  </w:t>
      </w:r>
    </w:p>
    <w:p w:rsidR="00BD0C30" w:rsidRPr="00C1305C" w:rsidRDefault="00BD0C30" w:rsidP="00BD0C30">
      <w:pPr>
        <w:autoSpaceDE w:val="0"/>
        <w:autoSpaceDN w:val="0"/>
        <w:adjustRightInd w:val="0"/>
        <w:jc w:val="both"/>
        <w:rPr>
          <w:rFonts w:eastAsia="BISans" w:cstheme="minorHAnsi"/>
          <w:bCs/>
          <w:sz w:val="20"/>
          <w:szCs w:val="20"/>
        </w:rPr>
      </w:pPr>
      <w:r w:rsidRPr="00C1305C">
        <w:rPr>
          <w:rFonts w:eastAsia="BISans" w:cstheme="minorHAnsi"/>
          <w:bCs/>
          <w:sz w:val="20"/>
          <w:szCs w:val="20"/>
        </w:rPr>
        <w:lastRenderedPageBreak/>
        <w:t>In</w:t>
      </w:r>
      <w:r>
        <w:rPr>
          <w:rFonts w:eastAsia="BISans" w:cstheme="minorHAnsi"/>
          <w:bCs/>
          <w:sz w:val="20"/>
          <w:szCs w:val="20"/>
        </w:rPr>
        <w:t>oltre, questa settimana è stato pubblicato</w:t>
      </w:r>
      <w:r w:rsidRPr="00C41F31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 xml:space="preserve">sulla rivista di </w:t>
      </w:r>
      <w:proofErr w:type="spellStart"/>
      <w:r>
        <w:rPr>
          <w:rFonts w:eastAsia="BISans" w:cstheme="minorHAnsi"/>
          <w:bCs/>
          <w:sz w:val="20"/>
          <w:szCs w:val="20"/>
        </w:rPr>
        <w:t>ari</w:t>
      </w:r>
      <w:r w:rsidR="002B0712">
        <w:rPr>
          <w:rFonts w:eastAsia="BISans" w:cstheme="minorHAnsi"/>
          <w:bCs/>
          <w:sz w:val="20"/>
          <w:szCs w:val="20"/>
        </w:rPr>
        <w:t>t</w:t>
      </w:r>
      <w:r>
        <w:rPr>
          <w:rFonts w:eastAsia="BISans" w:cstheme="minorHAnsi"/>
          <w:bCs/>
          <w:sz w:val="20"/>
          <w:szCs w:val="20"/>
        </w:rPr>
        <w:t>mologia</w:t>
      </w:r>
      <w:proofErr w:type="spellEnd"/>
      <w:r>
        <w:rPr>
          <w:rFonts w:eastAsia="BISans" w:cstheme="minorHAnsi"/>
          <w:bCs/>
          <w:sz w:val="20"/>
          <w:szCs w:val="20"/>
        </w:rPr>
        <w:t xml:space="preserve"> </w:t>
      </w:r>
      <w:r w:rsidRPr="0054288A">
        <w:rPr>
          <w:rFonts w:eastAsia="BISans" w:cstheme="minorHAnsi"/>
          <w:bCs/>
          <w:i/>
          <w:sz w:val="20"/>
          <w:szCs w:val="20"/>
        </w:rPr>
        <w:t xml:space="preserve">Heart </w:t>
      </w:r>
      <w:proofErr w:type="spellStart"/>
      <w:r w:rsidRPr="0054288A">
        <w:rPr>
          <w:rFonts w:eastAsia="BISans" w:cstheme="minorHAnsi"/>
          <w:bCs/>
          <w:i/>
          <w:sz w:val="20"/>
          <w:szCs w:val="20"/>
        </w:rPr>
        <w:t>Rhythm</w:t>
      </w:r>
      <w:proofErr w:type="spellEnd"/>
      <w:r>
        <w:rPr>
          <w:rFonts w:eastAsia="BISans" w:cstheme="minorHAnsi"/>
          <w:bCs/>
          <w:sz w:val="20"/>
          <w:szCs w:val="20"/>
        </w:rPr>
        <w:t xml:space="preserve"> il nuovo </w:t>
      </w:r>
      <w:r w:rsidR="000B4B08" w:rsidRPr="0054288A">
        <w:rPr>
          <w:rFonts w:eastAsia="BISans" w:cstheme="minorHAnsi"/>
          <w:bCs/>
          <w:iCs/>
          <w:sz w:val="20"/>
          <w:szCs w:val="20"/>
        </w:rPr>
        <w:t>documento di consenso</w:t>
      </w:r>
      <w:r w:rsidRPr="00E44D89">
        <w:rPr>
          <w:rFonts w:eastAsia="BISans" w:cstheme="minorHAnsi"/>
          <w:bCs/>
          <w:i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di</w:t>
      </w:r>
      <w:r w:rsidRPr="00C41F31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E</w:t>
      </w:r>
      <w:r w:rsidRPr="00C41F31">
        <w:rPr>
          <w:rFonts w:eastAsia="BISans" w:cstheme="minorHAnsi"/>
          <w:bCs/>
          <w:sz w:val="20"/>
          <w:szCs w:val="20"/>
        </w:rPr>
        <w:t>spert</w:t>
      </w:r>
      <w:r>
        <w:rPr>
          <w:rFonts w:eastAsia="BISans" w:cstheme="minorHAnsi"/>
          <w:bCs/>
          <w:sz w:val="20"/>
          <w:szCs w:val="20"/>
        </w:rPr>
        <w:t>i</w:t>
      </w:r>
      <w:r w:rsidR="000B4B08">
        <w:rPr>
          <w:rFonts w:eastAsia="BISans" w:cstheme="minorHAnsi"/>
          <w:bCs/>
          <w:sz w:val="20"/>
          <w:szCs w:val="20"/>
        </w:rPr>
        <w:t xml:space="preserve"> clinici</w:t>
      </w:r>
      <w:r>
        <w:rPr>
          <w:rFonts w:eastAsia="BISans" w:cstheme="minorHAnsi"/>
          <w:bCs/>
          <w:sz w:val="20"/>
          <w:szCs w:val="20"/>
        </w:rPr>
        <w:t xml:space="preserve"> mondiali sull’Ablazione Trans</w:t>
      </w:r>
      <w:r w:rsidRPr="00C41F31">
        <w:rPr>
          <w:rFonts w:eastAsia="BISans" w:cstheme="minorHAnsi"/>
          <w:bCs/>
          <w:sz w:val="20"/>
          <w:szCs w:val="20"/>
        </w:rPr>
        <w:t xml:space="preserve">catetere e </w:t>
      </w:r>
      <w:r>
        <w:rPr>
          <w:rFonts w:eastAsia="BISans" w:cstheme="minorHAnsi"/>
          <w:bCs/>
          <w:sz w:val="20"/>
          <w:szCs w:val="20"/>
        </w:rPr>
        <w:t>C</w:t>
      </w:r>
      <w:r w:rsidRPr="00C41F31">
        <w:rPr>
          <w:rFonts w:eastAsia="BISans" w:cstheme="minorHAnsi"/>
          <w:bCs/>
          <w:sz w:val="20"/>
          <w:szCs w:val="20"/>
        </w:rPr>
        <w:t xml:space="preserve">hirurgica della </w:t>
      </w:r>
      <w:r>
        <w:rPr>
          <w:rFonts w:eastAsia="BISans" w:cstheme="minorHAnsi"/>
          <w:bCs/>
          <w:sz w:val="20"/>
          <w:szCs w:val="20"/>
        </w:rPr>
        <w:t>F</w:t>
      </w:r>
      <w:r w:rsidRPr="00C41F31">
        <w:rPr>
          <w:rFonts w:eastAsia="BISans" w:cstheme="minorHAnsi"/>
          <w:bCs/>
          <w:sz w:val="20"/>
          <w:szCs w:val="20"/>
        </w:rPr>
        <w:t xml:space="preserve">ibrillazione </w:t>
      </w:r>
      <w:r>
        <w:rPr>
          <w:rFonts w:eastAsia="BISans" w:cstheme="minorHAnsi"/>
          <w:bCs/>
          <w:sz w:val="20"/>
          <w:szCs w:val="20"/>
        </w:rPr>
        <w:t>A</w:t>
      </w:r>
      <w:r w:rsidRPr="00C41F31">
        <w:rPr>
          <w:rFonts w:eastAsia="BISans" w:cstheme="minorHAnsi"/>
          <w:bCs/>
          <w:sz w:val="20"/>
          <w:szCs w:val="20"/>
        </w:rPr>
        <w:t>triale</w:t>
      </w:r>
      <w:r w:rsidRPr="00C1305C">
        <w:rPr>
          <w:rFonts w:eastAsia="BISans" w:cstheme="minorHAnsi"/>
          <w:bCs/>
          <w:iCs/>
          <w:sz w:val="20"/>
          <w:szCs w:val="20"/>
          <w:vertAlign w:val="superscript"/>
        </w:rPr>
        <w:t>3</w:t>
      </w:r>
      <w:r>
        <w:rPr>
          <w:rFonts w:eastAsia="BISans" w:cstheme="minorHAnsi"/>
          <w:bCs/>
          <w:sz w:val="20"/>
          <w:szCs w:val="20"/>
        </w:rPr>
        <w:t xml:space="preserve"> a cui hanno contribuito le principali Società Scientifiche mondiali tra cui la </w:t>
      </w:r>
      <w:r w:rsidRPr="00E44D89">
        <w:rPr>
          <w:rFonts w:eastAsia="BISans" w:cstheme="minorHAnsi"/>
          <w:bCs/>
          <w:i/>
          <w:sz w:val="20"/>
          <w:szCs w:val="20"/>
        </w:rPr>
        <w:t xml:space="preserve">European Heart </w:t>
      </w:r>
      <w:proofErr w:type="spellStart"/>
      <w:r w:rsidRPr="00E44D89">
        <w:rPr>
          <w:rFonts w:eastAsia="BISans" w:cstheme="minorHAnsi"/>
          <w:bCs/>
          <w:i/>
          <w:sz w:val="20"/>
          <w:szCs w:val="20"/>
        </w:rPr>
        <w:t>Rhythm</w:t>
      </w:r>
      <w:proofErr w:type="spellEnd"/>
      <w:r w:rsidRPr="00E44D89">
        <w:rPr>
          <w:rFonts w:eastAsia="BISans" w:cstheme="minorHAnsi"/>
          <w:bCs/>
          <w:i/>
          <w:sz w:val="20"/>
          <w:szCs w:val="20"/>
        </w:rPr>
        <w:t xml:space="preserve"> Association</w:t>
      </w:r>
      <w:r w:rsidRPr="00C1305C">
        <w:rPr>
          <w:rFonts w:eastAsia="BISans" w:cstheme="minorHAnsi"/>
          <w:bCs/>
          <w:sz w:val="20"/>
          <w:szCs w:val="20"/>
        </w:rPr>
        <w:t xml:space="preserve"> (EHRA)</w:t>
      </w:r>
      <w:r>
        <w:rPr>
          <w:rFonts w:eastAsia="BISans" w:cstheme="minorHAnsi"/>
          <w:bCs/>
          <w:sz w:val="20"/>
          <w:szCs w:val="20"/>
        </w:rPr>
        <w:t>. La conclusione condivisa d</w:t>
      </w:r>
      <w:r w:rsidR="002B0712">
        <w:rPr>
          <w:rFonts w:eastAsia="BISans" w:cstheme="minorHAnsi"/>
          <w:bCs/>
          <w:sz w:val="20"/>
          <w:szCs w:val="20"/>
        </w:rPr>
        <w:t>a</w:t>
      </w:r>
      <w:r>
        <w:rPr>
          <w:rFonts w:eastAsia="BISans" w:cstheme="minorHAnsi"/>
          <w:bCs/>
          <w:sz w:val="20"/>
          <w:szCs w:val="20"/>
        </w:rPr>
        <w:t xml:space="preserve">gli </w:t>
      </w:r>
      <w:r w:rsidR="00492CC9">
        <w:rPr>
          <w:rFonts w:eastAsia="BISans" w:cstheme="minorHAnsi"/>
          <w:bCs/>
          <w:sz w:val="20"/>
          <w:szCs w:val="20"/>
        </w:rPr>
        <w:t>E</w:t>
      </w:r>
      <w:r>
        <w:rPr>
          <w:rFonts w:eastAsia="BISans" w:cstheme="minorHAnsi"/>
          <w:bCs/>
          <w:sz w:val="20"/>
          <w:szCs w:val="20"/>
        </w:rPr>
        <w:t xml:space="preserve">sperti di ablazione è che, sulla base dei dati e dell’esperienza mondiale con </w:t>
      </w:r>
      <w:r w:rsidRPr="00C1305C">
        <w:rPr>
          <w:rFonts w:eastAsia="BISans" w:cstheme="minorHAnsi"/>
          <w:bCs/>
          <w:sz w:val="20"/>
          <w:szCs w:val="20"/>
        </w:rPr>
        <w:t xml:space="preserve">dabigatran </w:t>
      </w:r>
      <w:r>
        <w:rPr>
          <w:rFonts w:eastAsia="BISans" w:cstheme="minorHAnsi"/>
          <w:bCs/>
          <w:sz w:val="20"/>
          <w:szCs w:val="20"/>
        </w:rPr>
        <w:t xml:space="preserve">ad oggi, la raccomandazione di esecuzione dell’ablazione della FA con terapia continuativa con </w:t>
      </w:r>
      <w:r w:rsidRPr="00C1305C">
        <w:rPr>
          <w:rFonts w:cstheme="minorHAnsi"/>
          <w:sz w:val="20"/>
        </w:rPr>
        <w:t>dabigatran etexilat</w:t>
      </w:r>
      <w:r>
        <w:rPr>
          <w:rFonts w:cstheme="minorHAnsi"/>
          <w:sz w:val="20"/>
        </w:rPr>
        <w:t>o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ha il più alto livello possibile di evidenze</w:t>
      </w:r>
      <w:r w:rsidRPr="00C1305C">
        <w:rPr>
          <w:rFonts w:eastAsia="BISans" w:cstheme="minorHAnsi"/>
          <w:bCs/>
          <w:sz w:val="20"/>
          <w:szCs w:val="20"/>
        </w:rPr>
        <w:t xml:space="preserve">, </w:t>
      </w:r>
      <w:r>
        <w:rPr>
          <w:rFonts w:eastAsia="BISans" w:cstheme="minorHAnsi"/>
          <w:bCs/>
          <w:sz w:val="20"/>
          <w:szCs w:val="20"/>
        </w:rPr>
        <w:t>una raccomandazione di</w:t>
      </w:r>
      <w:r w:rsidRPr="00C1305C">
        <w:rPr>
          <w:rFonts w:eastAsia="BISans" w:cstheme="minorHAnsi"/>
          <w:bCs/>
          <w:sz w:val="20"/>
          <w:szCs w:val="20"/>
        </w:rPr>
        <w:t xml:space="preserve"> Class</w:t>
      </w:r>
      <w:r>
        <w:rPr>
          <w:rFonts w:eastAsia="BISans" w:cstheme="minorHAnsi"/>
          <w:bCs/>
          <w:sz w:val="20"/>
          <w:szCs w:val="20"/>
        </w:rPr>
        <w:t>e</w:t>
      </w:r>
      <w:r w:rsidRPr="00C1305C">
        <w:rPr>
          <w:rFonts w:eastAsia="BISans" w:cstheme="minorHAnsi"/>
          <w:bCs/>
          <w:sz w:val="20"/>
          <w:szCs w:val="20"/>
        </w:rPr>
        <w:t xml:space="preserve"> 1</w:t>
      </w:r>
      <w:r>
        <w:rPr>
          <w:rFonts w:eastAsia="BISans" w:cstheme="minorHAnsi"/>
          <w:bCs/>
          <w:sz w:val="20"/>
          <w:szCs w:val="20"/>
        </w:rPr>
        <w:t>A</w:t>
      </w:r>
      <w:r w:rsidRPr="00C1305C">
        <w:rPr>
          <w:rFonts w:eastAsia="BISans" w:cstheme="minorHAnsi"/>
          <w:bCs/>
          <w:sz w:val="20"/>
          <w:szCs w:val="20"/>
        </w:rPr>
        <w:t xml:space="preserve">. </w:t>
      </w:r>
    </w:p>
    <w:p w:rsidR="00BD0C30" w:rsidRPr="00C1305C" w:rsidRDefault="00BD0C30" w:rsidP="00BD0C30">
      <w:pPr>
        <w:autoSpaceDE w:val="0"/>
        <w:autoSpaceDN w:val="0"/>
        <w:adjustRightInd w:val="0"/>
        <w:jc w:val="both"/>
        <w:rPr>
          <w:rFonts w:eastAsia="BISans" w:cstheme="minorHAnsi"/>
          <w:bCs/>
          <w:sz w:val="20"/>
          <w:szCs w:val="20"/>
        </w:rPr>
      </w:pPr>
      <w:r w:rsidRPr="00C1305C">
        <w:rPr>
          <w:rFonts w:eastAsia="BISans" w:cstheme="minorHAnsi"/>
          <w:bCs/>
          <w:sz w:val="20"/>
          <w:szCs w:val="20"/>
        </w:rPr>
        <w:t>“</w:t>
      </w:r>
      <w:r>
        <w:rPr>
          <w:rFonts w:eastAsia="BISans" w:cstheme="minorHAnsi"/>
          <w:bCs/>
          <w:sz w:val="20"/>
          <w:szCs w:val="20"/>
        </w:rPr>
        <w:t xml:space="preserve">Una terapia anticoagulante </w:t>
      </w:r>
      <w:r w:rsidR="00492CC9">
        <w:rPr>
          <w:rFonts w:eastAsia="BISans" w:cstheme="minorHAnsi"/>
          <w:bCs/>
          <w:sz w:val="20"/>
          <w:szCs w:val="20"/>
        </w:rPr>
        <w:t xml:space="preserve">orale </w:t>
      </w:r>
      <w:r>
        <w:rPr>
          <w:rFonts w:eastAsia="BISans" w:cstheme="minorHAnsi"/>
          <w:bCs/>
          <w:sz w:val="20"/>
          <w:szCs w:val="20"/>
        </w:rPr>
        <w:t>ottimale</w:t>
      </w:r>
      <w:r w:rsidR="00492CC9">
        <w:rPr>
          <w:rFonts w:eastAsia="BISans" w:cstheme="minorHAnsi"/>
          <w:bCs/>
          <w:sz w:val="20"/>
          <w:szCs w:val="20"/>
        </w:rPr>
        <w:t>, in termini di sicurezza ed efficacia,</w:t>
      </w:r>
      <w:r>
        <w:rPr>
          <w:rFonts w:eastAsia="BISans" w:cstheme="minorHAnsi"/>
          <w:bCs/>
          <w:sz w:val="20"/>
          <w:szCs w:val="20"/>
        </w:rPr>
        <w:t xml:space="preserve"> è di importanza vitale durante una procedura di ablazione in quanto i pazienti sono a maggior rischio di complicanze sia emorragiche, sia di ictus. Nello studio</w:t>
      </w:r>
      <w:r w:rsidRPr="00C1305C">
        <w:rPr>
          <w:rFonts w:eastAsia="BISans" w:cstheme="minorHAnsi"/>
          <w:bCs/>
          <w:sz w:val="20"/>
          <w:szCs w:val="20"/>
        </w:rPr>
        <w:t xml:space="preserve"> RE-CIRCUIT® </w:t>
      </w:r>
      <w:r>
        <w:rPr>
          <w:rFonts w:eastAsia="BISans" w:cstheme="minorHAnsi"/>
          <w:bCs/>
          <w:sz w:val="20"/>
          <w:szCs w:val="20"/>
        </w:rPr>
        <w:t xml:space="preserve">la terapia continuativa con </w:t>
      </w:r>
      <w:r w:rsidRPr="00C1305C">
        <w:rPr>
          <w:rFonts w:cstheme="minorHAnsi"/>
          <w:sz w:val="20"/>
        </w:rPr>
        <w:t>dabigatran etexilat</w:t>
      </w:r>
      <w:r>
        <w:rPr>
          <w:rFonts w:cstheme="minorHAnsi"/>
          <w:sz w:val="20"/>
        </w:rPr>
        <w:t>o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ha dimostrato di essere un’opzione molto più sicura del</w:t>
      </w:r>
      <w:r w:rsidRPr="00C1305C">
        <w:rPr>
          <w:rFonts w:eastAsia="BISans" w:cstheme="minorHAnsi"/>
          <w:bCs/>
          <w:sz w:val="20"/>
          <w:szCs w:val="20"/>
        </w:rPr>
        <w:t xml:space="preserve"> warfarin </w:t>
      </w:r>
      <w:r>
        <w:rPr>
          <w:rFonts w:eastAsia="BISans" w:cstheme="minorHAnsi"/>
          <w:bCs/>
          <w:sz w:val="20"/>
          <w:szCs w:val="20"/>
        </w:rPr>
        <w:t>relativamente all’emorragia maggiore</w:t>
      </w:r>
      <w:r w:rsidRPr="00C1305C">
        <w:rPr>
          <w:rFonts w:eastAsia="BISans" w:cstheme="minorHAnsi"/>
          <w:bCs/>
          <w:sz w:val="20"/>
          <w:szCs w:val="20"/>
        </w:rPr>
        <w:t xml:space="preserve">” </w:t>
      </w:r>
      <w:r>
        <w:rPr>
          <w:rFonts w:eastAsia="BISans" w:cstheme="minorHAnsi"/>
          <w:bCs/>
          <w:sz w:val="20"/>
          <w:szCs w:val="20"/>
        </w:rPr>
        <w:t xml:space="preserve">- ha </w:t>
      </w:r>
      <w:r w:rsidRPr="00C1305C">
        <w:rPr>
          <w:rFonts w:eastAsia="BISans" w:cstheme="minorHAnsi"/>
          <w:bCs/>
          <w:sz w:val="20"/>
          <w:szCs w:val="20"/>
        </w:rPr>
        <w:t>comment</w:t>
      </w:r>
      <w:r>
        <w:rPr>
          <w:rFonts w:eastAsia="BISans" w:cstheme="minorHAnsi"/>
          <w:bCs/>
          <w:sz w:val="20"/>
          <w:szCs w:val="20"/>
        </w:rPr>
        <w:t>ato il</w:t>
      </w:r>
      <w:r w:rsidRPr="00C1305C">
        <w:rPr>
          <w:rFonts w:eastAsia="BISans" w:cstheme="minorHAnsi"/>
          <w:bCs/>
          <w:sz w:val="20"/>
          <w:szCs w:val="20"/>
        </w:rPr>
        <w:t xml:space="preserve"> Professor Jörg Kreuzer, Vice President</w:t>
      </w:r>
      <w:r>
        <w:rPr>
          <w:rFonts w:eastAsia="BISans" w:cstheme="minorHAnsi"/>
          <w:bCs/>
          <w:sz w:val="20"/>
          <w:szCs w:val="20"/>
        </w:rPr>
        <w:t>e</w:t>
      </w:r>
      <w:r w:rsidRPr="00C1305C">
        <w:rPr>
          <w:rFonts w:eastAsia="BISans" w:cstheme="minorHAnsi"/>
          <w:bCs/>
          <w:sz w:val="20"/>
          <w:szCs w:val="20"/>
        </w:rPr>
        <w:t xml:space="preserve"> Medicin</w:t>
      </w:r>
      <w:r>
        <w:rPr>
          <w:rFonts w:eastAsia="BISans" w:cstheme="minorHAnsi"/>
          <w:bCs/>
          <w:sz w:val="20"/>
          <w:szCs w:val="20"/>
        </w:rPr>
        <w:t>a dell’Area T</w:t>
      </w:r>
      <w:r w:rsidRPr="00C1305C">
        <w:rPr>
          <w:rFonts w:eastAsia="BISans" w:cstheme="minorHAnsi"/>
          <w:bCs/>
          <w:sz w:val="20"/>
          <w:szCs w:val="20"/>
        </w:rPr>
        <w:t>erapeutic</w:t>
      </w:r>
      <w:r>
        <w:rPr>
          <w:rFonts w:eastAsia="BISans" w:cstheme="minorHAnsi"/>
          <w:bCs/>
          <w:sz w:val="20"/>
          <w:szCs w:val="20"/>
        </w:rPr>
        <w:t>a</w:t>
      </w:r>
      <w:r w:rsidRPr="00C1305C">
        <w:rPr>
          <w:rFonts w:eastAsia="BISans" w:cstheme="minorHAnsi"/>
          <w:bCs/>
          <w:sz w:val="20"/>
          <w:szCs w:val="20"/>
        </w:rPr>
        <w:t xml:space="preserve"> Cardiovasc</w:t>
      </w:r>
      <w:r>
        <w:rPr>
          <w:rFonts w:eastAsia="BISans" w:cstheme="minorHAnsi"/>
          <w:bCs/>
          <w:sz w:val="20"/>
          <w:szCs w:val="20"/>
        </w:rPr>
        <w:t>o</w:t>
      </w:r>
      <w:r w:rsidRPr="00C1305C">
        <w:rPr>
          <w:rFonts w:eastAsia="BISans" w:cstheme="minorHAnsi"/>
          <w:bCs/>
          <w:sz w:val="20"/>
          <w:szCs w:val="20"/>
        </w:rPr>
        <w:t>lar</w:t>
      </w:r>
      <w:r>
        <w:rPr>
          <w:rFonts w:eastAsia="BISans" w:cstheme="minorHAnsi"/>
          <w:bCs/>
          <w:sz w:val="20"/>
          <w:szCs w:val="20"/>
        </w:rPr>
        <w:t>e di Boehringer Ingelheim -</w:t>
      </w:r>
      <w:r w:rsidRPr="00C1305C">
        <w:rPr>
          <w:rFonts w:eastAsia="BISans" w:cstheme="minorHAnsi"/>
          <w:bCs/>
          <w:sz w:val="20"/>
          <w:szCs w:val="20"/>
        </w:rPr>
        <w:t xml:space="preserve"> “</w:t>
      </w:r>
      <w:r w:rsidR="00492CC9">
        <w:rPr>
          <w:rFonts w:eastAsia="BISans" w:cstheme="minorHAnsi"/>
          <w:bCs/>
          <w:sz w:val="20"/>
          <w:szCs w:val="20"/>
        </w:rPr>
        <w:t>Questi nuovi</w:t>
      </w:r>
      <w:r>
        <w:rPr>
          <w:rFonts w:eastAsia="BISans" w:cstheme="minorHAnsi"/>
          <w:bCs/>
          <w:sz w:val="20"/>
          <w:szCs w:val="20"/>
        </w:rPr>
        <w:t xml:space="preserve"> dati </w:t>
      </w:r>
      <w:r w:rsidR="00492CC9">
        <w:rPr>
          <w:rFonts w:eastAsia="BISans" w:cstheme="minorHAnsi"/>
          <w:bCs/>
          <w:sz w:val="20"/>
          <w:szCs w:val="20"/>
        </w:rPr>
        <w:t xml:space="preserve">clinici rappresentano una conferma delle </w:t>
      </w:r>
      <w:r>
        <w:rPr>
          <w:rFonts w:eastAsia="BISans" w:cstheme="minorHAnsi"/>
          <w:bCs/>
          <w:sz w:val="20"/>
          <w:szCs w:val="20"/>
        </w:rPr>
        <w:t xml:space="preserve">solide evidenze </w:t>
      </w:r>
      <w:r w:rsidR="00492CC9">
        <w:rPr>
          <w:rFonts w:eastAsia="BISans" w:cstheme="minorHAnsi"/>
          <w:bCs/>
          <w:sz w:val="20"/>
          <w:szCs w:val="20"/>
        </w:rPr>
        <w:t xml:space="preserve">di sicurezza e </w:t>
      </w:r>
      <w:r>
        <w:rPr>
          <w:rFonts w:eastAsia="BISans" w:cstheme="minorHAnsi"/>
          <w:bCs/>
          <w:sz w:val="20"/>
          <w:szCs w:val="20"/>
        </w:rPr>
        <w:t xml:space="preserve">dei benefici che </w:t>
      </w:r>
      <w:r w:rsidRPr="00C1305C">
        <w:rPr>
          <w:rFonts w:cstheme="minorHAnsi"/>
          <w:sz w:val="20"/>
        </w:rPr>
        <w:t>dabigatran etexilat</w:t>
      </w:r>
      <w:r>
        <w:rPr>
          <w:rFonts w:cstheme="minorHAnsi"/>
          <w:sz w:val="20"/>
        </w:rPr>
        <w:t>o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>può offrire ai pazienti con Fibrillazione A</w:t>
      </w:r>
      <w:r w:rsidRPr="00C1305C">
        <w:rPr>
          <w:rFonts w:eastAsia="BISans" w:cstheme="minorHAnsi"/>
          <w:bCs/>
          <w:sz w:val="20"/>
          <w:szCs w:val="20"/>
        </w:rPr>
        <w:t>trial</w:t>
      </w:r>
      <w:r>
        <w:rPr>
          <w:rFonts w:eastAsia="BISans" w:cstheme="minorHAnsi"/>
          <w:bCs/>
          <w:sz w:val="20"/>
          <w:szCs w:val="20"/>
        </w:rPr>
        <w:t>e e ai medici che li hanno in cura</w:t>
      </w:r>
      <w:r w:rsidRPr="00C1305C">
        <w:rPr>
          <w:rFonts w:eastAsia="BISans" w:cstheme="minorHAnsi"/>
          <w:bCs/>
          <w:sz w:val="20"/>
          <w:szCs w:val="20"/>
        </w:rPr>
        <w:t xml:space="preserve">. </w:t>
      </w:r>
      <w:r>
        <w:rPr>
          <w:rFonts w:eastAsia="BISans" w:cstheme="minorHAnsi"/>
          <w:bCs/>
          <w:sz w:val="20"/>
          <w:szCs w:val="20"/>
        </w:rPr>
        <w:t xml:space="preserve">Siamo lieti che sia il </w:t>
      </w:r>
      <w:r w:rsidRPr="00C1305C">
        <w:rPr>
          <w:rFonts w:eastAsia="BISans" w:cstheme="minorHAnsi"/>
          <w:bCs/>
          <w:sz w:val="20"/>
          <w:szCs w:val="20"/>
        </w:rPr>
        <w:t>CHMP</w:t>
      </w:r>
      <w:r w:rsidR="002B0712">
        <w:rPr>
          <w:rFonts w:eastAsia="BISans" w:cstheme="minorHAnsi"/>
          <w:bCs/>
          <w:sz w:val="20"/>
          <w:szCs w:val="20"/>
        </w:rPr>
        <w:t>,</w:t>
      </w:r>
      <w:r w:rsidRPr="00C1305C">
        <w:rPr>
          <w:rFonts w:eastAsia="BISans" w:cstheme="minorHAnsi"/>
          <w:bCs/>
          <w:sz w:val="20"/>
          <w:szCs w:val="20"/>
        </w:rPr>
        <w:t xml:space="preserve"> </w:t>
      </w:r>
      <w:r>
        <w:rPr>
          <w:rFonts w:eastAsia="BISans" w:cstheme="minorHAnsi"/>
          <w:bCs/>
          <w:sz w:val="20"/>
          <w:szCs w:val="20"/>
        </w:rPr>
        <w:t xml:space="preserve">sia le società scientifiche internazionali riconoscano il valore </w:t>
      </w:r>
      <w:r w:rsidR="00492CC9">
        <w:rPr>
          <w:rFonts w:eastAsia="BISans" w:cstheme="minorHAnsi"/>
          <w:bCs/>
          <w:sz w:val="20"/>
          <w:szCs w:val="20"/>
        </w:rPr>
        <w:t xml:space="preserve">di queste nuove evidenze di sicurezza di dabigatran </w:t>
      </w:r>
      <w:r>
        <w:rPr>
          <w:rFonts w:eastAsia="BISans" w:cstheme="minorHAnsi"/>
          <w:bCs/>
          <w:sz w:val="20"/>
          <w:szCs w:val="20"/>
        </w:rPr>
        <w:t>nelle loro raccomandazioni ai medici</w:t>
      </w:r>
      <w:r w:rsidRPr="00C1305C">
        <w:rPr>
          <w:rFonts w:eastAsia="BISans" w:cstheme="minorHAnsi"/>
          <w:bCs/>
          <w:sz w:val="20"/>
          <w:szCs w:val="20"/>
        </w:rPr>
        <w:t>”</w:t>
      </w:r>
      <w:r>
        <w:rPr>
          <w:rFonts w:eastAsia="BISans" w:cstheme="minorHAnsi"/>
          <w:bCs/>
          <w:sz w:val="20"/>
          <w:szCs w:val="20"/>
        </w:rPr>
        <w:t>.</w:t>
      </w:r>
    </w:p>
    <w:p w:rsidR="00BD0C30" w:rsidRPr="00C1305C" w:rsidRDefault="00BD0C30" w:rsidP="00BD0C30">
      <w:pPr>
        <w:pStyle w:val="Default"/>
        <w:spacing w:line="312" w:lineRule="auto"/>
        <w:ind w:right="-46"/>
        <w:jc w:val="both"/>
        <w:rPr>
          <w:rStyle w:val="Highlight"/>
          <w:rFonts w:asciiTheme="minorHAnsi" w:hAnsiTheme="minorHAnsi" w:cstheme="minorHAnsi"/>
          <w:sz w:val="20"/>
          <w:szCs w:val="20"/>
          <w:lang w:val="it-IT"/>
        </w:rPr>
      </w:pPr>
      <w:r w:rsidRPr="00C1305C">
        <w:rPr>
          <w:rStyle w:val="Highlight"/>
          <w:rFonts w:asciiTheme="minorHAnsi" w:hAnsiTheme="minorHAnsi" w:cstheme="minorHAnsi"/>
          <w:sz w:val="20"/>
          <w:szCs w:val="20"/>
          <w:lang w:val="it-IT"/>
        </w:rPr>
        <w:t xml:space="preserve">Lo Studio </w:t>
      </w:r>
      <w:hyperlink r:id="rId9" w:history="1">
        <w:r w:rsidRPr="0054288A">
          <w:rPr>
            <w:rStyle w:val="Highlight"/>
            <w:rFonts w:asciiTheme="minorHAnsi" w:hAnsiTheme="minorHAnsi"/>
            <w:bCs w:val="0"/>
            <w:sz w:val="20"/>
            <w:szCs w:val="20"/>
            <w:lang w:val="it-IT"/>
          </w:rPr>
          <w:t>RE-CIRCUIT®</w:t>
        </w:r>
      </w:hyperlink>
      <w:r w:rsidRPr="00BD0C30">
        <w:rPr>
          <w:rStyle w:val="Highlight"/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:rsidR="00BD0C30" w:rsidRPr="00C1305C" w:rsidRDefault="00BD0C30" w:rsidP="00BD0C30">
      <w:pPr>
        <w:pStyle w:val="Default"/>
        <w:spacing w:line="312" w:lineRule="auto"/>
        <w:ind w:right="-46"/>
        <w:jc w:val="both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Lo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S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tudio RE-CIRCUIT® (acronimo inglese di </w:t>
      </w:r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Randomised Evaluation of dabigatran etexilate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Compared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to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warfarIn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in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pulmonaRy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vein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ablation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: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assessment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of different peri-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proCedUral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antIcoagulation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</w:t>
      </w:r>
      <w:proofErr w:type="spellStart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sTrategies</w:t>
      </w:r>
      <w:proofErr w:type="spellEnd"/>
      <w:r w:rsidRPr="0054288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)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è uno studio multicentrico, esplorativo, prospettico, randomizzato, in aperto, con valutazione degli esiti in cieco, con farmaco di confronto. Lo studio ha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</w:t>
      </w:r>
      <w:r w:rsidR="00492CC9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arruolato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pazienti con F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ibrillazione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A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triale non-valvolare parossistica o persistente, per cui era prevista</w:t>
      </w:r>
      <w:r w:rsidR="00492CC9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una procedura di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ablazione transcatetere e</w:t>
      </w:r>
      <w:r w:rsidR="00492CC9">
        <w:rPr>
          <w:rFonts w:asciiTheme="minorHAnsi" w:hAnsiTheme="minorHAnsi" w:cstheme="minorHAnsi"/>
          <w:color w:val="auto"/>
          <w:sz w:val="20"/>
          <w:szCs w:val="20"/>
          <w:lang w:val="it-IT"/>
        </w:rPr>
        <w:t>d in terapia anticoagulante orale con</w:t>
      </w:r>
      <w:r w:rsidR="001E1387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dabigatran 150 mg due volte/die. I pazienti sono stati randomizzati in rapporto 1:1 </w:t>
      </w:r>
      <w:r w:rsidR="00492CC9">
        <w:rPr>
          <w:rFonts w:asciiTheme="minorHAnsi" w:hAnsiTheme="minorHAnsi" w:cstheme="minorHAnsi"/>
          <w:color w:val="auto"/>
          <w:sz w:val="20"/>
          <w:szCs w:val="20"/>
          <w:lang w:val="it-IT"/>
        </w:rPr>
        <w:t>a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dabigatran etexilato 150 mg due volte/die o warfarin (INR 2,0–3,0) e hanno mantenuto la rispettiva terapia per la durata dello studio.</w:t>
      </w:r>
      <w:r w:rsidRPr="00C1305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  <w:t>1,2</w:t>
      </w:r>
    </w:p>
    <w:p w:rsidR="00BD0C30" w:rsidRPr="00C1305C" w:rsidRDefault="00BD0C30" w:rsidP="00BD0C30">
      <w:pPr>
        <w:pStyle w:val="Default"/>
        <w:spacing w:line="312" w:lineRule="auto"/>
        <w:ind w:right="-46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:rsidR="00BD0C30" w:rsidRPr="00C1305C" w:rsidRDefault="00BD0C30" w:rsidP="00BD0C30">
      <w:pPr>
        <w:pStyle w:val="Default"/>
        <w:spacing w:line="312" w:lineRule="auto"/>
        <w:ind w:right="-46"/>
        <w:jc w:val="both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Lo studio ha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arruolato 704 pazienti in 104 C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entri con 635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di essi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in terapia anticoagulante ininterrotta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,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sottopost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i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ad ablazione. Tutti i pazienti sono stati sottoposti a ecocardio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gramma transesofageo prima della procedura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di 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lastRenderedPageBreak/>
        <w:t>ablazione per confermare l’assenza di eventuali trombi nella cavità superiore sinistra del cuore (atrio sinistro). La sicurezza e l’efficacia delle terapie sono state valutate nei 3-4 mesi del periodo di trattamento e alla visita di controllo (</w:t>
      </w:r>
      <w:proofErr w:type="spellStart"/>
      <w:r w:rsidRPr="007F46B3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follow</w:t>
      </w:r>
      <w:proofErr w:type="spellEnd"/>
      <w:r w:rsidRPr="007F46B3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up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) 1 settimana dopo la fine del trattamento.</w:t>
      </w:r>
      <w:r w:rsidRPr="00C1305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  <w:t>1,2 </w:t>
      </w:r>
    </w:p>
    <w:p w:rsidR="00BD0C30" w:rsidRPr="00C1305C" w:rsidRDefault="00BD0C30" w:rsidP="00BD0C30">
      <w:pPr>
        <w:pStyle w:val="Default"/>
        <w:spacing w:line="312" w:lineRule="auto"/>
        <w:ind w:right="-46"/>
        <w:jc w:val="both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:rsidR="00BD0C30" w:rsidRPr="00C1305C" w:rsidRDefault="00BD0C30" w:rsidP="00BD0C30">
      <w:pPr>
        <w:pStyle w:val="Default"/>
        <w:spacing w:line="312" w:lineRule="auto"/>
        <w:ind w:right="-46"/>
        <w:jc w:val="both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L’endpoint primario dello studio RE-CIRCUIT® è stat</w:t>
      </w:r>
      <w:r w:rsidR="00657EEF">
        <w:rPr>
          <w:rFonts w:asciiTheme="minorHAnsi" w:hAnsiTheme="minorHAnsi" w:cstheme="minorHAnsi"/>
          <w:color w:val="auto"/>
          <w:sz w:val="20"/>
          <w:szCs w:val="20"/>
          <w:lang w:val="it-IT"/>
        </w:rPr>
        <w:t>o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l’incidenza di eventi di emorragia maggiore come definita </w:t>
      </w:r>
      <w:r w:rsidRPr="007F46B3">
        <w:rPr>
          <w:rFonts w:asciiTheme="minorHAnsi" w:hAnsiTheme="minorHAnsi" w:cstheme="minorHAnsi"/>
          <w:color w:val="auto"/>
          <w:sz w:val="20"/>
          <w:szCs w:val="20"/>
          <w:lang w:val="it-IT"/>
        </w:rPr>
        <w:t>dall’</w:t>
      </w:r>
      <w:r w:rsidRPr="007F46B3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International Society on </w:t>
      </w:r>
      <w:proofErr w:type="spellStart"/>
      <w:r w:rsidRPr="007F46B3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Thrombosis</w:t>
      </w:r>
      <w:proofErr w:type="spellEnd"/>
      <w:r w:rsidRPr="007F46B3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 xml:space="preserve"> and </w:t>
      </w:r>
      <w:proofErr w:type="spellStart"/>
      <w:r w:rsidRPr="007F46B3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Haemostasis</w:t>
      </w:r>
      <w:proofErr w:type="spellEnd"/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(ISTH), durante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l’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ablazione e per un periodo sino a due mesi post-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procedura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.</w:t>
      </w:r>
      <w:r w:rsidR="003D11E8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Gli </w:t>
      </w:r>
      <w:r w:rsidRPr="00AB725A">
        <w:rPr>
          <w:rFonts w:asciiTheme="minorHAnsi" w:hAnsiTheme="minorHAnsi" w:cstheme="minorHAnsi"/>
          <w:i/>
          <w:color w:val="auto"/>
          <w:sz w:val="20"/>
          <w:szCs w:val="20"/>
          <w:lang w:val="it-IT"/>
        </w:rPr>
        <w:t>endpoint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secondari hanno compreso eventi tromboembolici (ictus/embolie sistemiche/ attacco ischemico transitorio), eventi d’emorragia minore o un insieme degli endpoint d’efficacia e sicurezza durante l’ablazione e per un periodo sino a due mesi dopo l’intervento.</w:t>
      </w:r>
      <w:r w:rsidRPr="00C1305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  <w:t>1,2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 </w:t>
      </w:r>
    </w:p>
    <w:p w:rsidR="00BD0C30" w:rsidRPr="00C1305C" w:rsidRDefault="00BD0C30" w:rsidP="00BD0C30">
      <w:pPr>
        <w:pStyle w:val="NormaleWeb"/>
        <w:shd w:val="clear" w:color="auto" w:fill="FFFFFF"/>
        <w:spacing w:before="0" w:beforeAutospacing="0" w:after="0" w:afterAutospacing="0" w:line="312" w:lineRule="auto"/>
        <w:rPr>
          <w:rStyle w:val="Highlight"/>
          <w:rFonts w:asciiTheme="minorHAnsi" w:hAnsiTheme="minorHAnsi" w:cstheme="minorHAnsi"/>
          <w:sz w:val="20"/>
          <w:szCs w:val="20"/>
          <w:lang w:val="it-IT"/>
        </w:rPr>
      </w:pPr>
    </w:p>
    <w:p w:rsidR="00BD0C30" w:rsidRPr="00C1305C" w:rsidRDefault="00BD0C30" w:rsidP="00BD0C30">
      <w:pPr>
        <w:pStyle w:val="Normale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Style w:val="Highlight"/>
          <w:rFonts w:asciiTheme="minorHAnsi" w:hAnsiTheme="minorHAnsi" w:cstheme="minorHAnsi"/>
          <w:sz w:val="20"/>
          <w:szCs w:val="20"/>
          <w:lang w:val="it-IT"/>
        </w:rPr>
        <w:t>D</w:t>
      </w:r>
      <w:r w:rsidRPr="00C1305C">
        <w:rPr>
          <w:rStyle w:val="Highlight"/>
          <w:rFonts w:asciiTheme="minorHAnsi" w:hAnsiTheme="minorHAnsi" w:cstheme="minorHAnsi"/>
          <w:sz w:val="20"/>
          <w:szCs w:val="20"/>
          <w:lang w:val="it-IT"/>
        </w:rPr>
        <w:t>abigatran etexilato</w:t>
      </w:r>
    </w:p>
    <w:p w:rsidR="00BD0C30" w:rsidRPr="00C1305C" w:rsidRDefault="00BD0C30" w:rsidP="00BD0C30">
      <w:pPr>
        <w:pStyle w:val="Default"/>
        <w:spacing w:line="312" w:lineRule="auto"/>
        <w:ind w:right="-46"/>
        <w:jc w:val="both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L’esperienza clinica con terapia anticoagulante </w:t>
      </w:r>
      <w:r w:rsidR="004A1D5F">
        <w:rPr>
          <w:rFonts w:asciiTheme="minorHAnsi" w:hAnsiTheme="minorHAnsi" w:cstheme="minorHAnsi"/>
          <w:color w:val="auto"/>
          <w:sz w:val="20"/>
          <w:szCs w:val="20"/>
          <w:lang w:val="it-IT"/>
        </w:rPr>
        <w:t>continuativa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supera gli 8 milioni di anni/paziente per tutte le indicazioni per cui il farmaco è stato approvato nel mondo.</w:t>
      </w:r>
      <w:r w:rsidRPr="00AB725A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  <w:t>16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Dabigatran etexilato 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in terapia anticoagulante ininterrotta è sul mercato da oltre 8 anni</w:t>
      </w:r>
      <w:r w:rsidR="004A1D5F">
        <w:rPr>
          <w:rFonts w:asciiTheme="minorHAnsi" w:hAnsiTheme="minorHAnsi" w:cstheme="minorHAnsi"/>
          <w:color w:val="auto"/>
          <w:sz w:val="20"/>
          <w:szCs w:val="20"/>
          <w:lang w:val="it-IT"/>
        </w:rPr>
        <w:t>,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ed è approvato in più di 100 Paesi.</w:t>
      </w:r>
      <w:r w:rsidRPr="00C1305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  <w:t>3</w:t>
      </w:r>
    </w:p>
    <w:p w:rsidR="00BD0C30" w:rsidRPr="00C1305C" w:rsidRDefault="00BD0C30" w:rsidP="00BD0C30">
      <w:pPr>
        <w:pStyle w:val="Default"/>
        <w:spacing w:line="312" w:lineRule="auto"/>
        <w:ind w:right="-46"/>
        <w:rPr>
          <w:rFonts w:asciiTheme="minorHAnsi" w:eastAsia="BISans" w:hAnsiTheme="minorHAnsi" w:cstheme="minorHAnsi"/>
          <w:color w:val="auto"/>
          <w:sz w:val="20"/>
          <w:szCs w:val="20"/>
          <w:lang w:val="it-IT" w:eastAsia="zh-TW"/>
        </w:rPr>
      </w:pPr>
    </w:p>
    <w:p w:rsidR="00BD0C30" w:rsidRDefault="00BD0C30" w:rsidP="00BD0C30">
      <w:pPr>
        <w:pStyle w:val="Default"/>
        <w:spacing w:line="312" w:lineRule="auto"/>
        <w:ind w:right="-46"/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</w:pPr>
      <w:r w:rsidRPr="00A90B80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Le indicazioni per cui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dabigatran etexilato </w:t>
      </w:r>
      <w:r w:rsidRPr="00A90B80">
        <w:rPr>
          <w:rFonts w:asciiTheme="minorHAnsi" w:hAnsiTheme="minorHAnsi" w:cstheme="minorHAnsi"/>
          <w:color w:val="auto"/>
          <w:sz w:val="20"/>
          <w:szCs w:val="20"/>
          <w:lang w:val="it-IT"/>
        </w:rPr>
        <w:t>è attualmente approvato sono le seguenti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:</w:t>
      </w:r>
      <w:r w:rsidRPr="00C1305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  <w:t xml:space="preserve"> 5,6</w:t>
      </w:r>
    </w:p>
    <w:p w:rsidR="00A875C7" w:rsidRPr="005F67A3" w:rsidRDefault="00A875C7" w:rsidP="00BD0C30">
      <w:pPr>
        <w:pStyle w:val="Default"/>
        <w:spacing w:line="312" w:lineRule="auto"/>
        <w:ind w:right="-46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:rsidR="00A875C7" w:rsidRPr="005F67A3" w:rsidRDefault="00A875C7" w:rsidP="005F67A3">
      <w:pPr>
        <w:pStyle w:val="Paragrafoelenco"/>
        <w:numPr>
          <w:ilvl w:val="0"/>
          <w:numId w:val="14"/>
        </w:numPr>
        <w:suppressAutoHyphens/>
        <w:jc w:val="both"/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</w:pPr>
      <w:r w:rsidRPr="005F67A3"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  <w:t>Prevenzione primaria di episodi tromboembolici in pazienti adulti sottoposti a chirurgia sostitutiva elettiva totale dell’anca o del ginocchio.</w:t>
      </w:r>
    </w:p>
    <w:p w:rsidR="00A875C7" w:rsidRPr="005F67A3" w:rsidRDefault="00A875C7" w:rsidP="005F67A3">
      <w:pPr>
        <w:pStyle w:val="Paragrafoelenco"/>
        <w:numPr>
          <w:ilvl w:val="0"/>
          <w:numId w:val="14"/>
        </w:numPr>
        <w:suppressAutoHyphens/>
        <w:jc w:val="both"/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</w:pPr>
      <w:r w:rsidRPr="005F67A3"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  <w:t>Prevenzione di ictus e embolia sistemica in pazienti adulti con fibrillazione atriale non-valvolare (FANV), con uno o più fattori di rischio, quali precedente ictus o attacco ischemico transitorio (TIA); età ≥ 75 anni; insufficienza cardiaca (Classe NYHA ≥ II); diabete mellito; ipertensione.</w:t>
      </w:r>
    </w:p>
    <w:p w:rsidR="00A875C7" w:rsidRPr="005F67A3" w:rsidRDefault="00A875C7" w:rsidP="005F67A3">
      <w:pPr>
        <w:pStyle w:val="Paragrafoelenco"/>
        <w:numPr>
          <w:ilvl w:val="0"/>
          <w:numId w:val="14"/>
        </w:numPr>
        <w:suppressAutoHyphens/>
        <w:jc w:val="both"/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</w:pPr>
      <w:r w:rsidRPr="005F67A3">
        <w:rPr>
          <w:rFonts w:asciiTheme="minorHAnsi" w:eastAsiaTheme="minorHAnsi" w:hAnsiTheme="minorHAnsi" w:cstheme="minorHAnsi"/>
          <w:sz w:val="20"/>
          <w:szCs w:val="20"/>
          <w:lang w:val="it-IT" w:eastAsia="en-US"/>
        </w:rPr>
        <w:t>Trattamento della trombosi venosa profonda (TVP) e dell’embolia polmonare (EP) e prevenzione delle recidive di TVP e EP negli adulti.</w:t>
      </w:r>
    </w:p>
    <w:p w:rsidR="00A875C7" w:rsidRPr="00C1305C" w:rsidRDefault="00A875C7" w:rsidP="00BD0C30">
      <w:pPr>
        <w:pStyle w:val="Default"/>
        <w:spacing w:line="312" w:lineRule="auto"/>
        <w:ind w:right="-46"/>
        <w:rPr>
          <w:rFonts w:asciiTheme="minorHAnsi" w:hAnsiTheme="minorHAnsi" w:cstheme="minorHAnsi"/>
          <w:color w:val="auto"/>
          <w:sz w:val="20"/>
          <w:szCs w:val="20"/>
          <w:lang w:val="it-IT"/>
        </w:rPr>
      </w:pPr>
    </w:p>
    <w:p w:rsidR="00BD0C30" w:rsidRPr="0097760A" w:rsidRDefault="00BD0C30" w:rsidP="00BD0C30">
      <w:pPr>
        <w:spacing w:line="312" w:lineRule="auto"/>
        <w:jc w:val="both"/>
        <w:rPr>
          <w:rFonts w:eastAsia="BISans" w:cstheme="minorHAnsi"/>
          <w:sz w:val="20"/>
          <w:szCs w:val="20"/>
        </w:rPr>
      </w:pPr>
      <w:r w:rsidRPr="00DA32CC">
        <w:rPr>
          <w:rFonts w:eastAsia="BISans" w:cstheme="minorHAnsi"/>
          <w:sz w:val="20"/>
          <w:szCs w:val="20"/>
        </w:rPr>
        <w:t>Dabigatran, che è un inibitore diretto della trombina (IDT), è stato il primo farmaco di una nuova generazione di anticoagulanti orali ad azione diretta ad essere ampiamente approvato e disponibile sul mercato per rispondere a un forte bisogno insoddisfatto di terapie per la prevenzione e il trattamento delle malattie tromboemboliche acute e croniche</w:t>
      </w:r>
      <w:r w:rsidRPr="00C1305C">
        <w:rPr>
          <w:rFonts w:eastAsia="BISans" w:cstheme="minorHAnsi"/>
          <w:sz w:val="20"/>
          <w:szCs w:val="20"/>
        </w:rPr>
        <w:t>.</w:t>
      </w:r>
      <w:r w:rsidRPr="00C1305C">
        <w:rPr>
          <w:rFonts w:eastAsia="BISans" w:cstheme="minorHAnsi"/>
          <w:sz w:val="20"/>
          <w:szCs w:val="20"/>
          <w:vertAlign w:val="superscript"/>
        </w:rPr>
        <w:t>7-9</w:t>
      </w:r>
      <w:r w:rsidRPr="00C1305C">
        <w:rPr>
          <w:rFonts w:eastAsia="BISans" w:cstheme="minorHAnsi"/>
          <w:sz w:val="20"/>
          <w:szCs w:val="20"/>
        </w:rPr>
        <w:t xml:space="preserve"> </w:t>
      </w:r>
      <w:r w:rsidRPr="0097760A">
        <w:rPr>
          <w:rFonts w:eastAsia="BISans" w:cstheme="minorHAnsi"/>
          <w:sz w:val="20"/>
          <w:szCs w:val="20"/>
        </w:rPr>
        <w:t xml:space="preserve">Gli inibitori diretti della trombina ottengono potenti effetti antitrombotici, bloccando in maniera </w:t>
      </w:r>
      <w:r w:rsidRPr="0097760A">
        <w:rPr>
          <w:rFonts w:eastAsia="BISans" w:cstheme="minorHAnsi"/>
          <w:sz w:val="20"/>
          <w:szCs w:val="20"/>
        </w:rPr>
        <w:lastRenderedPageBreak/>
        <w:t>specifica l’attività della trombina, l’enzima centrale nel processo di formazione di coaguli (trombi).</w:t>
      </w:r>
      <w:r w:rsidRPr="00C1305C">
        <w:rPr>
          <w:rFonts w:eastAsia="BISans" w:cstheme="minorHAnsi"/>
          <w:sz w:val="20"/>
          <w:szCs w:val="20"/>
          <w:vertAlign w:val="superscript"/>
        </w:rPr>
        <w:t>9</w:t>
      </w:r>
      <w:r w:rsidRPr="00C1305C">
        <w:rPr>
          <w:rFonts w:eastAsia="BISans" w:cstheme="minorHAnsi"/>
          <w:sz w:val="20"/>
          <w:szCs w:val="20"/>
        </w:rPr>
        <w:t xml:space="preserve"> </w:t>
      </w:r>
      <w:r w:rsidRPr="0097760A">
        <w:rPr>
          <w:rFonts w:eastAsia="BISans" w:cstheme="minorHAnsi"/>
          <w:sz w:val="20"/>
          <w:szCs w:val="20"/>
        </w:rPr>
        <w:t>A differenza degli antagonisti della vitamina K, che agiscono in maniera variabile tramite i diversi fattori della coagulazione, dabigatran realizza un’anticoagulazione efficace, prevedibile e riproducibile con basso potenziale di interazione con altri farmaci e nessuna interazione con il cibo, senza richiedere il monitoraggio regolare della coagulazione né aggiustamenti di dosaggio</w:t>
      </w:r>
      <w:r w:rsidRPr="00C1305C">
        <w:rPr>
          <w:rFonts w:eastAsia="BISans" w:cstheme="minorHAnsi"/>
          <w:sz w:val="20"/>
          <w:szCs w:val="20"/>
        </w:rPr>
        <w:t>.</w:t>
      </w:r>
      <w:r w:rsidRPr="00C1305C">
        <w:rPr>
          <w:rFonts w:eastAsia="BISans" w:cstheme="minorHAnsi"/>
          <w:sz w:val="20"/>
          <w:szCs w:val="20"/>
          <w:vertAlign w:val="superscript"/>
        </w:rPr>
        <w:t>7,9</w:t>
      </w:r>
    </w:p>
    <w:p w:rsidR="00BD0C30" w:rsidRPr="00C1305C" w:rsidRDefault="00BD0C30" w:rsidP="00BD0C30">
      <w:pPr>
        <w:pStyle w:val="Default"/>
        <w:spacing w:line="312" w:lineRule="auto"/>
        <w:jc w:val="both"/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Dabigatran etexilato è l</w:t>
      </w:r>
      <w:r w:rsidRPr="002D609A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’unico anticoagulante orale 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non-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agonista della 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vitamin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a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K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per cui esista </w:t>
      </w:r>
      <w:r w:rsidRPr="002D609A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un farmaco approvato che ne inattiva in maniera specifica l’effetto. Questo farmaco è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idarucizumab</w:t>
      </w:r>
      <w:r w:rsidRPr="002D609A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approvato nell’Unione Europea e negli Stati Uniti per l’impiego in pazienti adulti trattati con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dabigatran etexilato </w:t>
      </w:r>
      <w:r w:rsidRPr="002D609A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che necessitano di 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una </w:t>
      </w:r>
      <w:r w:rsidRPr="002D609A">
        <w:rPr>
          <w:rFonts w:asciiTheme="minorHAnsi" w:hAnsiTheme="minorHAnsi" w:cstheme="minorHAnsi"/>
          <w:color w:val="auto"/>
          <w:sz w:val="20"/>
          <w:szCs w:val="20"/>
          <w:lang w:val="it-IT"/>
        </w:rPr>
        <w:t>rapida inattivazione del suo effetto anticoagulante</w:t>
      </w:r>
      <w:r>
        <w:rPr>
          <w:rFonts w:asciiTheme="minorHAnsi" w:hAnsiTheme="minorHAnsi" w:cstheme="minorHAnsi"/>
          <w:color w:val="auto"/>
          <w:sz w:val="20"/>
          <w:szCs w:val="20"/>
          <w:lang w:val="it-IT"/>
        </w:rPr>
        <w:t>,</w:t>
      </w:r>
      <w:r w:rsidRPr="002D609A">
        <w:rPr>
          <w:rFonts w:asciiTheme="minorHAnsi" w:hAnsiTheme="minorHAnsi" w:cstheme="minorHAnsi"/>
          <w:color w:val="auto"/>
          <w:sz w:val="20"/>
          <w:szCs w:val="20"/>
          <w:lang w:val="it-IT"/>
        </w:rPr>
        <w:t xml:space="preserve"> prima di interventi chirurgici d’urgenza/interventi di emergenza o in caso di sanguinamento incontrollato o che mette a rischio la vita del paziente</w:t>
      </w:r>
      <w:r w:rsidRPr="00C1305C">
        <w:rPr>
          <w:rFonts w:asciiTheme="minorHAnsi" w:hAnsiTheme="minorHAnsi" w:cstheme="minorHAnsi"/>
          <w:color w:val="auto"/>
          <w:sz w:val="20"/>
          <w:szCs w:val="20"/>
          <w:lang w:val="it-IT"/>
        </w:rPr>
        <w:t>.</w:t>
      </w:r>
      <w:r w:rsidRPr="00C1305C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  <w:t>10,11</w:t>
      </w:r>
    </w:p>
    <w:p w:rsidR="00BD0C30" w:rsidRPr="00C1305C" w:rsidRDefault="00BD0C30" w:rsidP="00BD0C30">
      <w:pPr>
        <w:pStyle w:val="Default"/>
        <w:spacing w:line="312" w:lineRule="auto"/>
        <w:rPr>
          <w:rFonts w:asciiTheme="minorHAnsi" w:hAnsiTheme="minorHAnsi" w:cstheme="minorHAnsi"/>
          <w:color w:val="auto"/>
          <w:sz w:val="20"/>
          <w:szCs w:val="20"/>
          <w:vertAlign w:val="superscript"/>
          <w:lang w:val="it-IT"/>
        </w:rPr>
      </w:pPr>
    </w:p>
    <w:p w:rsidR="00BD0C30" w:rsidRPr="00C1305C" w:rsidRDefault="00BD0C30" w:rsidP="00BD0C30">
      <w:pPr>
        <w:pStyle w:val="Default"/>
        <w:spacing w:line="312" w:lineRule="auto"/>
        <w:rPr>
          <w:rStyle w:val="Highlight"/>
          <w:rFonts w:asciiTheme="minorHAnsi" w:hAnsiTheme="minorHAnsi" w:cstheme="minorHAnsi"/>
          <w:color w:val="44546A" w:themeColor="text2"/>
          <w:sz w:val="20"/>
          <w:szCs w:val="20"/>
          <w:lang w:val="it-IT"/>
        </w:rPr>
      </w:pPr>
      <w:r w:rsidRPr="00C1305C">
        <w:rPr>
          <w:rStyle w:val="Highlight"/>
          <w:rFonts w:asciiTheme="minorHAnsi" w:hAnsiTheme="minorHAnsi" w:cstheme="minorHAnsi"/>
          <w:color w:val="44546A" w:themeColor="text2"/>
          <w:sz w:val="20"/>
          <w:szCs w:val="20"/>
          <w:lang w:val="it-IT"/>
        </w:rPr>
        <w:t xml:space="preserve">Boehringer Ingelheim </w:t>
      </w:r>
    </w:p>
    <w:p w:rsidR="00BD0C30" w:rsidRPr="00C1305C" w:rsidRDefault="00BD0C30" w:rsidP="00BD0C30">
      <w:pPr>
        <w:spacing w:line="312" w:lineRule="auto"/>
        <w:jc w:val="both"/>
        <w:rPr>
          <w:rFonts w:cstheme="minorHAnsi"/>
          <w:sz w:val="20"/>
          <w:szCs w:val="20"/>
        </w:rPr>
      </w:pPr>
      <w:r w:rsidRPr="00C1305C">
        <w:rPr>
          <w:rFonts w:cstheme="minorHAnsi"/>
          <w:sz w:val="20"/>
          <w:szCs w:val="20"/>
        </w:rPr>
        <w:t>Farmaci innovativi per la salute umana e animale. Questo è quello per cui opera, da oltre 130 anni, prendendo le mosse dalla ricerca, Boehringer Ingelheim, una delle prime 20 aziende farmaceutiche al mondo, e tuttora un’azienda a proprietà familiare. I suoi circa 50.000 addetti ogni giorno creano valore, attraverso l’innovazione, nelle sue tre aree di business: farmaceutici per uso umano, salute animale e produzione biofarmaceutica per clienti industriali. Con un fatturato netto di circa 15,9 miliardi di euro nel 2016, Boehringer Ingelheim ha investito in ricerca e sviluppo una somma superiore ai tre miliardi di euro e pari al 19,6 percento di tale fatturato netto.</w:t>
      </w:r>
    </w:p>
    <w:p w:rsidR="00BD0C30" w:rsidRPr="00C1305C" w:rsidRDefault="00BD0C30" w:rsidP="00BD0C30">
      <w:pPr>
        <w:spacing w:line="312" w:lineRule="auto"/>
        <w:jc w:val="both"/>
        <w:rPr>
          <w:rFonts w:cstheme="minorHAnsi"/>
          <w:sz w:val="20"/>
          <w:szCs w:val="20"/>
        </w:rPr>
      </w:pPr>
      <w:r w:rsidRPr="00C1305C">
        <w:rPr>
          <w:rFonts w:cstheme="minorHAnsi"/>
          <w:sz w:val="20"/>
          <w:szCs w:val="20"/>
        </w:rPr>
        <w:t>Per Boehringer Ingelheim la responsabilità sociale è qualcosa di connaturato a sé, da cui discende la sua partecipazione a progetti sociali come, ad esempio, l’iniziativa “</w:t>
      </w:r>
      <w:r w:rsidRPr="0054288A">
        <w:rPr>
          <w:rFonts w:cstheme="minorHAnsi"/>
          <w:i/>
          <w:sz w:val="20"/>
          <w:szCs w:val="20"/>
        </w:rPr>
        <w:t>Making More Health</w:t>
      </w:r>
      <w:r w:rsidRPr="00C1305C">
        <w:rPr>
          <w:rFonts w:cstheme="minorHAnsi"/>
          <w:sz w:val="20"/>
          <w:szCs w:val="20"/>
        </w:rPr>
        <w:t xml:space="preserve">”, la valorizzazione attiva della diversità delle risorse umane, che con le rispettive differenti competenze ed esperienze apportano beneficio all’azienda, e il suo essere sempre attenta alla sostenibilità e alla tutela dell’ambiente in ogni sua attività. </w:t>
      </w:r>
    </w:p>
    <w:p w:rsidR="00280F84" w:rsidRDefault="00BD0C30" w:rsidP="00280F84">
      <w:pPr>
        <w:spacing w:line="312" w:lineRule="auto"/>
        <w:jc w:val="both"/>
        <w:rPr>
          <w:rFonts w:cstheme="minorHAnsi"/>
          <w:sz w:val="20"/>
          <w:szCs w:val="20"/>
        </w:rPr>
      </w:pPr>
      <w:r w:rsidRPr="00C1305C">
        <w:rPr>
          <w:rFonts w:cstheme="minorHAnsi"/>
          <w:sz w:val="20"/>
          <w:szCs w:val="20"/>
        </w:rPr>
        <w:t xml:space="preserve">Per maggiori informazioni visitate il sito www.boehringer-ingelheim.com o consultate il Bilancio all’indirizzo </w:t>
      </w:r>
      <w:hyperlink r:id="rId10" w:history="1">
        <w:r w:rsidRPr="00C1305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http://annualreport.boehringer-ingelheim.com</w:t>
        </w:r>
      </w:hyperlink>
      <w:r w:rsidRPr="00C1305C">
        <w:rPr>
          <w:rFonts w:cstheme="minorHAnsi"/>
          <w:sz w:val="20"/>
          <w:szCs w:val="20"/>
        </w:rPr>
        <w:t>.</w:t>
      </w:r>
    </w:p>
    <w:p w:rsidR="004A1D5F" w:rsidRPr="00280F84" w:rsidRDefault="004A1D5F" w:rsidP="00280F84">
      <w:pPr>
        <w:spacing w:line="312" w:lineRule="auto"/>
        <w:jc w:val="both"/>
        <w:rPr>
          <w:rStyle w:val="Highlight"/>
          <w:rFonts w:cstheme="minorHAnsi"/>
          <w:b w:val="0"/>
          <w:bCs w:val="0"/>
          <w:color w:val="auto"/>
          <w:sz w:val="20"/>
          <w:szCs w:val="20"/>
        </w:rPr>
      </w:pPr>
      <w:r w:rsidRPr="00F6524D">
        <w:rPr>
          <w:rStyle w:val="Highlight"/>
          <w:rFonts w:asciiTheme="minorHAnsi" w:hAnsiTheme="minorHAnsi" w:cs="Arial"/>
          <w:color w:val="003366"/>
          <w:sz w:val="20"/>
          <w:szCs w:val="20"/>
        </w:rPr>
        <w:lastRenderedPageBreak/>
        <w:t>Per ulteriori informazioni:</w:t>
      </w:r>
    </w:p>
    <w:p w:rsidR="004A1D5F" w:rsidRPr="00F6524D" w:rsidRDefault="004A1D5F" w:rsidP="004A1D5F">
      <w:pPr>
        <w:spacing w:after="0" w:line="283" w:lineRule="atLeast"/>
        <w:ind w:right="28"/>
        <w:rPr>
          <w:rFonts w:asciiTheme="minorHAnsi" w:eastAsia="BISans" w:hAnsiTheme="minorHAnsi" w:cs="Angsana New"/>
          <w:sz w:val="20"/>
          <w:szCs w:val="20"/>
        </w:rPr>
      </w:pPr>
      <w:r w:rsidRPr="00F6524D">
        <w:rPr>
          <w:rFonts w:asciiTheme="minorHAnsi" w:eastAsia="BISans" w:hAnsiTheme="minorHAnsi" w:cs="Angsana New"/>
          <w:sz w:val="20"/>
          <w:szCs w:val="20"/>
        </w:rPr>
        <w:t>Marina Guffanti</w:t>
      </w:r>
    </w:p>
    <w:p w:rsidR="004A1D5F" w:rsidRPr="00F6524D" w:rsidRDefault="004A1D5F" w:rsidP="004A1D5F">
      <w:pPr>
        <w:spacing w:after="0" w:line="283" w:lineRule="atLeast"/>
        <w:ind w:right="28"/>
        <w:rPr>
          <w:rFonts w:asciiTheme="minorHAnsi" w:eastAsia="BISans" w:hAnsiTheme="minorHAnsi" w:cs="Angsana New"/>
          <w:sz w:val="20"/>
          <w:szCs w:val="20"/>
        </w:rPr>
      </w:pPr>
      <w:r w:rsidRPr="00F6524D">
        <w:rPr>
          <w:rFonts w:asciiTheme="minorHAnsi" w:eastAsia="BISans" w:hAnsiTheme="minorHAnsi" w:cs="Angsana New"/>
          <w:sz w:val="20"/>
          <w:szCs w:val="20"/>
        </w:rPr>
        <w:t>Comunicazione</w:t>
      </w:r>
    </w:p>
    <w:p w:rsidR="004A1D5F" w:rsidRPr="00F6524D" w:rsidRDefault="004A1D5F" w:rsidP="004A1D5F">
      <w:pPr>
        <w:spacing w:after="0" w:line="283" w:lineRule="atLeast"/>
        <w:ind w:right="28"/>
        <w:rPr>
          <w:rFonts w:asciiTheme="minorHAnsi" w:eastAsia="BISans" w:hAnsiTheme="minorHAnsi" w:cs="Angsana New"/>
          <w:b/>
          <w:sz w:val="20"/>
          <w:szCs w:val="20"/>
        </w:rPr>
      </w:pPr>
      <w:r w:rsidRPr="00F6524D">
        <w:rPr>
          <w:rFonts w:asciiTheme="minorHAnsi" w:eastAsia="BISans" w:hAnsiTheme="minorHAnsi" w:cs="Angsana New"/>
          <w:b/>
          <w:sz w:val="20"/>
          <w:szCs w:val="20"/>
        </w:rPr>
        <w:t>Boehringer Ingelheim Italia SpA</w:t>
      </w:r>
    </w:p>
    <w:p w:rsidR="004A1D5F" w:rsidRPr="00F6524D" w:rsidRDefault="004A1D5F" w:rsidP="004A1D5F">
      <w:pPr>
        <w:spacing w:after="0" w:line="283" w:lineRule="atLeast"/>
        <w:ind w:right="28"/>
        <w:rPr>
          <w:rFonts w:asciiTheme="minorHAnsi" w:eastAsia="BISans" w:hAnsiTheme="minorHAnsi" w:cs="Angsana New"/>
          <w:sz w:val="20"/>
          <w:szCs w:val="20"/>
        </w:rPr>
      </w:pPr>
      <w:r w:rsidRPr="00F6524D">
        <w:rPr>
          <w:rFonts w:asciiTheme="minorHAnsi" w:eastAsia="BISans" w:hAnsiTheme="minorHAnsi" w:cs="Angsana New"/>
          <w:sz w:val="20"/>
          <w:szCs w:val="20"/>
        </w:rPr>
        <w:t>Telefono: 02 5355453</w:t>
      </w:r>
    </w:p>
    <w:p w:rsidR="004A1D5F" w:rsidRPr="00280F84" w:rsidRDefault="004A1D5F" w:rsidP="004A1D5F">
      <w:pPr>
        <w:spacing w:after="0" w:line="283" w:lineRule="atLeast"/>
        <w:ind w:right="28"/>
        <w:rPr>
          <w:rFonts w:asciiTheme="minorHAnsi" w:eastAsia="BISans" w:hAnsiTheme="minorHAnsi" w:cs="Angsana New"/>
          <w:sz w:val="20"/>
          <w:szCs w:val="20"/>
          <w:lang w:val="en-GB"/>
        </w:rPr>
      </w:pPr>
      <w:r w:rsidRPr="00280F84">
        <w:rPr>
          <w:rFonts w:asciiTheme="minorHAnsi" w:eastAsia="BISans" w:hAnsiTheme="minorHAnsi" w:cs="Angsana New"/>
          <w:sz w:val="20"/>
          <w:szCs w:val="20"/>
          <w:lang w:val="en-GB"/>
        </w:rPr>
        <w:t>Cell: 348 3995284</w:t>
      </w:r>
    </w:p>
    <w:p w:rsidR="004A1D5F" w:rsidRPr="00280F84" w:rsidRDefault="004A1D5F" w:rsidP="004A1D5F">
      <w:pPr>
        <w:spacing w:after="0" w:line="283" w:lineRule="atLeast"/>
        <w:ind w:right="28"/>
        <w:rPr>
          <w:rFonts w:asciiTheme="minorHAnsi" w:eastAsia="BISans" w:hAnsiTheme="minorHAnsi" w:cs="Angsana New"/>
          <w:sz w:val="20"/>
          <w:szCs w:val="20"/>
          <w:lang w:val="en-GB"/>
        </w:rPr>
      </w:pPr>
      <w:r w:rsidRPr="00280F84">
        <w:rPr>
          <w:rFonts w:asciiTheme="minorHAnsi" w:eastAsia="BISans" w:hAnsiTheme="minorHAnsi" w:cs="Angsana New"/>
          <w:sz w:val="20"/>
          <w:szCs w:val="20"/>
          <w:lang w:val="en-GB"/>
        </w:rPr>
        <w:t xml:space="preserve">Mail: </w:t>
      </w:r>
      <w:hyperlink r:id="rId11" w:history="1">
        <w:r w:rsidRPr="00280F84">
          <w:rPr>
            <w:rFonts w:asciiTheme="minorHAnsi" w:eastAsia="BISans" w:hAnsiTheme="minorHAnsi" w:cs="Angsana New"/>
            <w:sz w:val="20"/>
            <w:szCs w:val="20"/>
            <w:lang w:val="en-GB"/>
          </w:rPr>
          <w:t>marina.guffanti@boehringer-ingelheim.com</w:t>
        </w:r>
      </w:hyperlink>
    </w:p>
    <w:p w:rsidR="004A1D5F" w:rsidRPr="00280F84" w:rsidRDefault="004A1D5F" w:rsidP="004A1D5F">
      <w:pPr>
        <w:spacing w:after="0" w:line="264" w:lineRule="auto"/>
        <w:rPr>
          <w:rFonts w:asciiTheme="minorHAnsi" w:eastAsia="BISans" w:hAnsiTheme="minorHAnsi" w:cs="Angsana New"/>
          <w:b/>
          <w:bCs/>
          <w:color w:val="003366"/>
          <w:sz w:val="20"/>
          <w:szCs w:val="20"/>
          <w:lang w:val="en-GB"/>
        </w:rPr>
      </w:pPr>
    </w:p>
    <w:p w:rsidR="004A1D5F" w:rsidRPr="00F6524D" w:rsidRDefault="004A1D5F" w:rsidP="004A1D5F">
      <w:pPr>
        <w:spacing w:after="0"/>
        <w:ind w:right="28"/>
        <w:rPr>
          <w:rFonts w:asciiTheme="minorHAnsi" w:hAnsiTheme="minorHAnsi"/>
          <w:sz w:val="20"/>
          <w:szCs w:val="20"/>
        </w:rPr>
      </w:pPr>
      <w:r w:rsidRPr="00F6524D">
        <w:rPr>
          <w:rFonts w:asciiTheme="minorHAnsi" w:hAnsiTheme="minorHAnsi"/>
          <w:sz w:val="20"/>
          <w:szCs w:val="20"/>
        </w:rPr>
        <w:t>Maria Luisa Paleari</w:t>
      </w:r>
    </w:p>
    <w:p w:rsidR="004A1D5F" w:rsidRPr="00280F84" w:rsidRDefault="004A1D5F" w:rsidP="004A1D5F">
      <w:pPr>
        <w:spacing w:after="0"/>
        <w:ind w:right="28"/>
        <w:rPr>
          <w:rFonts w:asciiTheme="minorHAnsi" w:hAnsiTheme="minorHAnsi"/>
          <w:b/>
          <w:sz w:val="20"/>
          <w:szCs w:val="20"/>
        </w:rPr>
      </w:pPr>
      <w:r w:rsidRPr="00280F84">
        <w:rPr>
          <w:rFonts w:asciiTheme="minorHAnsi" w:hAnsiTheme="minorHAnsi"/>
          <w:b/>
          <w:sz w:val="20"/>
          <w:szCs w:val="20"/>
        </w:rPr>
        <w:t>Value Relations Srl</w:t>
      </w:r>
    </w:p>
    <w:p w:rsidR="004A1D5F" w:rsidRPr="00280F84" w:rsidRDefault="004A1D5F" w:rsidP="004A1D5F">
      <w:pPr>
        <w:spacing w:after="0"/>
        <w:ind w:right="28"/>
        <w:rPr>
          <w:rFonts w:asciiTheme="minorHAnsi" w:hAnsiTheme="minorHAnsi"/>
          <w:sz w:val="20"/>
          <w:szCs w:val="20"/>
        </w:rPr>
      </w:pPr>
      <w:r w:rsidRPr="00280F84">
        <w:rPr>
          <w:rFonts w:asciiTheme="minorHAnsi" w:hAnsiTheme="minorHAnsi"/>
          <w:sz w:val="20"/>
          <w:szCs w:val="20"/>
        </w:rPr>
        <w:t>Telefono: 02 20424941</w:t>
      </w:r>
    </w:p>
    <w:p w:rsidR="004A1D5F" w:rsidRPr="00280F84" w:rsidRDefault="004A1D5F" w:rsidP="004A1D5F">
      <w:pPr>
        <w:spacing w:after="0"/>
        <w:ind w:right="28"/>
        <w:rPr>
          <w:rFonts w:asciiTheme="minorHAnsi" w:hAnsiTheme="minorHAnsi"/>
          <w:sz w:val="20"/>
          <w:szCs w:val="20"/>
        </w:rPr>
      </w:pPr>
      <w:r w:rsidRPr="00280F84">
        <w:rPr>
          <w:rFonts w:asciiTheme="minorHAnsi" w:hAnsiTheme="minorHAnsi"/>
          <w:sz w:val="20"/>
          <w:szCs w:val="20"/>
        </w:rPr>
        <w:t>Cell: 331 6718518</w:t>
      </w:r>
    </w:p>
    <w:p w:rsidR="004A1D5F" w:rsidRPr="00F6524D" w:rsidRDefault="004A1D5F" w:rsidP="004A1D5F">
      <w:pPr>
        <w:spacing w:after="0"/>
        <w:ind w:right="28"/>
        <w:rPr>
          <w:rFonts w:asciiTheme="minorHAnsi" w:eastAsia="BISans" w:hAnsiTheme="minorHAnsi"/>
          <w:sz w:val="20"/>
          <w:szCs w:val="20"/>
          <w:lang w:val="fr-FR"/>
        </w:rPr>
      </w:pPr>
      <w:proofErr w:type="gramStart"/>
      <w:r w:rsidRPr="00F6524D">
        <w:rPr>
          <w:rFonts w:asciiTheme="minorHAnsi" w:hAnsiTheme="minorHAnsi"/>
          <w:sz w:val="20"/>
          <w:szCs w:val="20"/>
          <w:lang w:val="fr-FR"/>
        </w:rPr>
        <w:t>Mail:</w:t>
      </w:r>
      <w:proofErr w:type="gramEnd"/>
      <w:r w:rsidRPr="00F6524D">
        <w:rPr>
          <w:rFonts w:asciiTheme="minorHAnsi" w:hAnsiTheme="minorHAnsi"/>
          <w:sz w:val="20"/>
          <w:szCs w:val="20"/>
          <w:lang w:val="fr-FR"/>
        </w:rPr>
        <w:t xml:space="preserve"> </w:t>
      </w:r>
      <w:hyperlink r:id="rId12" w:history="1">
        <w:r w:rsidRPr="00F6524D">
          <w:rPr>
            <w:rStyle w:val="Collegamentoipertestuale"/>
            <w:rFonts w:asciiTheme="minorHAnsi" w:hAnsiTheme="minorHAnsi"/>
            <w:sz w:val="20"/>
            <w:szCs w:val="20"/>
            <w:lang w:val="fr-FR"/>
          </w:rPr>
          <w:t>ml.paleari@vrelations.it</w:t>
        </w:r>
      </w:hyperlink>
    </w:p>
    <w:p w:rsidR="004A1D5F" w:rsidRPr="0054288A" w:rsidRDefault="004A1D5F" w:rsidP="00BD0C30">
      <w:pPr>
        <w:spacing w:line="312" w:lineRule="auto"/>
        <w:rPr>
          <w:rFonts w:cstheme="minorHAnsi"/>
          <w:b/>
          <w:color w:val="4472C4" w:themeColor="accent1"/>
          <w:sz w:val="20"/>
          <w:szCs w:val="20"/>
          <w:lang w:val="fr-FR"/>
        </w:rPr>
      </w:pPr>
    </w:p>
    <w:p w:rsidR="00BD0C30" w:rsidRPr="0054288A" w:rsidRDefault="00BD0C30" w:rsidP="00BD0C30">
      <w:pPr>
        <w:spacing w:line="312" w:lineRule="auto"/>
        <w:rPr>
          <w:rFonts w:cstheme="minorHAnsi"/>
          <w:b/>
          <w:bCs/>
          <w:color w:val="44546A" w:themeColor="text2"/>
          <w:sz w:val="20"/>
          <w:szCs w:val="20"/>
          <w:lang w:val="fr-FR"/>
        </w:rPr>
      </w:pPr>
      <w:r w:rsidRPr="0054288A">
        <w:rPr>
          <w:rFonts w:cstheme="minorHAnsi"/>
          <w:b/>
          <w:color w:val="44546A" w:themeColor="text2"/>
          <w:sz w:val="20"/>
          <w:szCs w:val="20"/>
          <w:lang w:val="fr-FR"/>
        </w:rPr>
        <w:t xml:space="preserve">BIBLIOGRAFIA 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1305C">
        <w:rPr>
          <w:rFonts w:asciiTheme="minorHAnsi" w:hAnsiTheme="minorHAnsi" w:cstheme="minorHAnsi"/>
          <w:sz w:val="20"/>
          <w:szCs w:val="20"/>
        </w:rPr>
        <w:t xml:space="preserve">Calkins, H. </w:t>
      </w:r>
      <w:r w:rsidRPr="00C1305C">
        <w:rPr>
          <w:rFonts w:asciiTheme="minorHAnsi" w:hAnsiTheme="minorHAnsi" w:cstheme="minorHAnsi"/>
          <w:i/>
          <w:sz w:val="20"/>
          <w:szCs w:val="20"/>
        </w:rPr>
        <w:t>et al</w:t>
      </w:r>
      <w:r w:rsidRPr="00C1305C">
        <w:rPr>
          <w:rFonts w:asciiTheme="minorHAnsi" w:hAnsiTheme="minorHAnsi" w:cstheme="minorHAnsi"/>
          <w:sz w:val="20"/>
          <w:szCs w:val="20"/>
        </w:rPr>
        <w:t xml:space="preserve">. Safety and Efficacy of Uninterrupted Anticoagulation </w:t>
      </w:r>
      <w:proofErr w:type="gramStart"/>
      <w:r w:rsidRPr="00C1305C">
        <w:rPr>
          <w:rFonts w:asciiTheme="minorHAnsi" w:hAnsiTheme="minorHAnsi" w:cstheme="minorHAnsi"/>
          <w:sz w:val="20"/>
          <w:szCs w:val="20"/>
        </w:rPr>
        <w:t>With</w:t>
      </w:r>
      <w:proofErr w:type="gramEnd"/>
      <w:r w:rsidRPr="00C1305C">
        <w:rPr>
          <w:rFonts w:asciiTheme="minorHAnsi" w:hAnsiTheme="minorHAnsi" w:cstheme="minorHAnsi"/>
          <w:sz w:val="20"/>
          <w:szCs w:val="20"/>
        </w:rPr>
        <w:t xml:space="preserve"> Dabigatran Etexilate Versus Warfarin in Patients Undergoing Catheter Ablation of Atrial Fibrillation: The RE-CIRCUIT Study. #411-08: Late-Breaking Clinical Trials presentation during the American College of Cardiology 66th Annual Scientific Session, Washington, USA.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1305C">
        <w:rPr>
          <w:rFonts w:asciiTheme="minorHAnsi" w:hAnsiTheme="minorHAnsi" w:cstheme="minorHAnsi"/>
          <w:sz w:val="20"/>
          <w:szCs w:val="20"/>
        </w:rPr>
        <w:t xml:space="preserve">Calkins H. </w:t>
      </w:r>
      <w:proofErr w:type="gramStart"/>
      <w:r w:rsidRPr="00C1305C">
        <w:rPr>
          <w:rFonts w:asciiTheme="minorHAnsi" w:hAnsiTheme="minorHAnsi" w:cstheme="minorHAnsi"/>
          <w:i/>
          <w:sz w:val="20"/>
          <w:szCs w:val="20"/>
        </w:rPr>
        <w:t>et al</w:t>
      </w:r>
      <w:r w:rsidRPr="00C1305C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C1305C">
        <w:rPr>
          <w:rFonts w:asciiTheme="minorHAnsi" w:hAnsiTheme="minorHAnsi" w:cstheme="minorHAnsi"/>
          <w:sz w:val="20"/>
          <w:szCs w:val="20"/>
        </w:rPr>
        <w:t xml:space="preserve"> Uninterrupted Dabigatran versus Warfarin for Ablation in Atrial Fibrillation. NEJM. 2017. DOI: 10.1056/NEJMoa1701005.</w:t>
      </w:r>
    </w:p>
    <w:p w:rsidR="00CF78B0" w:rsidRPr="00CF78B0" w:rsidRDefault="00CF78B0" w:rsidP="00CF78B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F78B0">
        <w:rPr>
          <w:rFonts w:asciiTheme="minorHAnsi" w:hAnsiTheme="minorHAnsi" w:cstheme="minorHAnsi"/>
          <w:sz w:val="20"/>
          <w:szCs w:val="20"/>
        </w:rPr>
        <w:t>Calkins, H. et al. 2017 HRS/EHRA/ECAS/APHRS/SOLAECE Expert Consensus Statement on Catheter and Surgical Ablation of Atrial Fibrillation. Heart Rhythm. 2017. DOI: 10.1016/j.hrthm.2017.05.012.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  <w:lang w:val="nb-NO"/>
        </w:rPr>
      </w:pPr>
      <w:r w:rsidRPr="00C1305C">
        <w:rPr>
          <w:rFonts w:asciiTheme="minorHAnsi" w:hAnsiTheme="minorHAnsi" w:cstheme="minorHAnsi"/>
          <w:sz w:val="20"/>
          <w:szCs w:val="20"/>
          <w:lang w:val="nb-NO"/>
        </w:rPr>
        <w:t>Boehringer Ingelheim Data on File.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1305C">
        <w:rPr>
          <w:rFonts w:asciiTheme="minorHAnsi" w:hAnsiTheme="minorHAnsi" w:cstheme="minorHAnsi"/>
          <w:sz w:val="20"/>
          <w:szCs w:val="20"/>
        </w:rPr>
        <w:t>Pradaxa® European Summary of Product Characteristics, 2017.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1305C">
        <w:rPr>
          <w:rFonts w:asciiTheme="minorHAnsi" w:hAnsiTheme="minorHAnsi" w:cstheme="minorHAnsi"/>
          <w:sz w:val="20"/>
          <w:szCs w:val="20"/>
        </w:rPr>
        <w:t>PRADAXA US Prescribing Information, 2014.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C1305C">
        <w:rPr>
          <w:rFonts w:asciiTheme="minorHAnsi" w:hAnsiTheme="minorHAnsi" w:cstheme="minorHAnsi"/>
          <w:sz w:val="20"/>
          <w:szCs w:val="20"/>
        </w:rPr>
        <w:t>Stangier</w:t>
      </w:r>
      <w:proofErr w:type="spellEnd"/>
      <w:r w:rsidRPr="00C1305C">
        <w:rPr>
          <w:rFonts w:asciiTheme="minorHAnsi" w:hAnsiTheme="minorHAnsi" w:cstheme="minorHAnsi"/>
          <w:sz w:val="20"/>
          <w:szCs w:val="20"/>
        </w:rPr>
        <w:t xml:space="preserve"> J. Clinical pharmacokinetics and pharmacodynamics of the oral direct thrombin inhibitor dabigatran etexilate. Clin Pharmacokinet. 2008;47(5):285–95.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C1305C">
        <w:rPr>
          <w:rFonts w:asciiTheme="minorHAnsi" w:hAnsiTheme="minorHAnsi" w:cstheme="minorHAnsi"/>
          <w:sz w:val="20"/>
          <w:szCs w:val="20"/>
          <w:lang w:val="it-IT"/>
        </w:rPr>
        <w:t xml:space="preserve">Di Nisio M. </w:t>
      </w:r>
      <w:r w:rsidRPr="00C1305C">
        <w:rPr>
          <w:rFonts w:asciiTheme="minorHAnsi" w:hAnsiTheme="minorHAnsi" w:cstheme="minorHAnsi"/>
          <w:i/>
          <w:sz w:val="20"/>
          <w:szCs w:val="20"/>
          <w:lang w:val="it-IT"/>
        </w:rPr>
        <w:t>et al</w:t>
      </w:r>
      <w:r w:rsidRPr="00C1305C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C1305C">
        <w:rPr>
          <w:rFonts w:asciiTheme="minorHAnsi" w:hAnsiTheme="minorHAnsi" w:cstheme="minorHAnsi"/>
          <w:sz w:val="20"/>
          <w:szCs w:val="20"/>
        </w:rPr>
        <w:t xml:space="preserve">Direct thrombin inhibitors. N </w:t>
      </w:r>
      <w:proofErr w:type="spellStart"/>
      <w:r w:rsidRPr="00C1305C">
        <w:rPr>
          <w:rFonts w:asciiTheme="minorHAnsi" w:hAnsiTheme="minorHAnsi" w:cstheme="minorHAnsi"/>
          <w:sz w:val="20"/>
          <w:szCs w:val="20"/>
        </w:rPr>
        <w:t>Engl</w:t>
      </w:r>
      <w:proofErr w:type="spellEnd"/>
      <w:r w:rsidRPr="00C1305C">
        <w:rPr>
          <w:rFonts w:asciiTheme="minorHAnsi" w:hAnsiTheme="minorHAnsi" w:cstheme="minorHAnsi"/>
          <w:sz w:val="20"/>
          <w:szCs w:val="20"/>
        </w:rPr>
        <w:t xml:space="preserve"> J Med.</w:t>
      </w:r>
      <w:proofErr w:type="gramStart"/>
      <w:r w:rsidRPr="00C1305C">
        <w:rPr>
          <w:rFonts w:asciiTheme="minorHAnsi" w:hAnsiTheme="minorHAnsi" w:cstheme="minorHAnsi"/>
          <w:sz w:val="20"/>
          <w:szCs w:val="20"/>
        </w:rPr>
        <w:t>2005;353:1028</w:t>
      </w:r>
      <w:proofErr w:type="gramEnd"/>
      <w:r w:rsidRPr="00C1305C">
        <w:rPr>
          <w:rFonts w:asciiTheme="minorHAnsi" w:hAnsiTheme="minorHAnsi" w:cstheme="minorHAnsi"/>
          <w:sz w:val="20"/>
          <w:szCs w:val="20"/>
        </w:rPr>
        <w:t>–40.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C1305C">
        <w:rPr>
          <w:rFonts w:asciiTheme="minorHAnsi" w:hAnsiTheme="minorHAnsi" w:cstheme="minorHAnsi"/>
          <w:sz w:val="20"/>
          <w:szCs w:val="20"/>
        </w:rPr>
        <w:t>Stangier</w:t>
      </w:r>
      <w:proofErr w:type="spellEnd"/>
      <w:r w:rsidRPr="00C1305C">
        <w:rPr>
          <w:rFonts w:asciiTheme="minorHAnsi" w:hAnsiTheme="minorHAnsi" w:cstheme="minorHAnsi"/>
          <w:sz w:val="20"/>
          <w:szCs w:val="20"/>
        </w:rPr>
        <w:t xml:space="preserve"> J. </w:t>
      </w:r>
      <w:proofErr w:type="gramStart"/>
      <w:r w:rsidRPr="00C1305C">
        <w:rPr>
          <w:rFonts w:asciiTheme="minorHAnsi" w:hAnsiTheme="minorHAnsi" w:cstheme="minorHAnsi"/>
          <w:i/>
          <w:sz w:val="20"/>
          <w:szCs w:val="20"/>
        </w:rPr>
        <w:t>et al</w:t>
      </w:r>
      <w:r w:rsidRPr="00C1305C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C1305C">
        <w:rPr>
          <w:rFonts w:asciiTheme="minorHAnsi" w:hAnsiTheme="minorHAnsi" w:cstheme="minorHAnsi"/>
          <w:sz w:val="20"/>
          <w:szCs w:val="20"/>
        </w:rPr>
        <w:t xml:space="preserve"> Pharmacokinetic Profile of the Oral Direct Thrombin Inhibitor Dabigatran Etexilate in Healthy Volunteers and Patients Undergoing Total Hip Replacement. J Clin </w:t>
      </w:r>
      <w:proofErr w:type="spellStart"/>
      <w:r w:rsidRPr="00C1305C">
        <w:rPr>
          <w:rFonts w:asciiTheme="minorHAnsi" w:hAnsiTheme="minorHAnsi" w:cstheme="minorHAnsi"/>
          <w:sz w:val="20"/>
          <w:szCs w:val="20"/>
        </w:rPr>
        <w:t>Pharmacol</w:t>
      </w:r>
      <w:proofErr w:type="spellEnd"/>
      <w:r w:rsidRPr="00C1305C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C1305C">
        <w:rPr>
          <w:rFonts w:asciiTheme="minorHAnsi" w:hAnsiTheme="minorHAnsi" w:cstheme="minorHAnsi"/>
          <w:sz w:val="20"/>
          <w:szCs w:val="20"/>
        </w:rPr>
        <w:t>2005;45:555</w:t>
      </w:r>
      <w:proofErr w:type="gramEnd"/>
      <w:r w:rsidRPr="00C1305C">
        <w:rPr>
          <w:rFonts w:asciiTheme="minorHAnsi" w:hAnsiTheme="minorHAnsi" w:cstheme="minorHAnsi"/>
          <w:sz w:val="20"/>
          <w:szCs w:val="20"/>
        </w:rPr>
        <w:t>–63.</w:t>
      </w:r>
    </w:p>
    <w:p w:rsidR="00BD0C30" w:rsidRPr="00C1305C" w:rsidRDefault="00BD0C30" w:rsidP="00BD0C30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C1305C">
        <w:rPr>
          <w:rFonts w:asciiTheme="minorHAnsi" w:hAnsiTheme="minorHAnsi" w:cstheme="minorHAnsi"/>
          <w:sz w:val="20"/>
          <w:szCs w:val="20"/>
        </w:rPr>
        <w:t>Praxbind</w:t>
      </w:r>
      <w:proofErr w:type="spellEnd"/>
      <w:r w:rsidRPr="00C1305C">
        <w:rPr>
          <w:rFonts w:asciiTheme="minorHAnsi" w:hAnsiTheme="minorHAnsi" w:cstheme="minorHAnsi"/>
          <w:sz w:val="20"/>
          <w:szCs w:val="20"/>
        </w:rPr>
        <w:t>® European Summary of Product Characteristics, 2016.</w:t>
      </w:r>
    </w:p>
    <w:p w:rsidR="00B4382E" w:rsidRPr="00280F84" w:rsidRDefault="00BD0C30" w:rsidP="00280F84">
      <w:pPr>
        <w:pStyle w:val="Paragrafoelenco"/>
        <w:numPr>
          <w:ilvl w:val="0"/>
          <w:numId w:val="13"/>
        </w:numPr>
        <w:rPr>
          <w:rStyle w:val="Highlight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proofErr w:type="spellStart"/>
      <w:r w:rsidRPr="00C1305C">
        <w:rPr>
          <w:rFonts w:asciiTheme="minorHAnsi" w:hAnsiTheme="minorHAnsi" w:cstheme="minorHAnsi"/>
          <w:sz w:val="20"/>
          <w:szCs w:val="20"/>
        </w:rPr>
        <w:t>Praxbind</w:t>
      </w:r>
      <w:proofErr w:type="spellEnd"/>
      <w:r w:rsidRPr="00C1305C">
        <w:rPr>
          <w:rFonts w:asciiTheme="minorHAnsi" w:hAnsiTheme="minorHAnsi" w:cstheme="minorHAnsi"/>
          <w:sz w:val="20"/>
          <w:szCs w:val="20"/>
        </w:rPr>
        <w:t>® US Prescribing Information, 2015.</w:t>
      </w:r>
      <w:bookmarkStart w:id="0" w:name="_GoBack"/>
      <w:bookmarkEnd w:id="0"/>
    </w:p>
    <w:p w:rsidR="00D86EE2" w:rsidRPr="00F6524D" w:rsidRDefault="00D86EE2" w:rsidP="00CE4A18">
      <w:pPr>
        <w:rPr>
          <w:rStyle w:val="Highlight"/>
          <w:rFonts w:asciiTheme="minorHAnsi" w:hAnsiTheme="minorHAnsi" w:cs="Arial"/>
          <w:color w:val="003366"/>
          <w:sz w:val="20"/>
          <w:szCs w:val="20"/>
          <w:lang w:val="fr-FR"/>
        </w:rPr>
      </w:pPr>
    </w:p>
    <w:sectPr w:rsidR="00D86EE2" w:rsidRPr="00F6524D" w:rsidSect="005E2946">
      <w:headerReference w:type="default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46" w:rsidRDefault="00120E46" w:rsidP="00AC7343">
      <w:pPr>
        <w:spacing w:after="0" w:line="240" w:lineRule="auto"/>
      </w:pPr>
      <w:r>
        <w:separator/>
      </w:r>
    </w:p>
  </w:endnote>
  <w:endnote w:type="continuationSeparator" w:id="0">
    <w:p w:rsidR="00120E46" w:rsidRDefault="00120E46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Sans"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SansNEXTCond-Bold">
    <w:altName w:val="BISansMa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280F84">
      <w:rPr>
        <w:rFonts w:cs="Arial"/>
        <w:noProof/>
        <w:sz w:val="16"/>
        <w:szCs w:val="16"/>
      </w:rPr>
      <w:t>5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280F84">
      <w:rPr>
        <w:rFonts w:cs="Arial"/>
        <w:noProof/>
        <w:sz w:val="16"/>
        <w:szCs w:val="16"/>
      </w:rPr>
      <w:t>5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977337" w:rsidRDefault="00DE5F50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280F84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280F84">
      <w:rPr>
        <w:rFonts w:cs="Arial"/>
        <w:noProof/>
        <w:sz w:val="16"/>
        <w:szCs w:val="16"/>
      </w:rPr>
      <w:t>5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46" w:rsidRDefault="00120E46" w:rsidP="00AC7343">
      <w:pPr>
        <w:spacing w:after="0" w:line="240" w:lineRule="auto"/>
      </w:pPr>
      <w:r>
        <w:separator/>
      </w:r>
    </w:p>
  </w:footnote>
  <w:footnote w:type="continuationSeparator" w:id="0">
    <w:p w:rsidR="00120E46" w:rsidRDefault="00120E46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Default="009F6C9F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55412A" w:rsidRDefault="00DE5F50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280F84">
                            <w:rPr>
                              <w:noProof/>
                              <w:sz w:val="18"/>
                            </w:rPr>
                            <w:t>5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DE5F50" w:rsidRPr="0055412A" w:rsidRDefault="00DE5F50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280F84">
                      <w:rPr>
                        <w:noProof/>
                        <w:sz w:val="18"/>
                      </w:rPr>
                      <w:t>5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E87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6155B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50" w:rsidRPr="0036108C" w:rsidRDefault="009F6C9F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DA4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B5AB3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81EB3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651BA7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Default="009F6C9F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DE5F50" w:rsidRPr="00197380" w:rsidRDefault="00DE5F50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DE5F50" w:rsidRPr="00956D7E" w:rsidRDefault="00DE5F50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DE5F50" w:rsidRDefault="00280F84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DE5F50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DE5F50" w:rsidRPr="00956D7E" w:rsidRDefault="00DE5F50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DE5F50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5F50" w:rsidRPr="00324A83" w:rsidRDefault="00DE5F50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DE5F50" w:rsidRPr="00324A83" w:rsidRDefault="00280F84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DE5F50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DE5F50" w:rsidRPr="002C4B3E" w:rsidRDefault="009F6C9F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DE5F50" w:rsidRPr="00651BA7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Default="009F6C9F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DE5F50" w:rsidRPr="00197380" w:rsidRDefault="00DE5F50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DE5F50" w:rsidRPr="00956D7E" w:rsidRDefault="00DE5F50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DE5F50" w:rsidRPr="00956D7E" w:rsidRDefault="00DE5F50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DE5F50" w:rsidRDefault="00280F84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DE5F50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DE5F50" w:rsidRPr="00956D7E" w:rsidRDefault="00DE5F50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DE5F50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E5F50" w:rsidRPr="00324A83" w:rsidRDefault="00DE5F50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DE5F50" w:rsidRPr="00324A83" w:rsidRDefault="00280F84" w:rsidP="005E2946">
                    <w:pPr>
                      <w:spacing w:after="120"/>
                      <w:ind w:left="42"/>
                    </w:pPr>
                    <w:hyperlink r:id="rId8" w:history="1">
                      <w:r w:rsidR="00DE5F50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DE5F50" w:rsidRPr="002C4B3E" w:rsidRDefault="009F6C9F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F50" w:rsidRPr="00E90EC2" w:rsidRDefault="00DE5F50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DE5F50" w:rsidRPr="00E90EC2" w:rsidRDefault="00DE5F50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8C09B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A04"/>
    <w:multiLevelType w:val="hybridMultilevel"/>
    <w:tmpl w:val="652A56BA"/>
    <w:lvl w:ilvl="0" w:tplc="95F66386">
      <w:start w:val="1"/>
      <w:numFmt w:val="bullet"/>
      <w:lvlText w:val="•"/>
      <w:lvlJc w:val="left"/>
      <w:pPr>
        <w:ind w:left="360" w:hanging="360"/>
      </w:pPr>
      <w:rPr>
        <w:rFonts w:ascii="BISans" w:hAnsi="BI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A1EAC"/>
    <w:multiLevelType w:val="hybridMultilevel"/>
    <w:tmpl w:val="BE64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F87"/>
    <w:multiLevelType w:val="hybridMultilevel"/>
    <w:tmpl w:val="9F1A3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71055"/>
    <w:multiLevelType w:val="hybridMultilevel"/>
    <w:tmpl w:val="5A32A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2CA1E7F"/>
    <w:multiLevelType w:val="hybridMultilevel"/>
    <w:tmpl w:val="26BE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3"/>
    <w:rsid w:val="000233D3"/>
    <w:rsid w:val="00024DD8"/>
    <w:rsid w:val="000B4B08"/>
    <w:rsid w:val="00120E46"/>
    <w:rsid w:val="0014331A"/>
    <w:rsid w:val="00175EC3"/>
    <w:rsid w:val="001C65B1"/>
    <w:rsid w:val="001E1387"/>
    <w:rsid w:val="001E1700"/>
    <w:rsid w:val="001E30CE"/>
    <w:rsid w:val="00210CB8"/>
    <w:rsid w:val="00221DF5"/>
    <w:rsid w:val="00251758"/>
    <w:rsid w:val="00280F84"/>
    <w:rsid w:val="0029629C"/>
    <w:rsid w:val="002B0712"/>
    <w:rsid w:val="002C3CF5"/>
    <w:rsid w:val="002D79EF"/>
    <w:rsid w:val="002F7A3A"/>
    <w:rsid w:val="00324A83"/>
    <w:rsid w:val="003532B2"/>
    <w:rsid w:val="00376DC9"/>
    <w:rsid w:val="00381EDD"/>
    <w:rsid w:val="003A1A46"/>
    <w:rsid w:val="003B4280"/>
    <w:rsid w:val="003B5BF2"/>
    <w:rsid w:val="003D0975"/>
    <w:rsid w:val="003D11E8"/>
    <w:rsid w:val="003F5C4D"/>
    <w:rsid w:val="00415BE2"/>
    <w:rsid w:val="0043247C"/>
    <w:rsid w:val="00452E42"/>
    <w:rsid w:val="004617F6"/>
    <w:rsid w:val="0046304B"/>
    <w:rsid w:val="004670C3"/>
    <w:rsid w:val="00492CC9"/>
    <w:rsid w:val="00497E3A"/>
    <w:rsid w:val="004A0372"/>
    <w:rsid w:val="004A1D5F"/>
    <w:rsid w:val="004B7F04"/>
    <w:rsid w:val="004E6AA3"/>
    <w:rsid w:val="00516BF2"/>
    <w:rsid w:val="0054288A"/>
    <w:rsid w:val="00551E86"/>
    <w:rsid w:val="00573B7C"/>
    <w:rsid w:val="00590103"/>
    <w:rsid w:val="005E0FCC"/>
    <w:rsid w:val="005E2946"/>
    <w:rsid w:val="005F67A3"/>
    <w:rsid w:val="00601BDE"/>
    <w:rsid w:val="00606EA2"/>
    <w:rsid w:val="00617B36"/>
    <w:rsid w:val="00657EEF"/>
    <w:rsid w:val="0066719B"/>
    <w:rsid w:val="0067598B"/>
    <w:rsid w:val="00683BCC"/>
    <w:rsid w:val="006C7C99"/>
    <w:rsid w:val="00764DD6"/>
    <w:rsid w:val="007B04BB"/>
    <w:rsid w:val="007B0CD9"/>
    <w:rsid w:val="00825F5D"/>
    <w:rsid w:val="008602EE"/>
    <w:rsid w:val="00895D7A"/>
    <w:rsid w:val="008A3587"/>
    <w:rsid w:val="008B033B"/>
    <w:rsid w:val="008D3E31"/>
    <w:rsid w:val="008E1392"/>
    <w:rsid w:val="0091619D"/>
    <w:rsid w:val="00932D27"/>
    <w:rsid w:val="0094079C"/>
    <w:rsid w:val="00954330"/>
    <w:rsid w:val="00962262"/>
    <w:rsid w:val="00977337"/>
    <w:rsid w:val="0099702F"/>
    <w:rsid w:val="009C3479"/>
    <w:rsid w:val="009F38F8"/>
    <w:rsid w:val="009F6C9F"/>
    <w:rsid w:val="00A02962"/>
    <w:rsid w:val="00A14D70"/>
    <w:rsid w:val="00A20932"/>
    <w:rsid w:val="00A631D1"/>
    <w:rsid w:val="00A67E90"/>
    <w:rsid w:val="00A75E18"/>
    <w:rsid w:val="00A875C7"/>
    <w:rsid w:val="00A9517E"/>
    <w:rsid w:val="00AA2F97"/>
    <w:rsid w:val="00AC7343"/>
    <w:rsid w:val="00AF10AE"/>
    <w:rsid w:val="00B259A8"/>
    <w:rsid w:val="00B4382E"/>
    <w:rsid w:val="00B52D16"/>
    <w:rsid w:val="00B74F10"/>
    <w:rsid w:val="00B833E9"/>
    <w:rsid w:val="00BC210D"/>
    <w:rsid w:val="00BC7073"/>
    <w:rsid w:val="00BD0C30"/>
    <w:rsid w:val="00BD5C12"/>
    <w:rsid w:val="00BD709E"/>
    <w:rsid w:val="00BE23E5"/>
    <w:rsid w:val="00BF3CC7"/>
    <w:rsid w:val="00C032C4"/>
    <w:rsid w:val="00C30B07"/>
    <w:rsid w:val="00C379AE"/>
    <w:rsid w:val="00C66077"/>
    <w:rsid w:val="00C7536A"/>
    <w:rsid w:val="00C82138"/>
    <w:rsid w:val="00CE4A18"/>
    <w:rsid w:val="00CF78B0"/>
    <w:rsid w:val="00D102B5"/>
    <w:rsid w:val="00D13B32"/>
    <w:rsid w:val="00D14654"/>
    <w:rsid w:val="00D37FBB"/>
    <w:rsid w:val="00D86EE2"/>
    <w:rsid w:val="00D91F42"/>
    <w:rsid w:val="00DE5F50"/>
    <w:rsid w:val="00E32CD3"/>
    <w:rsid w:val="00E33DD9"/>
    <w:rsid w:val="00E61CC1"/>
    <w:rsid w:val="00E90081"/>
    <w:rsid w:val="00E92E76"/>
    <w:rsid w:val="00EA4507"/>
    <w:rsid w:val="00EA6FED"/>
    <w:rsid w:val="00ED5FD5"/>
    <w:rsid w:val="00EE0EC0"/>
    <w:rsid w:val="00EE495C"/>
    <w:rsid w:val="00F457D8"/>
    <w:rsid w:val="00F6524D"/>
    <w:rsid w:val="00F96A6F"/>
    <w:rsid w:val="00FA1C4F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7ADC33"/>
  <w15:docId w15:val="{11E96311-8241-470E-B8BF-6408E4D7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link w:val="ParagrafoelencoCaratter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RH1">
    <w:name w:val="PR_H1"/>
    <w:basedOn w:val="Normale"/>
    <w:uiPriority w:val="99"/>
    <w:rsid w:val="00CE4A18"/>
    <w:pPr>
      <w:tabs>
        <w:tab w:val="left" w:pos="283"/>
        <w:tab w:val="left" w:pos="567"/>
      </w:tabs>
      <w:autoSpaceDE w:val="0"/>
      <w:autoSpaceDN w:val="0"/>
      <w:adjustRightInd w:val="0"/>
      <w:spacing w:after="0" w:line="660" w:lineRule="atLeast"/>
      <w:textAlignment w:val="center"/>
    </w:pPr>
    <w:rPr>
      <w:rFonts w:ascii="BISansNEXTCond-Bold" w:hAnsi="BISansNEXTCond-Bold" w:cs="BISansNEXTCond-Bold"/>
      <w:b/>
      <w:bCs/>
      <w:color w:val="006145"/>
      <w:sz w:val="60"/>
      <w:szCs w:val="60"/>
      <w:lang w:val="de-DE"/>
    </w:rPr>
  </w:style>
  <w:style w:type="character" w:customStyle="1" w:styleId="ParagrafoelencoCarattere">
    <w:name w:val="Paragrafo elenco Carattere"/>
    <w:link w:val="Paragrafoelenco"/>
    <w:uiPriority w:val="34"/>
    <w:locked/>
    <w:rsid w:val="00CE4A1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enzione1">
    <w:name w:val="Menzione1"/>
    <w:basedOn w:val="Carpredefinitoparagrafo"/>
    <w:uiPriority w:val="99"/>
    <w:semiHidden/>
    <w:unhideWhenUsed/>
    <w:rsid w:val="00F6524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BD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hringer-ingelheim.com/press-release/ACC17-RE-CIRCU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.paleari@vrelations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.guffanti@boehringer-ingelheim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nnualreport.boehringer-ingelhei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ehringer-ingelheim.com/sites/default/files/prescription_medicine/cardiovascular_prescription_medicine/RE-CIRCUIT_Backgrounder_ACC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0D36-490B-4D10-A609-87E3F25A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9895</Characters>
  <Application>Microsoft Office Word</Application>
  <DocSecurity>4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11607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2</cp:revision>
  <cp:lastPrinted>2016-03-07T16:50:00Z</cp:lastPrinted>
  <dcterms:created xsi:type="dcterms:W3CDTF">2017-09-20T07:51:00Z</dcterms:created>
  <dcterms:modified xsi:type="dcterms:W3CDTF">2017-09-20T07:51:00Z</dcterms:modified>
</cp:coreProperties>
</file>