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42C" w:rsidRPr="00472C99" w:rsidRDefault="0088742C" w:rsidP="009A0B13">
      <w:pPr>
        <w:tabs>
          <w:tab w:val="left" w:pos="142"/>
        </w:tabs>
        <w:spacing w:after="0" w:line="283" w:lineRule="atLeast"/>
        <w:jc w:val="both"/>
        <w:rPr>
          <w:rFonts w:asciiTheme="minorHAnsi" w:hAnsiTheme="minorHAnsi" w:cs="Arial"/>
          <w:b/>
          <w:bCs/>
          <w:color w:val="FF0000"/>
          <w:sz w:val="32"/>
          <w:szCs w:val="32"/>
          <w:lang w:eastAsia="zh-TW"/>
        </w:rPr>
      </w:pPr>
    </w:p>
    <w:p w:rsidR="009A0B13" w:rsidRPr="00F3099A" w:rsidRDefault="009A0B13" w:rsidP="0088742C">
      <w:pPr>
        <w:tabs>
          <w:tab w:val="left" w:pos="142"/>
        </w:tabs>
        <w:spacing w:after="0" w:line="240" w:lineRule="auto"/>
        <w:jc w:val="both"/>
        <w:rPr>
          <w:rFonts w:asciiTheme="minorHAnsi" w:hAnsiTheme="minorHAnsi" w:cs="Arial"/>
          <w:b/>
          <w:bCs/>
          <w:sz w:val="32"/>
          <w:szCs w:val="32"/>
          <w:lang w:eastAsia="zh-TW"/>
        </w:rPr>
      </w:pPr>
      <w:r w:rsidRPr="00F3099A">
        <w:rPr>
          <w:rFonts w:asciiTheme="minorHAnsi" w:hAnsiTheme="minorHAnsi" w:cs="Arial"/>
          <w:b/>
          <w:bCs/>
          <w:sz w:val="32"/>
          <w:szCs w:val="32"/>
          <w:lang w:eastAsia="zh-TW"/>
        </w:rPr>
        <w:t xml:space="preserve">La duplice terapia con </w:t>
      </w:r>
      <w:proofErr w:type="spellStart"/>
      <w:r w:rsidRPr="00F3099A">
        <w:rPr>
          <w:rFonts w:asciiTheme="minorHAnsi" w:hAnsiTheme="minorHAnsi" w:cs="Arial"/>
          <w:b/>
          <w:bCs/>
          <w:sz w:val="32"/>
          <w:szCs w:val="32"/>
          <w:lang w:eastAsia="zh-TW"/>
        </w:rPr>
        <w:t>dabigatran</w:t>
      </w:r>
      <w:proofErr w:type="spellEnd"/>
      <w:r w:rsidRPr="00F3099A">
        <w:rPr>
          <w:rFonts w:asciiTheme="minorHAnsi" w:hAnsiTheme="minorHAnsi" w:cs="Arial"/>
          <w:b/>
          <w:bCs/>
          <w:sz w:val="32"/>
          <w:szCs w:val="32"/>
          <w:lang w:eastAsia="zh-TW"/>
        </w:rPr>
        <w:t xml:space="preserve"> </w:t>
      </w:r>
      <w:proofErr w:type="spellStart"/>
      <w:r w:rsidRPr="00F3099A">
        <w:rPr>
          <w:rFonts w:asciiTheme="minorHAnsi" w:hAnsiTheme="minorHAnsi" w:cs="Arial"/>
          <w:b/>
          <w:bCs/>
          <w:sz w:val="32"/>
          <w:szCs w:val="32"/>
          <w:lang w:eastAsia="zh-TW"/>
        </w:rPr>
        <w:t>etexilato</w:t>
      </w:r>
      <w:proofErr w:type="spellEnd"/>
      <w:r w:rsidR="00367F4C" w:rsidRPr="00F3099A">
        <w:rPr>
          <w:rFonts w:asciiTheme="minorHAnsi" w:hAnsiTheme="minorHAnsi" w:cs="Arial"/>
          <w:b/>
          <w:bCs/>
          <w:sz w:val="32"/>
          <w:szCs w:val="32"/>
          <w:lang w:eastAsia="zh-TW"/>
        </w:rPr>
        <w:t xml:space="preserve">, associato ad un solo antiaggregante, </w:t>
      </w:r>
      <w:r w:rsidRPr="00F3099A">
        <w:rPr>
          <w:rFonts w:asciiTheme="minorHAnsi" w:hAnsiTheme="minorHAnsi" w:cs="Arial"/>
          <w:b/>
          <w:bCs/>
          <w:sz w:val="32"/>
          <w:szCs w:val="32"/>
          <w:lang w:eastAsia="zh-TW"/>
        </w:rPr>
        <w:t xml:space="preserve">ha </w:t>
      </w:r>
      <w:r w:rsidR="00B5162D" w:rsidRPr="00F3099A">
        <w:rPr>
          <w:rFonts w:asciiTheme="minorHAnsi" w:hAnsiTheme="minorHAnsi" w:cs="Arial"/>
          <w:b/>
          <w:bCs/>
          <w:sz w:val="32"/>
          <w:szCs w:val="32"/>
          <w:lang w:eastAsia="zh-TW"/>
        </w:rPr>
        <w:t>di</w:t>
      </w:r>
      <w:r w:rsidRPr="00F3099A">
        <w:rPr>
          <w:rFonts w:asciiTheme="minorHAnsi" w:hAnsiTheme="minorHAnsi" w:cs="Arial"/>
          <w:b/>
          <w:bCs/>
          <w:sz w:val="32"/>
          <w:szCs w:val="32"/>
          <w:lang w:eastAsia="zh-TW"/>
        </w:rPr>
        <w:t xml:space="preserve">mostrato una </w:t>
      </w:r>
      <w:r w:rsidR="00367F4C" w:rsidRPr="00F3099A">
        <w:rPr>
          <w:rFonts w:asciiTheme="minorHAnsi" w:hAnsiTheme="minorHAnsi" w:cs="Arial"/>
          <w:b/>
          <w:bCs/>
          <w:sz w:val="32"/>
          <w:szCs w:val="32"/>
          <w:lang w:eastAsia="zh-TW"/>
        </w:rPr>
        <w:t>ridotta incidenza</w:t>
      </w:r>
      <w:r w:rsidRPr="00F3099A">
        <w:rPr>
          <w:rFonts w:asciiTheme="minorHAnsi" w:hAnsiTheme="minorHAnsi" w:cs="Arial"/>
          <w:b/>
          <w:bCs/>
          <w:sz w:val="32"/>
          <w:szCs w:val="32"/>
          <w:lang w:eastAsia="zh-TW"/>
        </w:rPr>
        <w:t xml:space="preserve"> di sanguinamenti maggiori rispetto alla triplice terapia con warfarin</w:t>
      </w:r>
      <w:r w:rsidR="00367F4C" w:rsidRPr="00F3099A">
        <w:rPr>
          <w:rFonts w:asciiTheme="minorHAnsi" w:hAnsiTheme="minorHAnsi" w:cs="Arial"/>
          <w:b/>
          <w:bCs/>
          <w:sz w:val="32"/>
          <w:szCs w:val="32"/>
          <w:lang w:eastAsia="zh-TW"/>
        </w:rPr>
        <w:t xml:space="preserve">, associato ad una doppia terapia antiaggregante, </w:t>
      </w:r>
      <w:r w:rsidRPr="00F3099A">
        <w:rPr>
          <w:rFonts w:asciiTheme="minorHAnsi" w:hAnsiTheme="minorHAnsi" w:cs="Arial"/>
          <w:b/>
          <w:bCs/>
          <w:sz w:val="32"/>
          <w:szCs w:val="32"/>
          <w:lang w:eastAsia="zh-TW"/>
        </w:rPr>
        <w:t>nei pazienti con Fibrillazione Atriale</w:t>
      </w:r>
      <w:r w:rsidR="00367F4C" w:rsidRPr="00F3099A">
        <w:rPr>
          <w:rFonts w:asciiTheme="minorHAnsi" w:hAnsiTheme="minorHAnsi" w:cs="Arial"/>
          <w:b/>
          <w:bCs/>
          <w:sz w:val="32"/>
          <w:szCs w:val="32"/>
          <w:lang w:eastAsia="zh-TW"/>
        </w:rPr>
        <w:t xml:space="preserve"> Non Valvolare </w:t>
      </w:r>
      <w:r w:rsidRPr="00F3099A">
        <w:rPr>
          <w:rFonts w:asciiTheme="minorHAnsi" w:hAnsiTheme="minorHAnsi" w:cs="Arial"/>
          <w:b/>
          <w:bCs/>
          <w:sz w:val="32"/>
          <w:szCs w:val="32"/>
          <w:lang w:eastAsia="zh-TW"/>
        </w:rPr>
        <w:t>sottoposti a</w:t>
      </w:r>
      <w:r w:rsidR="00367F4C" w:rsidRPr="00F3099A">
        <w:rPr>
          <w:rFonts w:asciiTheme="minorHAnsi" w:hAnsiTheme="minorHAnsi" w:cs="Arial"/>
          <w:b/>
          <w:bCs/>
          <w:sz w:val="32"/>
          <w:szCs w:val="32"/>
          <w:lang w:eastAsia="zh-TW"/>
        </w:rPr>
        <w:t>d</w:t>
      </w:r>
      <w:r w:rsidR="0019717F" w:rsidRPr="00F3099A">
        <w:rPr>
          <w:rFonts w:asciiTheme="minorHAnsi" w:hAnsiTheme="minorHAnsi" w:cs="Arial"/>
          <w:b/>
          <w:bCs/>
          <w:sz w:val="32"/>
          <w:szCs w:val="32"/>
          <w:lang w:eastAsia="zh-TW"/>
        </w:rPr>
        <w:t xml:space="preserve"> inserimento di </w:t>
      </w:r>
      <w:proofErr w:type="spellStart"/>
      <w:r w:rsidRPr="00F3099A">
        <w:rPr>
          <w:rFonts w:asciiTheme="minorHAnsi" w:hAnsiTheme="minorHAnsi" w:cs="Arial"/>
          <w:b/>
          <w:bCs/>
          <w:sz w:val="32"/>
          <w:szCs w:val="32"/>
          <w:lang w:eastAsia="zh-TW"/>
        </w:rPr>
        <w:t>stent</w:t>
      </w:r>
      <w:proofErr w:type="spellEnd"/>
    </w:p>
    <w:p w:rsidR="00764DD6" w:rsidRPr="00F3099A" w:rsidRDefault="00764DD6" w:rsidP="00B90135">
      <w:pPr>
        <w:tabs>
          <w:tab w:val="left" w:pos="142"/>
        </w:tabs>
        <w:spacing w:after="0" w:line="283" w:lineRule="atLeast"/>
        <w:jc w:val="both"/>
        <w:rPr>
          <w:rFonts w:ascii="BISans" w:eastAsia="Times New Roman" w:hAnsi="BISans" w:cs="BISansNEXTCond-Bold"/>
          <w:bCs/>
          <w:i/>
          <w:sz w:val="24"/>
          <w:szCs w:val="24"/>
          <w:lang w:eastAsia="en-GB"/>
        </w:rPr>
      </w:pPr>
    </w:p>
    <w:p w:rsidR="009A0B13" w:rsidRPr="00F3099A" w:rsidRDefault="00987DE1" w:rsidP="00685517">
      <w:pPr>
        <w:pStyle w:val="Paragrafoelenco"/>
        <w:numPr>
          <w:ilvl w:val="0"/>
          <w:numId w:val="12"/>
        </w:numPr>
        <w:spacing w:line="283" w:lineRule="atLeast"/>
        <w:jc w:val="both"/>
        <w:rPr>
          <w:rFonts w:asciiTheme="minorHAnsi" w:hAnsiTheme="minorHAnsi" w:cs="BISansNEXTCond-Bold"/>
          <w:bCs/>
          <w:i/>
          <w:lang w:val="it-IT"/>
        </w:rPr>
      </w:pPr>
      <w:proofErr w:type="spellStart"/>
      <w:r w:rsidRPr="00F3099A">
        <w:rPr>
          <w:rFonts w:asciiTheme="minorHAnsi" w:hAnsiTheme="minorHAnsi" w:cs="BISansNEXTCond-Bold"/>
          <w:bCs/>
          <w:i/>
          <w:lang w:val="it-IT"/>
        </w:rPr>
        <w:t>Dabigatran</w:t>
      </w:r>
      <w:proofErr w:type="spellEnd"/>
      <w:r w:rsidRPr="00F3099A">
        <w:rPr>
          <w:rFonts w:asciiTheme="minorHAnsi" w:hAnsiTheme="minorHAnsi" w:cs="BISansNEXTCond-Bold"/>
          <w:bCs/>
          <w:i/>
          <w:lang w:val="it-IT"/>
        </w:rPr>
        <w:t xml:space="preserve"> in associazione </w:t>
      </w:r>
      <w:r w:rsidR="00367F4C" w:rsidRPr="00F3099A">
        <w:rPr>
          <w:rFonts w:asciiTheme="minorHAnsi" w:hAnsiTheme="minorHAnsi" w:cs="BISansNEXTCond-Bold"/>
          <w:bCs/>
          <w:i/>
          <w:lang w:val="it-IT"/>
        </w:rPr>
        <w:t>con un solo antiaggregante</w:t>
      </w:r>
      <w:r w:rsidRPr="00F3099A">
        <w:rPr>
          <w:rFonts w:asciiTheme="minorHAnsi" w:hAnsiTheme="minorHAnsi" w:cs="BISansNEXTCond-Bold"/>
          <w:bCs/>
          <w:i/>
          <w:lang w:val="it-IT"/>
        </w:rPr>
        <w:t>,</w:t>
      </w:r>
      <w:r w:rsidR="00685517" w:rsidRPr="00F3099A">
        <w:rPr>
          <w:rFonts w:asciiTheme="minorHAnsi" w:hAnsiTheme="minorHAnsi" w:cs="BISansNEXTCond-Bold"/>
          <w:bCs/>
          <w:i/>
          <w:lang w:val="it-IT"/>
        </w:rPr>
        <w:t xml:space="preserve"> non aspirina,</w:t>
      </w:r>
      <w:r w:rsidRPr="00F3099A">
        <w:rPr>
          <w:rFonts w:asciiTheme="minorHAnsi" w:hAnsiTheme="minorHAnsi" w:cs="BISansNEXTCond-Bold"/>
          <w:bCs/>
          <w:i/>
          <w:lang w:val="it-IT"/>
        </w:rPr>
        <w:t xml:space="preserve"> </w:t>
      </w:r>
      <w:r w:rsidR="00367F4C" w:rsidRPr="00F3099A">
        <w:rPr>
          <w:rFonts w:asciiTheme="minorHAnsi" w:hAnsiTheme="minorHAnsi" w:cs="BISansNEXTCond-Bold"/>
          <w:bCs/>
          <w:i/>
          <w:lang w:val="it-IT"/>
        </w:rPr>
        <w:t xml:space="preserve">ha dimostrato nello studio </w:t>
      </w:r>
      <w:r w:rsidR="009A0B13" w:rsidRPr="00F3099A">
        <w:rPr>
          <w:rFonts w:asciiTheme="minorHAnsi" w:hAnsiTheme="minorHAnsi" w:cs="BISansNEXTCond-Bold"/>
          <w:bCs/>
          <w:i/>
          <w:lang w:val="it-IT"/>
        </w:rPr>
        <w:t xml:space="preserve">RE-DUAL PCI una notevole riduzione dell'incidenza di complicanze emorragiche </w:t>
      </w:r>
      <w:r w:rsidR="00367F4C" w:rsidRPr="00F3099A">
        <w:rPr>
          <w:rFonts w:asciiTheme="minorHAnsi" w:hAnsiTheme="minorHAnsi" w:cs="BISansNEXTCond-Bold"/>
          <w:bCs/>
          <w:i/>
          <w:lang w:val="it-IT"/>
        </w:rPr>
        <w:t>rispetto a warfarin associato a due antiaggreganti;</w:t>
      </w:r>
    </w:p>
    <w:p w:rsidR="009A0B13" w:rsidRPr="00F3099A" w:rsidRDefault="009A0B13" w:rsidP="009A0B13">
      <w:pPr>
        <w:pStyle w:val="Paragrafoelenco"/>
        <w:numPr>
          <w:ilvl w:val="0"/>
          <w:numId w:val="12"/>
        </w:numPr>
        <w:spacing w:line="283" w:lineRule="atLeast"/>
        <w:jc w:val="both"/>
        <w:rPr>
          <w:rFonts w:asciiTheme="minorHAnsi" w:hAnsiTheme="minorHAnsi" w:cs="BISansNEXTCond-Bold"/>
          <w:bCs/>
          <w:i/>
          <w:lang w:val="it-IT"/>
        </w:rPr>
      </w:pPr>
      <w:r w:rsidRPr="00F3099A">
        <w:rPr>
          <w:rFonts w:asciiTheme="minorHAnsi" w:hAnsiTheme="minorHAnsi" w:cs="BISansNEXTCond-Bold"/>
          <w:bCs/>
          <w:i/>
          <w:lang w:val="it-IT"/>
        </w:rPr>
        <w:t>Entramb</w:t>
      </w:r>
      <w:r w:rsidR="006C1C01" w:rsidRPr="00F3099A">
        <w:rPr>
          <w:rFonts w:asciiTheme="minorHAnsi" w:hAnsiTheme="minorHAnsi" w:cs="BISansNEXTCond-Bold"/>
          <w:bCs/>
          <w:i/>
          <w:lang w:val="it-IT"/>
        </w:rPr>
        <w:t>i i dosaggi</w:t>
      </w:r>
      <w:r w:rsidRPr="00F3099A">
        <w:rPr>
          <w:rFonts w:asciiTheme="minorHAnsi" w:hAnsiTheme="minorHAnsi" w:cs="BISansNEXTCond-Bold"/>
          <w:bCs/>
          <w:i/>
          <w:lang w:val="it-IT"/>
        </w:rPr>
        <w:t xml:space="preserve"> </w:t>
      </w:r>
      <w:r w:rsidR="006C1C01" w:rsidRPr="00F3099A">
        <w:rPr>
          <w:rFonts w:asciiTheme="minorHAnsi" w:hAnsiTheme="minorHAnsi" w:cs="BISansNEXTCond-Bold"/>
          <w:bCs/>
          <w:i/>
          <w:lang w:val="it-IT"/>
        </w:rPr>
        <w:t xml:space="preserve">di </w:t>
      </w:r>
      <w:proofErr w:type="spellStart"/>
      <w:r w:rsidR="006C1C01" w:rsidRPr="00F3099A">
        <w:rPr>
          <w:rFonts w:asciiTheme="minorHAnsi" w:hAnsiTheme="minorHAnsi" w:cs="BISansNEXTCond-Bold"/>
          <w:bCs/>
          <w:i/>
          <w:lang w:val="it-IT"/>
        </w:rPr>
        <w:t>dabigatran</w:t>
      </w:r>
      <w:proofErr w:type="spellEnd"/>
      <w:r w:rsidR="006C1C01" w:rsidRPr="00F3099A">
        <w:rPr>
          <w:rFonts w:asciiTheme="minorHAnsi" w:hAnsiTheme="minorHAnsi" w:cs="BISansNEXTCond-Bold"/>
          <w:bCs/>
          <w:i/>
          <w:lang w:val="it-IT"/>
        </w:rPr>
        <w:t xml:space="preserve"> </w:t>
      </w:r>
      <w:proofErr w:type="spellStart"/>
      <w:r w:rsidR="006C1C01" w:rsidRPr="00F3099A">
        <w:rPr>
          <w:rFonts w:asciiTheme="minorHAnsi" w:hAnsiTheme="minorHAnsi" w:cs="BISansNEXTCond-Bold"/>
          <w:bCs/>
          <w:i/>
          <w:lang w:val="it-IT"/>
        </w:rPr>
        <w:t>etexilato</w:t>
      </w:r>
      <w:proofErr w:type="spellEnd"/>
      <w:r w:rsidR="006C1C01" w:rsidRPr="00F3099A">
        <w:rPr>
          <w:rFonts w:asciiTheme="minorHAnsi" w:hAnsiTheme="minorHAnsi" w:cs="BISansNEXTCond-Bold"/>
          <w:bCs/>
          <w:i/>
          <w:lang w:val="it-IT"/>
        </w:rPr>
        <w:t xml:space="preserve"> </w:t>
      </w:r>
      <w:r w:rsidR="00987DE1" w:rsidRPr="00F3099A">
        <w:rPr>
          <w:rFonts w:asciiTheme="minorHAnsi" w:hAnsiTheme="minorHAnsi" w:cs="BISansNEXTCond-Bold"/>
          <w:bCs/>
          <w:i/>
          <w:lang w:val="it-IT"/>
        </w:rPr>
        <w:t xml:space="preserve">studiati nello studio </w:t>
      </w:r>
      <w:r w:rsidRPr="00F3099A">
        <w:rPr>
          <w:rFonts w:asciiTheme="minorHAnsi" w:hAnsiTheme="minorHAnsi" w:cs="BISansNEXTCond-Bold"/>
          <w:bCs/>
          <w:i/>
          <w:lang w:val="it-IT"/>
        </w:rPr>
        <w:t>RE</w:t>
      </w:r>
      <w:r w:rsidR="00987DE1" w:rsidRPr="00F3099A">
        <w:rPr>
          <w:rFonts w:asciiTheme="minorHAnsi" w:hAnsiTheme="minorHAnsi" w:cs="BISansNEXTCond-Bold"/>
          <w:bCs/>
          <w:i/>
          <w:lang w:val="it-IT"/>
        </w:rPr>
        <w:t xml:space="preserve">-DUAL PCI ™ </w:t>
      </w:r>
      <w:r w:rsidRPr="00F3099A">
        <w:rPr>
          <w:rFonts w:asciiTheme="minorHAnsi" w:hAnsiTheme="minorHAnsi" w:cs="BISansNEXTCond-Bold"/>
          <w:bCs/>
          <w:i/>
          <w:lang w:val="it-IT"/>
        </w:rPr>
        <w:t xml:space="preserve">sono </w:t>
      </w:r>
      <w:r w:rsidR="00987DE1" w:rsidRPr="00F3099A">
        <w:rPr>
          <w:rFonts w:asciiTheme="minorHAnsi" w:hAnsiTheme="minorHAnsi" w:cs="BISansNEXTCond-Bold"/>
          <w:bCs/>
          <w:i/>
          <w:lang w:val="it-IT"/>
        </w:rPr>
        <w:t xml:space="preserve">gli stessi dosaggi già </w:t>
      </w:r>
      <w:r w:rsidR="006C1C01" w:rsidRPr="00F3099A">
        <w:rPr>
          <w:rFonts w:asciiTheme="minorHAnsi" w:hAnsiTheme="minorHAnsi" w:cs="BISansNEXTCond-Bold"/>
          <w:bCs/>
          <w:i/>
          <w:lang w:val="it-IT"/>
        </w:rPr>
        <w:t>approvati</w:t>
      </w:r>
      <w:r w:rsidRPr="00F3099A">
        <w:rPr>
          <w:rFonts w:asciiTheme="minorHAnsi" w:hAnsiTheme="minorHAnsi" w:cs="BISansNEXTCond-Bold"/>
          <w:bCs/>
          <w:i/>
          <w:lang w:val="it-IT"/>
        </w:rPr>
        <w:t xml:space="preserve"> per la prevenzione dell'ictus in pazienti con </w:t>
      </w:r>
      <w:r w:rsidR="006B7EF4" w:rsidRPr="00F3099A">
        <w:rPr>
          <w:rFonts w:asciiTheme="minorHAnsi" w:hAnsiTheme="minorHAnsi" w:cs="BISansNEXTCond-Bold"/>
          <w:bCs/>
          <w:i/>
          <w:lang w:val="it-IT"/>
        </w:rPr>
        <w:t>fibrillazione a</w:t>
      </w:r>
      <w:r w:rsidRPr="00F3099A">
        <w:rPr>
          <w:rFonts w:asciiTheme="minorHAnsi" w:hAnsiTheme="minorHAnsi" w:cs="BISansNEXTCond-Bold"/>
          <w:bCs/>
          <w:i/>
          <w:lang w:val="it-IT"/>
        </w:rPr>
        <w:t>triale</w:t>
      </w:r>
      <w:r w:rsidR="00987DE1" w:rsidRPr="00F3099A">
        <w:rPr>
          <w:rFonts w:asciiTheme="minorHAnsi" w:hAnsiTheme="minorHAnsi" w:cs="BISansNEXTCond-Bold"/>
          <w:bCs/>
          <w:i/>
          <w:lang w:val="it-IT"/>
        </w:rPr>
        <w:t xml:space="preserve"> non valvolare</w:t>
      </w:r>
      <w:r w:rsidRPr="00F3099A">
        <w:rPr>
          <w:rFonts w:asciiTheme="minorHAnsi" w:hAnsiTheme="minorHAnsi" w:cs="BISansNEXTCond-Bold"/>
          <w:bCs/>
          <w:i/>
          <w:lang w:val="it-IT"/>
        </w:rPr>
        <w:t>;</w:t>
      </w:r>
    </w:p>
    <w:p w:rsidR="009A0B13" w:rsidRPr="00F3099A" w:rsidRDefault="009A0B13" w:rsidP="009A0B13">
      <w:pPr>
        <w:pStyle w:val="Paragrafoelenco"/>
        <w:numPr>
          <w:ilvl w:val="0"/>
          <w:numId w:val="12"/>
        </w:numPr>
        <w:spacing w:line="283" w:lineRule="atLeast"/>
        <w:jc w:val="both"/>
        <w:rPr>
          <w:rFonts w:asciiTheme="minorHAnsi" w:hAnsiTheme="minorHAnsi" w:cs="BISansNEXTCond-Bold"/>
          <w:bCs/>
          <w:i/>
          <w:lang w:val="it-IT"/>
        </w:rPr>
      </w:pPr>
      <w:r w:rsidRPr="00F3099A">
        <w:rPr>
          <w:rFonts w:asciiTheme="minorHAnsi" w:hAnsiTheme="minorHAnsi" w:cs="BISansNEXTCond-Bold"/>
          <w:bCs/>
          <w:i/>
          <w:lang w:val="it-IT"/>
        </w:rPr>
        <w:t>I dati sono stati presentati</w:t>
      </w:r>
      <w:r w:rsidR="00987DE1" w:rsidRPr="00F3099A">
        <w:rPr>
          <w:rFonts w:asciiTheme="minorHAnsi" w:hAnsiTheme="minorHAnsi" w:cs="BISansNEXTCond-Bold"/>
          <w:bCs/>
          <w:i/>
          <w:lang w:val="it-IT"/>
        </w:rPr>
        <w:t xml:space="preserve"> durante la sessione “late breaking science in PCI” del congresso ESC</w:t>
      </w:r>
      <w:r w:rsidR="00987DE1" w:rsidRPr="00F3099A">
        <w:rPr>
          <w:rFonts w:asciiTheme="minorHAnsi" w:hAnsiTheme="minorHAnsi" w:cs="BISansNEXTCond-Bold"/>
          <w:bCs/>
          <w:i/>
          <w:vertAlign w:val="superscript"/>
          <w:lang w:val="it-IT"/>
        </w:rPr>
        <w:t>1</w:t>
      </w:r>
      <w:r w:rsidR="00987DE1" w:rsidRPr="00F3099A">
        <w:rPr>
          <w:rFonts w:asciiTheme="minorHAnsi" w:hAnsiTheme="minorHAnsi" w:cs="BISansNEXTCond-Bold"/>
          <w:bCs/>
          <w:i/>
          <w:lang w:val="it-IT"/>
        </w:rPr>
        <w:t>, dedicata ai nuovi studi in questo ambito clinico,</w:t>
      </w:r>
      <w:r w:rsidRPr="00F3099A">
        <w:rPr>
          <w:rFonts w:asciiTheme="minorHAnsi" w:hAnsiTheme="minorHAnsi" w:cs="BISansNEXTCond-Bold"/>
          <w:bCs/>
          <w:i/>
          <w:lang w:val="it-IT"/>
        </w:rPr>
        <w:t xml:space="preserve"> e </w:t>
      </w:r>
      <w:r w:rsidR="00987DE1" w:rsidRPr="00F3099A">
        <w:rPr>
          <w:rFonts w:asciiTheme="minorHAnsi" w:hAnsiTheme="minorHAnsi" w:cs="BISansNEXTCond-Bold"/>
          <w:bCs/>
          <w:i/>
          <w:lang w:val="it-IT"/>
        </w:rPr>
        <w:t xml:space="preserve">contestualmente </w:t>
      </w:r>
      <w:r w:rsidRPr="00F3099A">
        <w:rPr>
          <w:rFonts w:asciiTheme="minorHAnsi" w:hAnsiTheme="minorHAnsi" w:cs="BISansNEXTCond-Bold"/>
          <w:bCs/>
          <w:i/>
          <w:lang w:val="it-IT"/>
        </w:rPr>
        <w:t xml:space="preserve">pubblicati sul New </w:t>
      </w:r>
      <w:proofErr w:type="spellStart"/>
      <w:r w:rsidRPr="00F3099A">
        <w:rPr>
          <w:rFonts w:asciiTheme="minorHAnsi" w:hAnsiTheme="minorHAnsi" w:cs="BISansNEXTCond-Bold"/>
          <w:bCs/>
          <w:i/>
          <w:lang w:val="it-IT"/>
        </w:rPr>
        <w:t>England</w:t>
      </w:r>
      <w:proofErr w:type="spellEnd"/>
      <w:r w:rsidRPr="00F3099A">
        <w:rPr>
          <w:rFonts w:asciiTheme="minorHAnsi" w:hAnsiTheme="minorHAnsi" w:cs="BISansNEXTCond-Bold"/>
          <w:bCs/>
          <w:i/>
          <w:lang w:val="it-IT"/>
        </w:rPr>
        <w:t xml:space="preserve"> Journal of Medicine</w:t>
      </w:r>
      <w:r w:rsidRPr="00F3099A">
        <w:rPr>
          <w:rFonts w:asciiTheme="minorHAnsi" w:hAnsiTheme="minorHAnsi" w:cs="BISansNEXTCond-Bold"/>
          <w:bCs/>
          <w:i/>
          <w:vertAlign w:val="superscript"/>
          <w:lang w:val="it-IT"/>
        </w:rPr>
        <w:t>2</w:t>
      </w:r>
    </w:p>
    <w:p w:rsidR="00764DD6" w:rsidRPr="00F3099A" w:rsidRDefault="00764DD6" w:rsidP="00B90135">
      <w:pPr>
        <w:spacing w:after="0" w:line="264" w:lineRule="auto"/>
        <w:jc w:val="both"/>
        <w:rPr>
          <w:rFonts w:ascii="BISans" w:eastAsia="MS Mincho" w:hAnsi="BISans" w:cs="Arial"/>
          <w:b/>
          <w:bCs/>
          <w:sz w:val="20"/>
          <w:szCs w:val="20"/>
          <w:lang w:eastAsia="en-GB"/>
        </w:rPr>
      </w:pPr>
    </w:p>
    <w:p w:rsidR="00C71170" w:rsidRPr="00F3099A" w:rsidRDefault="009A0B13" w:rsidP="009A0B13">
      <w:pPr>
        <w:spacing w:after="0" w:line="283" w:lineRule="atLeast"/>
        <w:jc w:val="both"/>
        <w:rPr>
          <w:rFonts w:asciiTheme="minorHAnsi" w:eastAsia="Times New Roman" w:hAnsiTheme="minorHAnsi" w:cs="Courier New"/>
          <w:lang w:eastAsia="it-IT"/>
        </w:rPr>
      </w:pPr>
      <w:proofErr w:type="spellStart"/>
      <w:r w:rsidRPr="00F3099A">
        <w:rPr>
          <w:rFonts w:asciiTheme="minorHAnsi" w:eastAsia="BISans" w:hAnsiTheme="minorHAnsi" w:cstheme="minorHAnsi"/>
          <w:b/>
          <w:bCs/>
        </w:rPr>
        <w:t>Ingelheim</w:t>
      </w:r>
      <w:proofErr w:type="spellEnd"/>
      <w:r w:rsidRPr="00F3099A">
        <w:rPr>
          <w:rFonts w:asciiTheme="minorHAnsi" w:eastAsia="BISans" w:hAnsiTheme="minorHAnsi" w:cstheme="minorHAnsi"/>
          <w:b/>
          <w:bCs/>
        </w:rPr>
        <w:t xml:space="preserve">, Germania, 27 agosto 2017 </w:t>
      </w:r>
      <w:r w:rsidRPr="00F3099A">
        <w:rPr>
          <w:rFonts w:asciiTheme="minorHAnsi" w:eastAsia="Times New Roman" w:hAnsiTheme="minorHAnsi" w:cs="Courier New"/>
          <w:lang w:eastAsia="it-IT"/>
        </w:rPr>
        <w:t xml:space="preserve">– Lo Studio clinico RE-DUAL PCI™ ha </w:t>
      </w:r>
      <w:r w:rsidR="006B7EF4" w:rsidRPr="00F3099A">
        <w:rPr>
          <w:rFonts w:asciiTheme="minorHAnsi" w:eastAsia="Times New Roman" w:hAnsiTheme="minorHAnsi" w:cs="Courier New"/>
          <w:lang w:eastAsia="it-IT"/>
        </w:rPr>
        <w:t>valutato</w:t>
      </w:r>
      <w:r w:rsidRPr="00F3099A">
        <w:rPr>
          <w:rFonts w:asciiTheme="minorHAnsi" w:eastAsia="Times New Roman" w:hAnsiTheme="minorHAnsi" w:cs="Courier New"/>
          <w:lang w:eastAsia="it-IT"/>
        </w:rPr>
        <w:t xml:space="preserve"> l’effetto anticoagulante </w:t>
      </w:r>
      <w:r w:rsidR="00987DE1" w:rsidRPr="00F3099A">
        <w:rPr>
          <w:rFonts w:asciiTheme="minorHAnsi" w:eastAsia="Times New Roman" w:hAnsiTheme="minorHAnsi" w:cs="Courier New"/>
          <w:lang w:eastAsia="it-IT"/>
        </w:rPr>
        <w:t xml:space="preserve">di </w:t>
      </w:r>
      <w:proofErr w:type="spellStart"/>
      <w:r w:rsidR="00987DE1" w:rsidRPr="00F3099A">
        <w:rPr>
          <w:rFonts w:asciiTheme="minorHAnsi" w:eastAsia="Times New Roman" w:hAnsiTheme="minorHAnsi" w:cs="Courier New"/>
          <w:lang w:eastAsia="it-IT"/>
        </w:rPr>
        <w:t>dabigatran</w:t>
      </w:r>
      <w:proofErr w:type="spellEnd"/>
      <w:r w:rsidR="00987DE1" w:rsidRPr="00F3099A">
        <w:rPr>
          <w:rFonts w:asciiTheme="minorHAnsi" w:eastAsia="Times New Roman" w:hAnsiTheme="minorHAnsi" w:cs="Courier New"/>
          <w:lang w:eastAsia="it-IT"/>
        </w:rPr>
        <w:t xml:space="preserve"> </w:t>
      </w:r>
      <w:proofErr w:type="spellStart"/>
      <w:r w:rsidR="00987DE1" w:rsidRPr="00F3099A">
        <w:rPr>
          <w:rFonts w:asciiTheme="minorHAnsi" w:eastAsia="Times New Roman" w:hAnsiTheme="minorHAnsi" w:cs="Courier New"/>
          <w:lang w:eastAsia="it-IT"/>
        </w:rPr>
        <w:t>etexilato</w:t>
      </w:r>
      <w:proofErr w:type="spellEnd"/>
      <w:r w:rsidR="00987DE1" w:rsidRPr="00F3099A">
        <w:rPr>
          <w:rFonts w:asciiTheme="minorHAnsi" w:eastAsia="Times New Roman" w:hAnsiTheme="minorHAnsi" w:cs="Courier New"/>
          <w:lang w:eastAsia="it-IT"/>
        </w:rPr>
        <w:t xml:space="preserve"> </w:t>
      </w:r>
      <w:r w:rsidR="00987DE1" w:rsidRPr="00F3099A">
        <w:rPr>
          <w:rFonts w:asciiTheme="minorHAnsi" w:hAnsiTheme="minorHAnsi" w:cs="BISansNEXTCond-Bold"/>
          <w:bCs/>
          <w:i/>
        </w:rPr>
        <w:t xml:space="preserve">in associazione con un solo antiaggregante, </w:t>
      </w:r>
      <w:r w:rsidRPr="00F3099A">
        <w:rPr>
          <w:rFonts w:asciiTheme="minorHAnsi" w:eastAsia="Times New Roman" w:hAnsiTheme="minorHAnsi" w:cs="Courier New"/>
          <w:lang w:eastAsia="it-IT"/>
        </w:rPr>
        <w:t xml:space="preserve">senza </w:t>
      </w:r>
      <w:r w:rsidR="00987DE1" w:rsidRPr="00F3099A">
        <w:rPr>
          <w:rFonts w:asciiTheme="minorHAnsi" w:eastAsia="Times New Roman" w:hAnsiTheme="minorHAnsi" w:cs="Courier New"/>
          <w:lang w:eastAsia="it-IT"/>
        </w:rPr>
        <w:t xml:space="preserve">l’utilizzo di </w:t>
      </w:r>
      <w:r w:rsidRPr="00F3099A">
        <w:rPr>
          <w:rFonts w:asciiTheme="minorHAnsi" w:eastAsia="Times New Roman" w:hAnsiTheme="minorHAnsi" w:cs="Courier New"/>
          <w:lang w:eastAsia="it-IT"/>
        </w:rPr>
        <w:t xml:space="preserve">aspirina, in pazienti con </w:t>
      </w:r>
      <w:r w:rsidR="006C1C01" w:rsidRPr="00F3099A">
        <w:rPr>
          <w:rFonts w:asciiTheme="minorHAnsi" w:eastAsia="Times New Roman" w:hAnsiTheme="minorHAnsi" w:cs="Courier New"/>
          <w:lang w:eastAsia="it-IT"/>
        </w:rPr>
        <w:t>fibrillazione a</w:t>
      </w:r>
      <w:r w:rsidRPr="00F3099A">
        <w:rPr>
          <w:rFonts w:asciiTheme="minorHAnsi" w:eastAsia="Times New Roman" w:hAnsiTheme="minorHAnsi" w:cs="Courier New"/>
          <w:lang w:eastAsia="it-IT"/>
        </w:rPr>
        <w:t xml:space="preserve">triale non valvolare </w:t>
      </w:r>
      <w:r w:rsidR="00C71170" w:rsidRPr="00F3099A">
        <w:rPr>
          <w:rFonts w:asciiTheme="minorHAnsi" w:eastAsia="Times New Roman" w:hAnsiTheme="minorHAnsi" w:cs="Courier New"/>
          <w:lang w:eastAsia="it-IT"/>
        </w:rPr>
        <w:t>dopo</w:t>
      </w:r>
      <w:r w:rsidR="00472C99" w:rsidRPr="00F3099A">
        <w:rPr>
          <w:rFonts w:asciiTheme="minorHAnsi" w:eastAsia="Times New Roman" w:hAnsiTheme="minorHAnsi" w:cs="Courier New"/>
          <w:lang w:eastAsia="it-IT"/>
        </w:rPr>
        <w:t xml:space="preserve"> una angioplastica coronarica con</w:t>
      </w:r>
      <w:r w:rsidR="0019717F" w:rsidRPr="00F3099A">
        <w:rPr>
          <w:rFonts w:asciiTheme="minorHAnsi" w:eastAsia="Times New Roman" w:hAnsiTheme="minorHAnsi" w:cs="Courier New"/>
          <w:lang w:eastAsia="it-IT"/>
        </w:rPr>
        <w:t xml:space="preserve"> inserimento di </w:t>
      </w:r>
      <w:proofErr w:type="spellStart"/>
      <w:r w:rsidRPr="00F3099A">
        <w:rPr>
          <w:rFonts w:asciiTheme="minorHAnsi" w:eastAsia="Times New Roman" w:hAnsiTheme="minorHAnsi" w:cs="Courier New"/>
          <w:lang w:eastAsia="it-IT"/>
        </w:rPr>
        <w:t>stent</w:t>
      </w:r>
      <w:proofErr w:type="spellEnd"/>
      <w:r w:rsidRPr="00F3099A">
        <w:rPr>
          <w:rFonts w:asciiTheme="minorHAnsi" w:eastAsia="Times New Roman" w:hAnsiTheme="minorHAnsi" w:cs="Courier New"/>
          <w:lang w:eastAsia="it-IT"/>
        </w:rPr>
        <w:t>.</w:t>
      </w:r>
    </w:p>
    <w:p w:rsidR="00C71170" w:rsidRPr="00F3099A" w:rsidRDefault="00C71170" w:rsidP="009A0B13">
      <w:pPr>
        <w:spacing w:after="0" w:line="283" w:lineRule="atLeast"/>
        <w:jc w:val="both"/>
        <w:rPr>
          <w:rFonts w:asciiTheme="minorHAnsi" w:eastAsia="Times New Roman" w:hAnsiTheme="minorHAnsi" w:cs="Courier New"/>
          <w:lang w:eastAsia="it-IT"/>
        </w:rPr>
      </w:pPr>
    </w:p>
    <w:p w:rsidR="009A0B13" w:rsidRPr="00F3099A" w:rsidRDefault="00C71170" w:rsidP="009A0B13">
      <w:pPr>
        <w:spacing w:after="0" w:line="283" w:lineRule="atLeast"/>
        <w:jc w:val="both"/>
        <w:rPr>
          <w:rFonts w:asciiTheme="minorHAnsi" w:eastAsia="Times New Roman" w:hAnsiTheme="minorHAnsi" w:cs="Courier New"/>
          <w:lang w:eastAsia="it-IT"/>
        </w:rPr>
      </w:pPr>
      <w:r w:rsidRPr="00F3099A">
        <w:rPr>
          <w:rFonts w:asciiTheme="minorHAnsi" w:eastAsia="Times New Roman" w:hAnsiTheme="minorHAnsi" w:cs="Courier New"/>
          <w:lang w:eastAsia="it-IT"/>
        </w:rPr>
        <w:t xml:space="preserve">La duplice terapia con </w:t>
      </w:r>
      <w:proofErr w:type="spellStart"/>
      <w:r w:rsidRPr="00F3099A">
        <w:rPr>
          <w:rFonts w:asciiTheme="minorHAnsi" w:eastAsia="Times New Roman" w:hAnsiTheme="minorHAnsi" w:cs="Courier New"/>
          <w:lang w:eastAsia="it-IT"/>
        </w:rPr>
        <w:t>dabigatran</w:t>
      </w:r>
      <w:proofErr w:type="spellEnd"/>
      <w:r w:rsidRPr="00F3099A">
        <w:rPr>
          <w:rFonts w:asciiTheme="minorHAnsi" w:eastAsia="Times New Roman" w:hAnsiTheme="minorHAnsi" w:cs="Courier New"/>
          <w:lang w:eastAsia="it-IT"/>
        </w:rPr>
        <w:t xml:space="preserve"> </w:t>
      </w:r>
      <w:proofErr w:type="spellStart"/>
      <w:r w:rsidRPr="00F3099A">
        <w:rPr>
          <w:rFonts w:asciiTheme="minorHAnsi" w:eastAsia="Times New Roman" w:hAnsiTheme="minorHAnsi" w:cs="Courier New"/>
          <w:lang w:eastAsia="it-IT"/>
        </w:rPr>
        <w:t>etexilato</w:t>
      </w:r>
      <w:proofErr w:type="spellEnd"/>
      <w:r w:rsidRPr="00F3099A">
        <w:rPr>
          <w:rFonts w:asciiTheme="minorHAnsi" w:eastAsia="Times New Roman" w:hAnsiTheme="minorHAnsi" w:cs="Courier New"/>
          <w:lang w:eastAsia="it-IT"/>
        </w:rPr>
        <w:t>, rispetto alla triplice terapia con warfarin, ha di</w:t>
      </w:r>
      <w:r w:rsidR="009A0B13" w:rsidRPr="00F3099A">
        <w:rPr>
          <w:rFonts w:asciiTheme="minorHAnsi" w:eastAsia="Times New Roman" w:hAnsiTheme="minorHAnsi" w:cs="Courier New"/>
          <w:lang w:eastAsia="it-IT"/>
        </w:rPr>
        <w:t>mostrato</w:t>
      </w:r>
      <w:r w:rsidRPr="00F3099A">
        <w:rPr>
          <w:rFonts w:asciiTheme="minorHAnsi" w:eastAsia="Times New Roman" w:hAnsiTheme="minorHAnsi" w:cs="Courier New"/>
          <w:lang w:eastAsia="it-IT"/>
        </w:rPr>
        <w:t xml:space="preserve"> una</w:t>
      </w:r>
      <w:r w:rsidR="009A0B13" w:rsidRPr="00F3099A">
        <w:rPr>
          <w:rFonts w:asciiTheme="minorHAnsi" w:eastAsia="Times New Roman" w:hAnsiTheme="minorHAnsi" w:cs="Courier New"/>
          <w:lang w:eastAsia="it-IT"/>
        </w:rPr>
        <w:t xml:space="preserve"> </w:t>
      </w:r>
      <w:r w:rsidRPr="00F3099A">
        <w:rPr>
          <w:rFonts w:asciiTheme="minorHAnsi" w:eastAsia="Times New Roman" w:hAnsiTheme="minorHAnsi" w:cs="Courier New"/>
          <w:lang w:eastAsia="it-IT"/>
        </w:rPr>
        <w:t xml:space="preserve">incidenza significativamente più bassa sia </w:t>
      </w:r>
      <w:r w:rsidR="006C1C01" w:rsidRPr="00F3099A">
        <w:rPr>
          <w:rFonts w:asciiTheme="minorHAnsi" w:eastAsia="Times New Roman" w:hAnsiTheme="minorHAnsi" w:cs="Courier New"/>
          <w:lang w:eastAsia="it-IT"/>
        </w:rPr>
        <w:t xml:space="preserve">di </w:t>
      </w:r>
      <w:r w:rsidRPr="00F3099A">
        <w:rPr>
          <w:rFonts w:asciiTheme="minorHAnsi" w:eastAsia="Times New Roman" w:hAnsiTheme="minorHAnsi" w:cs="Courier New"/>
          <w:lang w:eastAsia="it-IT"/>
        </w:rPr>
        <w:t>sanguinamenti maggiori sia dei</w:t>
      </w:r>
      <w:r w:rsidR="006C1C01" w:rsidRPr="00F3099A">
        <w:rPr>
          <w:rFonts w:asciiTheme="minorHAnsi" w:eastAsia="Times New Roman" w:hAnsiTheme="minorHAnsi" w:cs="Courier New"/>
          <w:lang w:eastAsia="it-IT"/>
        </w:rPr>
        <w:t xml:space="preserve"> </w:t>
      </w:r>
      <w:r w:rsidR="00581945" w:rsidRPr="00F3099A">
        <w:rPr>
          <w:rFonts w:asciiTheme="minorHAnsi" w:eastAsia="Times New Roman" w:hAnsiTheme="minorHAnsi" w:cs="Courier New"/>
          <w:lang w:eastAsia="it-IT"/>
        </w:rPr>
        <w:t xml:space="preserve">minori </w:t>
      </w:r>
      <w:r w:rsidR="006C1C01" w:rsidRPr="00F3099A">
        <w:rPr>
          <w:rFonts w:asciiTheme="minorHAnsi" w:eastAsia="Times New Roman" w:hAnsiTheme="minorHAnsi" w:cs="Courier New"/>
          <w:lang w:eastAsia="it-IT"/>
        </w:rPr>
        <w:t>clinicamente rilevanti</w:t>
      </w:r>
      <w:r w:rsidRPr="00F3099A">
        <w:rPr>
          <w:rFonts w:asciiTheme="minorHAnsi" w:eastAsia="Times New Roman" w:hAnsiTheme="minorHAnsi" w:cs="Courier New"/>
          <w:lang w:eastAsia="it-IT"/>
        </w:rPr>
        <w:t>.</w:t>
      </w:r>
      <w:r w:rsidR="009A0B13" w:rsidRPr="00F3099A">
        <w:rPr>
          <w:rFonts w:asciiTheme="minorHAnsi" w:eastAsia="Times New Roman" w:hAnsiTheme="minorHAnsi" w:cs="Courier New"/>
          <w:vertAlign w:val="superscript"/>
          <w:lang w:eastAsia="it-IT"/>
        </w:rPr>
        <w:t>1,2</w:t>
      </w:r>
      <w:r w:rsidR="009A0B13" w:rsidRPr="00F3099A">
        <w:rPr>
          <w:rFonts w:asciiTheme="minorHAnsi" w:eastAsia="Times New Roman" w:hAnsiTheme="minorHAnsi" w:cs="Courier New"/>
          <w:lang w:eastAsia="it-IT"/>
        </w:rPr>
        <w:t xml:space="preserve"> </w:t>
      </w:r>
    </w:p>
    <w:p w:rsidR="009A0B13" w:rsidRPr="00F3099A" w:rsidRDefault="009A0B13" w:rsidP="009A0B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lang w:eastAsia="it-IT"/>
        </w:rPr>
      </w:pPr>
    </w:p>
    <w:p w:rsidR="00062C72" w:rsidRPr="00F3099A" w:rsidRDefault="00C71170" w:rsidP="009A0B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lang w:eastAsia="it-IT"/>
        </w:rPr>
      </w:pPr>
      <w:r w:rsidRPr="00F3099A">
        <w:rPr>
          <w:rFonts w:asciiTheme="minorHAnsi" w:eastAsia="Times New Roman" w:hAnsiTheme="minorHAnsi" w:cs="Courier New"/>
          <w:lang w:eastAsia="it-IT"/>
        </w:rPr>
        <w:t>I</w:t>
      </w:r>
      <w:r w:rsidR="009A0B13" w:rsidRPr="00F3099A">
        <w:rPr>
          <w:rFonts w:asciiTheme="minorHAnsi" w:eastAsia="Times New Roman" w:hAnsiTheme="minorHAnsi" w:cs="Courier New"/>
          <w:lang w:eastAsia="it-IT"/>
        </w:rPr>
        <w:t xml:space="preserve">l rischio </w:t>
      </w:r>
      <w:r w:rsidRPr="00F3099A">
        <w:rPr>
          <w:rFonts w:asciiTheme="minorHAnsi" w:eastAsia="Times New Roman" w:hAnsiTheme="minorHAnsi" w:cs="Courier New"/>
          <w:lang w:eastAsia="it-IT"/>
        </w:rPr>
        <w:t>relativo di sanguinamento, l'</w:t>
      </w:r>
      <w:proofErr w:type="spellStart"/>
      <w:r w:rsidRPr="00F3099A">
        <w:rPr>
          <w:rFonts w:asciiTheme="minorHAnsi" w:eastAsia="Times New Roman" w:hAnsiTheme="minorHAnsi" w:cs="Courier New"/>
          <w:lang w:eastAsia="it-IT"/>
        </w:rPr>
        <w:t>endpoint</w:t>
      </w:r>
      <w:proofErr w:type="spellEnd"/>
      <w:r w:rsidRPr="00F3099A">
        <w:rPr>
          <w:rFonts w:asciiTheme="minorHAnsi" w:eastAsia="Times New Roman" w:hAnsiTheme="minorHAnsi" w:cs="Courier New"/>
          <w:lang w:eastAsia="it-IT"/>
        </w:rPr>
        <w:t xml:space="preserve"> primario di sicurezza, rispetto a warfarin in triplice terapia, </w:t>
      </w:r>
      <w:r w:rsidR="005A3C83" w:rsidRPr="00F3099A">
        <w:rPr>
          <w:rFonts w:asciiTheme="minorHAnsi" w:eastAsia="Times New Roman" w:hAnsiTheme="minorHAnsi" w:cs="Courier New"/>
          <w:lang w:eastAsia="it-IT"/>
        </w:rPr>
        <w:t xml:space="preserve">è stato </w:t>
      </w:r>
      <w:r w:rsidR="009A0B13" w:rsidRPr="00F3099A">
        <w:rPr>
          <w:rFonts w:asciiTheme="minorHAnsi" w:eastAsia="Times New Roman" w:hAnsiTheme="minorHAnsi" w:cs="Courier New"/>
          <w:lang w:eastAsia="it-IT"/>
        </w:rPr>
        <w:t xml:space="preserve">inferiore del 48% con </w:t>
      </w:r>
      <w:proofErr w:type="spellStart"/>
      <w:r w:rsidRPr="00F3099A">
        <w:rPr>
          <w:rFonts w:asciiTheme="minorHAnsi" w:eastAsia="Times New Roman" w:hAnsiTheme="minorHAnsi" w:cs="Courier New"/>
          <w:lang w:eastAsia="it-IT"/>
        </w:rPr>
        <w:lastRenderedPageBreak/>
        <w:t>dabigatran</w:t>
      </w:r>
      <w:proofErr w:type="spellEnd"/>
      <w:r w:rsidRPr="00F3099A">
        <w:rPr>
          <w:rFonts w:asciiTheme="minorHAnsi" w:eastAsia="Times New Roman" w:hAnsiTheme="minorHAnsi" w:cs="Courier New"/>
          <w:lang w:eastAsia="it-IT"/>
        </w:rPr>
        <w:t xml:space="preserve"> </w:t>
      </w:r>
      <w:proofErr w:type="spellStart"/>
      <w:r w:rsidRPr="00F3099A">
        <w:rPr>
          <w:rFonts w:asciiTheme="minorHAnsi" w:eastAsia="Times New Roman" w:hAnsiTheme="minorHAnsi" w:cs="Courier New"/>
          <w:lang w:eastAsia="it-IT"/>
        </w:rPr>
        <w:t>etexilato</w:t>
      </w:r>
      <w:proofErr w:type="spellEnd"/>
      <w:r w:rsidRPr="00F3099A">
        <w:rPr>
          <w:rFonts w:asciiTheme="minorHAnsi" w:eastAsia="Times New Roman" w:hAnsiTheme="minorHAnsi" w:cs="Courier New"/>
          <w:lang w:eastAsia="it-IT"/>
        </w:rPr>
        <w:t xml:space="preserve"> 110 mg </w:t>
      </w:r>
      <w:r w:rsidR="009A0B13" w:rsidRPr="00F3099A">
        <w:rPr>
          <w:rFonts w:asciiTheme="minorHAnsi" w:eastAsia="Times New Roman" w:hAnsiTheme="minorHAnsi" w:cs="Courier New"/>
          <w:lang w:eastAsia="it-IT"/>
        </w:rPr>
        <w:t xml:space="preserve">e del 28% </w:t>
      </w:r>
      <w:r w:rsidRPr="00F3099A">
        <w:rPr>
          <w:rFonts w:asciiTheme="minorHAnsi" w:eastAsia="Times New Roman" w:hAnsiTheme="minorHAnsi" w:cs="Courier New"/>
          <w:lang w:eastAsia="it-IT"/>
        </w:rPr>
        <w:t xml:space="preserve">con </w:t>
      </w:r>
      <w:proofErr w:type="spellStart"/>
      <w:r w:rsidRPr="00F3099A">
        <w:rPr>
          <w:rFonts w:asciiTheme="minorHAnsi" w:eastAsia="Times New Roman" w:hAnsiTheme="minorHAnsi" w:cs="Courier New"/>
          <w:lang w:eastAsia="it-IT"/>
        </w:rPr>
        <w:t>dabigatran</w:t>
      </w:r>
      <w:proofErr w:type="spellEnd"/>
      <w:r w:rsidRPr="00F3099A">
        <w:rPr>
          <w:rFonts w:asciiTheme="minorHAnsi" w:eastAsia="Times New Roman" w:hAnsiTheme="minorHAnsi" w:cs="Courier New"/>
          <w:lang w:eastAsia="it-IT"/>
        </w:rPr>
        <w:t xml:space="preserve"> </w:t>
      </w:r>
      <w:proofErr w:type="spellStart"/>
      <w:r w:rsidRPr="00F3099A">
        <w:rPr>
          <w:rFonts w:asciiTheme="minorHAnsi" w:eastAsia="Times New Roman" w:hAnsiTheme="minorHAnsi" w:cs="Courier New"/>
          <w:lang w:eastAsia="it-IT"/>
        </w:rPr>
        <w:t>etexilato</w:t>
      </w:r>
      <w:proofErr w:type="spellEnd"/>
      <w:r w:rsidRPr="00F3099A">
        <w:rPr>
          <w:rFonts w:asciiTheme="minorHAnsi" w:eastAsia="Times New Roman" w:hAnsiTheme="minorHAnsi" w:cs="Courier New"/>
          <w:lang w:eastAsia="it-IT"/>
        </w:rPr>
        <w:t xml:space="preserve"> 150 mg, ciascun dosaggio utilizzato in associazione ad un solo antiaggregante senza aspir</w:t>
      </w:r>
      <w:r w:rsidR="00F3099A">
        <w:rPr>
          <w:rFonts w:asciiTheme="minorHAnsi" w:eastAsia="Times New Roman" w:hAnsiTheme="minorHAnsi" w:cs="Courier New"/>
          <w:lang w:eastAsia="it-IT"/>
        </w:rPr>
        <w:t>i</w:t>
      </w:r>
      <w:r w:rsidRPr="00F3099A">
        <w:rPr>
          <w:rFonts w:asciiTheme="minorHAnsi" w:eastAsia="Times New Roman" w:hAnsiTheme="minorHAnsi" w:cs="Courier New"/>
          <w:lang w:eastAsia="it-IT"/>
        </w:rPr>
        <w:t>na</w:t>
      </w:r>
      <w:r w:rsidR="00062C72" w:rsidRPr="00F3099A">
        <w:rPr>
          <w:rFonts w:asciiTheme="minorHAnsi" w:eastAsia="Times New Roman" w:hAnsiTheme="minorHAnsi" w:cs="Courier New"/>
          <w:lang w:eastAsia="it-IT"/>
        </w:rPr>
        <w:t>,</w:t>
      </w:r>
      <w:r w:rsidR="009A0B13" w:rsidRPr="00F3099A">
        <w:rPr>
          <w:rFonts w:asciiTheme="minorHAnsi" w:eastAsia="Times New Roman" w:hAnsiTheme="minorHAnsi" w:cs="Courier New"/>
          <w:lang w:eastAsia="it-IT"/>
        </w:rPr>
        <w:t xml:space="preserve"> con </w:t>
      </w:r>
      <w:r w:rsidR="005A3C83" w:rsidRPr="00F3099A">
        <w:rPr>
          <w:rFonts w:asciiTheme="minorHAnsi" w:eastAsia="Times New Roman" w:hAnsiTheme="minorHAnsi" w:cs="Courier New"/>
          <w:lang w:eastAsia="it-IT"/>
        </w:rPr>
        <w:t xml:space="preserve">un dato sovrapponibile per incidenza degli </w:t>
      </w:r>
      <w:r w:rsidR="009A0B13" w:rsidRPr="00F3099A">
        <w:rPr>
          <w:rFonts w:asciiTheme="minorHAnsi" w:eastAsia="Times New Roman" w:hAnsiTheme="minorHAnsi" w:cs="Courier New"/>
          <w:lang w:eastAsia="it-IT"/>
        </w:rPr>
        <w:t>eventi tromboembolici complessivi</w:t>
      </w:r>
      <w:r w:rsidR="00062C72" w:rsidRPr="00F3099A">
        <w:rPr>
          <w:rFonts w:asciiTheme="minorHAnsi" w:eastAsia="Times New Roman" w:hAnsiTheme="minorHAnsi" w:cs="Courier New"/>
          <w:lang w:eastAsia="it-IT"/>
        </w:rPr>
        <w:t>.</w:t>
      </w:r>
    </w:p>
    <w:p w:rsidR="00062C72" w:rsidRPr="00F3099A" w:rsidRDefault="00062C72" w:rsidP="009A0B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lang w:eastAsia="it-IT"/>
        </w:rPr>
      </w:pPr>
    </w:p>
    <w:p w:rsidR="009A0B13" w:rsidRDefault="009A0B13" w:rsidP="00F309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trike/>
          <w:lang w:eastAsia="it-IT"/>
        </w:rPr>
      </w:pPr>
      <w:r w:rsidRPr="00F3099A">
        <w:rPr>
          <w:rFonts w:asciiTheme="minorHAnsi" w:eastAsia="Times New Roman" w:hAnsiTheme="minorHAnsi" w:cs="Courier New"/>
          <w:lang w:eastAsia="it-IT"/>
        </w:rPr>
        <w:t xml:space="preserve">Entrambe le dosi di </w:t>
      </w:r>
      <w:proofErr w:type="spellStart"/>
      <w:r w:rsidRPr="00F3099A">
        <w:rPr>
          <w:rFonts w:asciiTheme="minorHAnsi" w:eastAsia="Times New Roman" w:hAnsiTheme="minorHAnsi" w:cs="Courier New"/>
          <w:lang w:eastAsia="it-IT"/>
        </w:rPr>
        <w:t>dabigatran</w:t>
      </w:r>
      <w:proofErr w:type="spellEnd"/>
      <w:r w:rsidRPr="00F3099A">
        <w:rPr>
          <w:rFonts w:asciiTheme="minorHAnsi" w:eastAsia="Times New Roman" w:hAnsiTheme="minorHAnsi" w:cs="Courier New"/>
          <w:lang w:eastAsia="it-IT"/>
        </w:rPr>
        <w:t xml:space="preserve"> </w:t>
      </w:r>
      <w:proofErr w:type="spellStart"/>
      <w:r w:rsidRPr="00F3099A">
        <w:rPr>
          <w:rFonts w:asciiTheme="minorHAnsi" w:eastAsia="Times New Roman" w:hAnsiTheme="minorHAnsi" w:cs="Courier New"/>
          <w:lang w:eastAsia="it-IT"/>
        </w:rPr>
        <w:t>etexilato</w:t>
      </w:r>
      <w:proofErr w:type="spellEnd"/>
      <w:r w:rsidR="00062C72" w:rsidRPr="00F3099A">
        <w:rPr>
          <w:rFonts w:asciiTheme="minorHAnsi" w:eastAsia="Times New Roman" w:hAnsiTheme="minorHAnsi" w:cs="Courier New"/>
          <w:lang w:eastAsia="it-IT"/>
        </w:rPr>
        <w:t xml:space="preserve"> utilizzate nello studio RE-DUAL PCI</w:t>
      </w:r>
      <w:r w:rsidRPr="00F3099A">
        <w:rPr>
          <w:rFonts w:asciiTheme="minorHAnsi" w:eastAsia="Times New Roman" w:hAnsiTheme="minorHAnsi" w:cs="Courier New"/>
          <w:lang w:eastAsia="it-IT"/>
        </w:rPr>
        <w:t xml:space="preserve"> sono </w:t>
      </w:r>
      <w:r w:rsidR="00062C72" w:rsidRPr="00F3099A">
        <w:rPr>
          <w:rFonts w:asciiTheme="minorHAnsi" w:eastAsia="Times New Roman" w:hAnsiTheme="minorHAnsi" w:cs="Courier New"/>
          <w:lang w:eastAsia="it-IT"/>
        </w:rPr>
        <w:t>le stesse</w:t>
      </w:r>
      <w:r w:rsidRPr="00F3099A">
        <w:rPr>
          <w:rFonts w:asciiTheme="minorHAnsi" w:eastAsia="Times New Roman" w:hAnsiTheme="minorHAnsi" w:cs="Courier New"/>
          <w:lang w:eastAsia="it-IT"/>
        </w:rPr>
        <w:t xml:space="preserve"> approvate dalle </w:t>
      </w:r>
      <w:r w:rsidR="005A3C83" w:rsidRPr="00F3099A">
        <w:rPr>
          <w:rFonts w:asciiTheme="minorHAnsi" w:eastAsia="Times New Roman" w:hAnsiTheme="minorHAnsi" w:cs="Courier New"/>
          <w:lang w:eastAsia="it-IT"/>
        </w:rPr>
        <w:t>a</w:t>
      </w:r>
      <w:r w:rsidRPr="00F3099A">
        <w:rPr>
          <w:rFonts w:asciiTheme="minorHAnsi" w:eastAsia="Times New Roman" w:hAnsiTheme="minorHAnsi" w:cs="Courier New"/>
          <w:lang w:eastAsia="it-IT"/>
        </w:rPr>
        <w:t xml:space="preserve">utorità regolatorie in </w:t>
      </w:r>
      <w:r w:rsidR="00062C72" w:rsidRPr="00F3099A">
        <w:rPr>
          <w:rFonts w:asciiTheme="minorHAnsi" w:eastAsia="Times New Roman" w:hAnsiTheme="minorHAnsi" w:cs="Courier New"/>
          <w:lang w:eastAsia="it-IT"/>
        </w:rPr>
        <w:t xml:space="preserve">Europa </w:t>
      </w:r>
      <w:r w:rsidRPr="00F3099A">
        <w:rPr>
          <w:rFonts w:asciiTheme="minorHAnsi" w:eastAsia="Times New Roman" w:hAnsiTheme="minorHAnsi" w:cs="Courier New"/>
          <w:lang w:eastAsia="it-IT"/>
        </w:rPr>
        <w:t xml:space="preserve">per la prevenzione dell'ictus in </w:t>
      </w:r>
      <w:r w:rsidR="005A3C83" w:rsidRPr="00F3099A">
        <w:rPr>
          <w:rFonts w:asciiTheme="minorHAnsi" w:eastAsia="Times New Roman" w:hAnsiTheme="minorHAnsi" w:cs="Courier New"/>
          <w:lang w:eastAsia="it-IT"/>
        </w:rPr>
        <w:t>pazienti con fibrillazione a</w:t>
      </w:r>
      <w:r w:rsidRPr="00F3099A">
        <w:rPr>
          <w:rFonts w:asciiTheme="minorHAnsi" w:eastAsia="Times New Roman" w:hAnsiTheme="minorHAnsi" w:cs="Courier New"/>
          <w:lang w:eastAsia="it-IT"/>
        </w:rPr>
        <w:t>triale</w:t>
      </w:r>
      <w:r w:rsidR="00062C72" w:rsidRPr="00F3099A">
        <w:rPr>
          <w:rFonts w:asciiTheme="minorHAnsi" w:eastAsia="Times New Roman" w:hAnsiTheme="minorHAnsi" w:cs="Courier New"/>
          <w:lang w:eastAsia="it-IT"/>
        </w:rPr>
        <w:t xml:space="preserve"> non valvolare</w:t>
      </w:r>
      <w:r w:rsidRPr="00F3099A">
        <w:rPr>
          <w:rFonts w:asciiTheme="minorHAnsi" w:eastAsia="Times New Roman" w:hAnsiTheme="minorHAnsi" w:cs="Courier New"/>
          <w:lang w:eastAsia="it-IT"/>
        </w:rPr>
        <w:t xml:space="preserve">. </w:t>
      </w:r>
    </w:p>
    <w:p w:rsidR="00F3099A" w:rsidRDefault="00F3099A" w:rsidP="00F309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trike/>
          <w:lang w:eastAsia="it-IT"/>
        </w:rPr>
      </w:pPr>
    </w:p>
    <w:p w:rsidR="009A0B13" w:rsidRPr="00F3099A" w:rsidRDefault="009A0B13" w:rsidP="009A0B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lang w:eastAsia="it-IT"/>
        </w:rPr>
      </w:pPr>
      <w:r w:rsidRPr="00F3099A">
        <w:rPr>
          <w:rFonts w:asciiTheme="minorHAnsi" w:eastAsia="Times New Roman" w:hAnsiTheme="minorHAnsi" w:cs="Courier New"/>
          <w:lang w:eastAsia="it-IT"/>
        </w:rPr>
        <w:t xml:space="preserve">Circa il 20-30% dei pazienti affetti da </w:t>
      </w:r>
      <w:r w:rsidR="005A3C83" w:rsidRPr="00F3099A">
        <w:rPr>
          <w:rFonts w:asciiTheme="minorHAnsi" w:eastAsia="Times New Roman" w:hAnsiTheme="minorHAnsi" w:cs="Courier New"/>
          <w:lang w:eastAsia="it-IT"/>
        </w:rPr>
        <w:t>fibrillazione a</w:t>
      </w:r>
      <w:r w:rsidRPr="00F3099A">
        <w:rPr>
          <w:rFonts w:asciiTheme="minorHAnsi" w:eastAsia="Times New Roman" w:hAnsiTheme="minorHAnsi" w:cs="Courier New"/>
          <w:lang w:eastAsia="it-IT"/>
        </w:rPr>
        <w:t>triale</w:t>
      </w:r>
      <w:r w:rsidR="005A3C83" w:rsidRPr="00F3099A">
        <w:rPr>
          <w:rFonts w:asciiTheme="minorHAnsi" w:eastAsia="Times New Roman" w:hAnsiTheme="minorHAnsi" w:cs="Courier New"/>
          <w:lang w:eastAsia="it-IT"/>
        </w:rPr>
        <w:t>,</w:t>
      </w:r>
      <w:r w:rsidRPr="00F3099A">
        <w:rPr>
          <w:rFonts w:asciiTheme="minorHAnsi" w:eastAsia="Times New Roman" w:hAnsiTheme="minorHAnsi" w:cs="Courier New"/>
          <w:lang w:eastAsia="it-IT"/>
        </w:rPr>
        <w:t xml:space="preserve"> </w:t>
      </w:r>
      <w:r w:rsidR="00062C72" w:rsidRPr="00F3099A">
        <w:rPr>
          <w:rFonts w:asciiTheme="minorHAnsi" w:eastAsia="Times New Roman" w:hAnsiTheme="minorHAnsi" w:cs="Courier New"/>
          <w:lang w:eastAsia="it-IT"/>
        </w:rPr>
        <w:t xml:space="preserve">in trattamento con </w:t>
      </w:r>
      <w:r w:rsidRPr="00F3099A">
        <w:rPr>
          <w:rFonts w:asciiTheme="minorHAnsi" w:eastAsia="Times New Roman" w:hAnsiTheme="minorHAnsi" w:cs="Courier New"/>
          <w:lang w:eastAsia="it-IT"/>
        </w:rPr>
        <w:t>un anticoagulante orale per ridurre il rischio di ictus</w:t>
      </w:r>
      <w:r w:rsidR="005A3C83" w:rsidRPr="00F3099A">
        <w:rPr>
          <w:rFonts w:asciiTheme="minorHAnsi" w:eastAsia="Times New Roman" w:hAnsiTheme="minorHAnsi" w:cs="Courier New"/>
          <w:lang w:eastAsia="it-IT"/>
        </w:rPr>
        <w:t>,</w:t>
      </w:r>
      <w:r w:rsidRPr="00F3099A">
        <w:rPr>
          <w:rFonts w:asciiTheme="minorHAnsi" w:eastAsia="Times New Roman" w:hAnsiTheme="minorHAnsi" w:cs="Courier New"/>
          <w:lang w:eastAsia="it-IT"/>
        </w:rPr>
        <w:t xml:space="preserve"> presentano </w:t>
      </w:r>
      <w:r w:rsidR="005A3C83" w:rsidRPr="00F3099A">
        <w:rPr>
          <w:rFonts w:asciiTheme="minorHAnsi" w:eastAsia="Times New Roman" w:hAnsiTheme="minorHAnsi" w:cs="Courier New"/>
          <w:lang w:eastAsia="it-IT"/>
        </w:rPr>
        <w:t xml:space="preserve">patologie </w:t>
      </w:r>
      <w:r w:rsidRPr="00F3099A">
        <w:rPr>
          <w:rFonts w:asciiTheme="minorHAnsi" w:eastAsia="Times New Roman" w:hAnsiTheme="minorHAnsi" w:cs="Courier New"/>
          <w:lang w:eastAsia="it-IT"/>
        </w:rPr>
        <w:t>coronariche</w:t>
      </w:r>
      <w:r w:rsidR="005A3C83" w:rsidRPr="00F3099A">
        <w:rPr>
          <w:rFonts w:asciiTheme="minorHAnsi" w:eastAsia="Times New Roman" w:hAnsiTheme="minorHAnsi" w:cs="Courier New"/>
          <w:lang w:eastAsia="it-IT"/>
        </w:rPr>
        <w:t xml:space="preserve"> concomitanti</w:t>
      </w:r>
      <w:r w:rsidRPr="00F3099A">
        <w:rPr>
          <w:rFonts w:asciiTheme="minorHAnsi" w:eastAsia="Times New Roman" w:hAnsiTheme="minorHAnsi" w:cs="Courier New"/>
          <w:lang w:eastAsia="it-IT"/>
        </w:rPr>
        <w:t xml:space="preserve"> che possono richiedere un</w:t>
      </w:r>
      <w:r w:rsidR="00E664C6" w:rsidRPr="00F3099A">
        <w:rPr>
          <w:rFonts w:asciiTheme="minorHAnsi" w:eastAsia="Times New Roman" w:hAnsiTheme="minorHAnsi" w:cs="Courier New"/>
          <w:lang w:eastAsia="it-IT"/>
        </w:rPr>
        <w:t>’angioplastica</w:t>
      </w:r>
      <w:r w:rsidR="0019717F" w:rsidRPr="00F3099A">
        <w:rPr>
          <w:rFonts w:asciiTheme="minorHAnsi" w:eastAsia="Times New Roman" w:hAnsiTheme="minorHAnsi" w:cs="Courier New"/>
          <w:lang w:eastAsia="it-IT"/>
        </w:rPr>
        <w:t xml:space="preserve"> con l’inserimento di</w:t>
      </w:r>
      <w:r w:rsidRPr="00F3099A">
        <w:rPr>
          <w:rFonts w:asciiTheme="minorHAnsi" w:eastAsia="Times New Roman" w:hAnsiTheme="minorHAnsi" w:cs="Courier New"/>
          <w:lang w:eastAsia="it-IT"/>
        </w:rPr>
        <w:t xml:space="preserve"> </w:t>
      </w:r>
      <w:proofErr w:type="spellStart"/>
      <w:r w:rsidRPr="00F3099A">
        <w:rPr>
          <w:rFonts w:asciiTheme="minorHAnsi" w:eastAsia="Times New Roman" w:hAnsiTheme="minorHAnsi" w:cs="Courier New"/>
          <w:lang w:eastAsia="it-IT"/>
        </w:rPr>
        <w:t>stent</w:t>
      </w:r>
      <w:proofErr w:type="spellEnd"/>
      <w:r w:rsidRPr="00F3099A">
        <w:rPr>
          <w:rFonts w:asciiTheme="minorHAnsi" w:eastAsia="Times New Roman" w:hAnsiTheme="minorHAnsi" w:cs="Courier New"/>
          <w:lang w:eastAsia="it-IT"/>
        </w:rPr>
        <w:t xml:space="preserve"> per migliorare il flusso del sangue al cuore. </w:t>
      </w:r>
      <w:r w:rsidR="00062C72" w:rsidRPr="00F3099A">
        <w:rPr>
          <w:rFonts w:asciiTheme="minorHAnsi" w:eastAsia="Times New Roman" w:hAnsiTheme="minorHAnsi" w:cs="Courier New"/>
          <w:lang w:eastAsia="it-IT"/>
        </w:rPr>
        <w:t>I pazienti in trattamento con una</w:t>
      </w:r>
      <w:r w:rsidRPr="00F3099A">
        <w:rPr>
          <w:rFonts w:asciiTheme="minorHAnsi" w:eastAsia="Times New Roman" w:hAnsiTheme="minorHAnsi" w:cs="Courier New"/>
          <w:lang w:eastAsia="it-IT"/>
        </w:rPr>
        <w:t xml:space="preserve"> combinazione</w:t>
      </w:r>
      <w:r w:rsidR="00062C72" w:rsidRPr="00F3099A">
        <w:rPr>
          <w:rFonts w:asciiTheme="minorHAnsi" w:eastAsia="Times New Roman" w:hAnsiTheme="minorHAnsi" w:cs="Courier New"/>
          <w:lang w:eastAsia="it-IT"/>
        </w:rPr>
        <w:t xml:space="preserve"> di </w:t>
      </w:r>
      <w:r w:rsidRPr="00F3099A">
        <w:rPr>
          <w:rFonts w:asciiTheme="minorHAnsi" w:eastAsia="Times New Roman" w:hAnsiTheme="minorHAnsi" w:cs="Courier New"/>
          <w:lang w:eastAsia="it-IT"/>
        </w:rPr>
        <w:t xml:space="preserve">terapie </w:t>
      </w:r>
      <w:r w:rsidR="00062C72" w:rsidRPr="00F3099A">
        <w:rPr>
          <w:rFonts w:asciiTheme="minorHAnsi" w:eastAsia="Times New Roman" w:hAnsiTheme="minorHAnsi" w:cs="Courier New"/>
          <w:lang w:eastAsia="it-IT"/>
        </w:rPr>
        <w:t>antiaggreganti associate al warfarin, “</w:t>
      </w:r>
      <w:r w:rsidRPr="00F3099A">
        <w:rPr>
          <w:rFonts w:asciiTheme="minorHAnsi" w:eastAsia="Times New Roman" w:hAnsiTheme="minorHAnsi" w:cs="Courier New"/>
          <w:lang w:eastAsia="it-IT"/>
        </w:rPr>
        <w:t>triplice terapia</w:t>
      </w:r>
      <w:r w:rsidR="00062C72" w:rsidRPr="00F3099A">
        <w:rPr>
          <w:rFonts w:asciiTheme="minorHAnsi" w:eastAsia="Times New Roman" w:hAnsiTheme="minorHAnsi" w:cs="Courier New"/>
          <w:lang w:eastAsia="it-IT"/>
        </w:rPr>
        <w:t xml:space="preserve">”, sono esposti ad un aumentato rischio </w:t>
      </w:r>
      <w:r w:rsidRPr="00F3099A">
        <w:rPr>
          <w:rFonts w:asciiTheme="minorHAnsi" w:eastAsia="Times New Roman" w:hAnsiTheme="minorHAnsi" w:cs="Courier New"/>
          <w:lang w:eastAsia="it-IT"/>
        </w:rPr>
        <w:t>di sanguinamenti maggiori.</w:t>
      </w:r>
      <w:r w:rsidRPr="00F3099A">
        <w:rPr>
          <w:rFonts w:asciiTheme="minorHAnsi" w:eastAsia="Times New Roman" w:hAnsiTheme="minorHAnsi" w:cs="Courier New"/>
          <w:vertAlign w:val="superscript"/>
          <w:lang w:eastAsia="it-IT"/>
        </w:rPr>
        <w:t>4-7</w:t>
      </w:r>
      <w:r w:rsidRPr="00F3099A">
        <w:rPr>
          <w:rFonts w:asciiTheme="minorHAnsi" w:eastAsia="Times New Roman" w:hAnsiTheme="minorHAnsi" w:cs="Courier New"/>
          <w:lang w:eastAsia="it-IT"/>
        </w:rPr>
        <w:t xml:space="preserve"> </w:t>
      </w:r>
    </w:p>
    <w:p w:rsidR="009A0B13" w:rsidRPr="00F3099A" w:rsidRDefault="009A0B13" w:rsidP="009A0B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lang w:eastAsia="it-IT"/>
        </w:rPr>
      </w:pPr>
    </w:p>
    <w:p w:rsidR="009A0B13" w:rsidRPr="00F3099A" w:rsidRDefault="009A0B13" w:rsidP="009A0B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lang w:eastAsia="it-IT"/>
        </w:rPr>
      </w:pPr>
      <w:r w:rsidRPr="00F3099A">
        <w:rPr>
          <w:rFonts w:asciiTheme="minorHAnsi" w:eastAsia="Times New Roman" w:hAnsiTheme="minorHAnsi" w:cs="Courier New"/>
          <w:lang w:eastAsia="it-IT"/>
        </w:rPr>
        <w:t xml:space="preserve">RE-DUAL PCI ™ ha sperimentato una </w:t>
      </w:r>
      <w:r w:rsidR="00062C72" w:rsidRPr="00F3099A">
        <w:rPr>
          <w:rFonts w:asciiTheme="minorHAnsi" w:eastAsia="Times New Roman" w:hAnsiTheme="minorHAnsi" w:cs="Courier New"/>
          <w:lang w:eastAsia="it-IT"/>
        </w:rPr>
        <w:t>strategia</w:t>
      </w:r>
      <w:r w:rsidRPr="00F3099A">
        <w:rPr>
          <w:rFonts w:asciiTheme="minorHAnsi" w:eastAsia="Times New Roman" w:hAnsiTheme="minorHAnsi" w:cs="Courier New"/>
          <w:lang w:eastAsia="it-IT"/>
        </w:rPr>
        <w:t xml:space="preserve"> alternativa di trattamento: la </w:t>
      </w:r>
      <w:r w:rsidR="00062C72" w:rsidRPr="00F3099A">
        <w:rPr>
          <w:rFonts w:asciiTheme="minorHAnsi" w:eastAsia="Times New Roman" w:hAnsiTheme="minorHAnsi" w:cs="Courier New"/>
          <w:lang w:eastAsia="it-IT"/>
        </w:rPr>
        <w:t>“</w:t>
      </w:r>
      <w:r w:rsidRPr="00F3099A">
        <w:rPr>
          <w:rFonts w:asciiTheme="minorHAnsi" w:eastAsia="Times New Roman" w:hAnsiTheme="minorHAnsi" w:cs="Courier New"/>
          <w:lang w:eastAsia="it-IT"/>
        </w:rPr>
        <w:t>duplice terapia</w:t>
      </w:r>
      <w:r w:rsidR="00062C72" w:rsidRPr="00F3099A">
        <w:rPr>
          <w:rFonts w:asciiTheme="minorHAnsi" w:eastAsia="Times New Roman" w:hAnsiTheme="minorHAnsi" w:cs="Courier New"/>
          <w:lang w:eastAsia="it-IT"/>
        </w:rPr>
        <w:t xml:space="preserve">”, ossia </w:t>
      </w:r>
      <w:proofErr w:type="spellStart"/>
      <w:r w:rsidRPr="00F3099A">
        <w:rPr>
          <w:rFonts w:asciiTheme="minorHAnsi" w:eastAsia="Times New Roman" w:hAnsiTheme="minorHAnsi" w:cs="Courier New"/>
          <w:lang w:eastAsia="it-IT"/>
        </w:rPr>
        <w:t>dabigatran</w:t>
      </w:r>
      <w:proofErr w:type="spellEnd"/>
      <w:r w:rsidRPr="00F3099A">
        <w:rPr>
          <w:rFonts w:asciiTheme="minorHAnsi" w:eastAsia="Times New Roman" w:hAnsiTheme="minorHAnsi" w:cs="Courier New"/>
          <w:lang w:eastAsia="it-IT"/>
        </w:rPr>
        <w:t xml:space="preserve"> </w:t>
      </w:r>
      <w:proofErr w:type="spellStart"/>
      <w:r w:rsidRPr="00F3099A">
        <w:rPr>
          <w:rFonts w:asciiTheme="minorHAnsi" w:eastAsia="Times New Roman" w:hAnsiTheme="minorHAnsi" w:cs="Courier New"/>
          <w:lang w:eastAsia="it-IT"/>
        </w:rPr>
        <w:t>etexilato</w:t>
      </w:r>
      <w:proofErr w:type="spellEnd"/>
      <w:r w:rsidR="00062C72" w:rsidRPr="00F3099A">
        <w:rPr>
          <w:rFonts w:asciiTheme="minorHAnsi" w:eastAsia="Times New Roman" w:hAnsiTheme="minorHAnsi" w:cs="Courier New"/>
          <w:lang w:eastAsia="it-IT"/>
        </w:rPr>
        <w:t xml:space="preserve"> associato ad</w:t>
      </w:r>
      <w:r w:rsidRPr="00F3099A">
        <w:rPr>
          <w:rFonts w:asciiTheme="minorHAnsi" w:eastAsia="Times New Roman" w:hAnsiTheme="minorHAnsi" w:cs="Courier New"/>
          <w:lang w:eastAsia="it-IT"/>
        </w:rPr>
        <w:t xml:space="preserve"> un solo antiaggregante, senza aspirina.</w:t>
      </w:r>
    </w:p>
    <w:p w:rsidR="009A0B13" w:rsidRPr="00F3099A" w:rsidRDefault="009A0B13" w:rsidP="009A0B13">
      <w:pPr>
        <w:jc w:val="both"/>
        <w:rPr>
          <w:rFonts w:asciiTheme="minorHAnsi" w:eastAsia="Times New Roman" w:hAnsiTheme="minorHAnsi" w:cs="Courier New"/>
          <w:lang w:eastAsia="it-IT"/>
        </w:rPr>
      </w:pPr>
      <w:r w:rsidRPr="00F3099A">
        <w:rPr>
          <w:rFonts w:asciiTheme="minorHAnsi" w:eastAsia="Times New Roman" w:hAnsiTheme="minorHAnsi" w:cs="Courier New"/>
          <w:lang w:eastAsia="it-IT"/>
        </w:rPr>
        <w:br/>
        <w:t>"Per gli specialisti ch</w:t>
      </w:r>
      <w:r w:rsidR="005A3C83" w:rsidRPr="00F3099A">
        <w:rPr>
          <w:rFonts w:asciiTheme="minorHAnsi" w:eastAsia="Times New Roman" w:hAnsiTheme="minorHAnsi" w:cs="Courier New"/>
          <w:lang w:eastAsia="it-IT"/>
        </w:rPr>
        <w:t xml:space="preserve">e trattano pazienti </w:t>
      </w:r>
      <w:r w:rsidR="00D62B5F" w:rsidRPr="00F3099A">
        <w:rPr>
          <w:rFonts w:asciiTheme="minorHAnsi" w:eastAsia="Times New Roman" w:hAnsiTheme="minorHAnsi" w:cs="Courier New"/>
          <w:lang w:eastAsia="it-IT"/>
        </w:rPr>
        <w:t>con</w:t>
      </w:r>
      <w:r w:rsidR="005A3C83" w:rsidRPr="00F3099A">
        <w:rPr>
          <w:rFonts w:asciiTheme="minorHAnsi" w:eastAsia="Times New Roman" w:hAnsiTheme="minorHAnsi" w:cs="Courier New"/>
          <w:lang w:eastAsia="it-IT"/>
        </w:rPr>
        <w:t xml:space="preserve"> fibrillazione a</w:t>
      </w:r>
      <w:r w:rsidRPr="00F3099A">
        <w:rPr>
          <w:rFonts w:asciiTheme="minorHAnsi" w:eastAsia="Times New Roman" w:hAnsiTheme="minorHAnsi" w:cs="Courier New"/>
          <w:lang w:eastAsia="it-IT"/>
        </w:rPr>
        <w:t>triale, che hanno subito un intervento coronarico per</w:t>
      </w:r>
      <w:r w:rsidR="0019717F" w:rsidRPr="00F3099A">
        <w:rPr>
          <w:rFonts w:asciiTheme="minorHAnsi" w:eastAsia="Times New Roman" w:hAnsiTheme="minorHAnsi" w:cs="Courier New"/>
          <w:lang w:eastAsia="it-IT"/>
        </w:rPr>
        <w:t xml:space="preserve">cutaneo con l’inserimento di </w:t>
      </w:r>
      <w:proofErr w:type="spellStart"/>
      <w:r w:rsidRPr="00F3099A">
        <w:rPr>
          <w:rFonts w:asciiTheme="minorHAnsi" w:eastAsia="Times New Roman" w:hAnsiTheme="minorHAnsi" w:cs="Courier New"/>
          <w:lang w:eastAsia="it-IT"/>
        </w:rPr>
        <w:t>stent</w:t>
      </w:r>
      <w:proofErr w:type="spellEnd"/>
      <w:r w:rsidRPr="00F3099A">
        <w:rPr>
          <w:rFonts w:asciiTheme="minorHAnsi" w:eastAsia="Times New Roman" w:hAnsiTheme="minorHAnsi" w:cs="Courier New"/>
          <w:lang w:eastAsia="it-IT"/>
        </w:rPr>
        <w:t>, è fondamen</w:t>
      </w:r>
      <w:r w:rsidR="00D62B5F" w:rsidRPr="00F3099A">
        <w:rPr>
          <w:rFonts w:asciiTheme="minorHAnsi" w:eastAsia="Times New Roman" w:hAnsiTheme="minorHAnsi" w:cs="Courier New"/>
          <w:lang w:eastAsia="it-IT"/>
        </w:rPr>
        <w:t xml:space="preserve">tale creare un equilibrio tra la necessaria </w:t>
      </w:r>
      <w:r w:rsidRPr="00F3099A">
        <w:rPr>
          <w:rFonts w:asciiTheme="minorHAnsi" w:eastAsia="Times New Roman" w:hAnsiTheme="minorHAnsi" w:cs="Courier New"/>
          <w:lang w:eastAsia="it-IT"/>
        </w:rPr>
        <w:t>efficacia</w:t>
      </w:r>
      <w:r w:rsidR="00D62B5F" w:rsidRPr="00F3099A">
        <w:rPr>
          <w:rFonts w:asciiTheme="minorHAnsi" w:eastAsia="Times New Roman" w:hAnsiTheme="minorHAnsi" w:cs="Courier New"/>
          <w:lang w:eastAsia="it-IT"/>
        </w:rPr>
        <w:t xml:space="preserve"> del trattamento ed</w:t>
      </w:r>
      <w:r w:rsidRPr="00F3099A">
        <w:rPr>
          <w:rFonts w:asciiTheme="minorHAnsi" w:eastAsia="Times New Roman" w:hAnsiTheme="minorHAnsi" w:cs="Courier New"/>
          <w:lang w:eastAsia="it-IT"/>
        </w:rPr>
        <w:t xml:space="preserve"> il rischio di sanguinamento</w:t>
      </w:r>
      <w:r w:rsidR="00D62B5F" w:rsidRPr="00F3099A">
        <w:rPr>
          <w:rFonts w:asciiTheme="minorHAnsi" w:eastAsia="Times New Roman" w:hAnsiTheme="minorHAnsi" w:cs="Courier New"/>
          <w:lang w:eastAsia="it-IT"/>
        </w:rPr>
        <w:t xml:space="preserve"> del paziente</w:t>
      </w:r>
      <w:r w:rsidRPr="00F3099A">
        <w:rPr>
          <w:rFonts w:asciiTheme="minorHAnsi" w:eastAsia="Times New Roman" w:hAnsiTheme="minorHAnsi" w:cs="Courier New"/>
          <w:lang w:eastAsia="it-IT"/>
        </w:rPr>
        <w:t xml:space="preserve">" - ha </w:t>
      </w:r>
      <w:r w:rsidR="00472C99" w:rsidRPr="00F3099A">
        <w:rPr>
          <w:rFonts w:asciiTheme="minorHAnsi" w:eastAsia="Times New Roman" w:hAnsiTheme="minorHAnsi" w:cs="Courier New"/>
          <w:lang w:eastAsia="it-IT"/>
        </w:rPr>
        <w:t>dichiarato</w:t>
      </w:r>
      <w:r w:rsidRPr="00F3099A">
        <w:rPr>
          <w:rFonts w:asciiTheme="minorHAnsi" w:eastAsia="Times New Roman" w:hAnsiTheme="minorHAnsi" w:cs="Courier New"/>
          <w:lang w:eastAsia="it-IT"/>
        </w:rPr>
        <w:t xml:space="preserve"> il professor Christopher </w:t>
      </w:r>
      <w:proofErr w:type="spellStart"/>
      <w:r w:rsidRPr="00F3099A">
        <w:rPr>
          <w:rFonts w:asciiTheme="minorHAnsi" w:eastAsia="Times New Roman" w:hAnsiTheme="minorHAnsi" w:cs="Courier New"/>
          <w:lang w:eastAsia="it-IT"/>
        </w:rPr>
        <w:t>Cannon</w:t>
      </w:r>
      <w:proofErr w:type="spellEnd"/>
      <w:r w:rsidRPr="00F3099A">
        <w:rPr>
          <w:rFonts w:asciiTheme="minorHAnsi" w:eastAsia="Times New Roman" w:hAnsiTheme="minorHAnsi" w:cs="Courier New"/>
          <w:lang w:eastAsia="it-IT"/>
        </w:rPr>
        <w:t>,</w:t>
      </w:r>
      <w:r w:rsidR="00472C99" w:rsidRPr="00F3099A">
        <w:rPr>
          <w:rFonts w:asciiTheme="minorHAnsi" w:eastAsia="Times New Roman" w:hAnsiTheme="minorHAnsi" w:cs="Courier New"/>
          <w:lang w:eastAsia="it-IT"/>
        </w:rPr>
        <w:t xml:space="preserve"> cardiologo del Brigham and </w:t>
      </w:r>
      <w:proofErr w:type="spellStart"/>
      <w:r w:rsidR="00472C99" w:rsidRPr="00F3099A">
        <w:rPr>
          <w:rFonts w:asciiTheme="minorHAnsi" w:eastAsia="Times New Roman" w:hAnsiTheme="minorHAnsi" w:cs="Courier New"/>
          <w:lang w:eastAsia="it-IT"/>
        </w:rPr>
        <w:t>Women’s</w:t>
      </w:r>
      <w:proofErr w:type="spellEnd"/>
      <w:r w:rsidR="00472C99" w:rsidRPr="00F3099A">
        <w:rPr>
          <w:rFonts w:asciiTheme="minorHAnsi" w:eastAsia="Times New Roman" w:hAnsiTheme="minorHAnsi" w:cs="Courier New"/>
          <w:lang w:eastAsia="it-IT"/>
        </w:rPr>
        <w:t xml:space="preserve"> Hospital,</w:t>
      </w:r>
      <w:r w:rsidRPr="00F3099A">
        <w:rPr>
          <w:rFonts w:asciiTheme="minorHAnsi" w:eastAsia="Times New Roman" w:hAnsiTheme="minorHAnsi" w:cs="Courier New"/>
          <w:lang w:eastAsia="it-IT"/>
        </w:rPr>
        <w:t xml:space="preserve"> </w:t>
      </w:r>
      <w:r w:rsidRPr="00F3099A">
        <w:rPr>
          <w:rFonts w:asciiTheme="minorHAnsi" w:eastAsia="Times New Roman" w:hAnsiTheme="minorHAnsi" w:cs="Courier New"/>
          <w:i/>
          <w:lang w:eastAsia="it-IT"/>
        </w:rPr>
        <w:t>Lead investigator</w:t>
      </w:r>
      <w:r w:rsidR="00D063C4" w:rsidRPr="00F3099A">
        <w:rPr>
          <w:rFonts w:asciiTheme="minorHAnsi" w:eastAsia="Times New Roman" w:hAnsiTheme="minorHAnsi" w:cs="Courier New"/>
          <w:lang w:eastAsia="it-IT"/>
        </w:rPr>
        <w:t xml:space="preserve"> di RE-DUAL PCI</w:t>
      </w:r>
      <w:r w:rsidRPr="00F3099A">
        <w:rPr>
          <w:rFonts w:asciiTheme="minorHAnsi" w:eastAsia="Times New Roman" w:hAnsiTheme="minorHAnsi" w:cs="Courier New"/>
          <w:lang w:eastAsia="it-IT"/>
        </w:rPr>
        <w:t>™ e</w:t>
      </w:r>
      <w:r w:rsidR="00472C99" w:rsidRPr="00F3099A">
        <w:rPr>
          <w:rFonts w:asciiTheme="minorHAnsi" w:eastAsia="Times New Roman" w:hAnsiTheme="minorHAnsi" w:cs="Courier New"/>
          <w:lang w:eastAsia="it-IT"/>
        </w:rPr>
        <w:t>d</w:t>
      </w:r>
      <w:r w:rsidRPr="00F3099A">
        <w:rPr>
          <w:rFonts w:asciiTheme="minorHAnsi" w:eastAsia="Times New Roman" w:hAnsiTheme="minorHAnsi" w:cs="Courier New"/>
          <w:lang w:eastAsia="it-IT"/>
        </w:rPr>
        <w:t xml:space="preserve"> </w:t>
      </w:r>
      <w:r w:rsidR="00472C99" w:rsidRPr="00F3099A">
        <w:rPr>
          <w:rFonts w:asciiTheme="minorHAnsi" w:eastAsia="Times New Roman" w:hAnsiTheme="minorHAnsi" w:cs="Courier New"/>
          <w:i/>
          <w:lang w:eastAsia="it-IT"/>
        </w:rPr>
        <w:t xml:space="preserve">executive </w:t>
      </w:r>
      <w:proofErr w:type="spellStart"/>
      <w:r w:rsidR="00472C99" w:rsidRPr="00F3099A">
        <w:rPr>
          <w:rFonts w:asciiTheme="minorHAnsi" w:eastAsia="Times New Roman" w:hAnsiTheme="minorHAnsi" w:cs="Courier New"/>
          <w:i/>
          <w:lang w:eastAsia="it-IT"/>
        </w:rPr>
        <w:t>d</w:t>
      </w:r>
      <w:r w:rsidRPr="00F3099A">
        <w:rPr>
          <w:rFonts w:asciiTheme="minorHAnsi" w:eastAsia="Times New Roman" w:hAnsiTheme="minorHAnsi" w:cs="Courier New"/>
          <w:i/>
          <w:lang w:eastAsia="it-IT"/>
        </w:rPr>
        <w:t>irector</w:t>
      </w:r>
      <w:proofErr w:type="spellEnd"/>
      <w:r w:rsidRPr="00F3099A">
        <w:rPr>
          <w:rFonts w:asciiTheme="minorHAnsi" w:eastAsia="Times New Roman" w:hAnsiTheme="minorHAnsi" w:cs="Courier New"/>
          <w:lang w:eastAsia="it-IT"/>
        </w:rPr>
        <w:t xml:space="preserve"> </w:t>
      </w:r>
      <w:r w:rsidR="00472C99" w:rsidRPr="00F3099A">
        <w:rPr>
          <w:rFonts w:asciiTheme="minorHAnsi" w:eastAsia="Times New Roman" w:hAnsiTheme="minorHAnsi" w:cs="Courier New"/>
          <w:lang w:eastAsia="it-IT"/>
        </w:rPr>
        <w:t xml:space="preserve">dei </w:t>
      </w:r>
      <w:proofErr w:type="spellStart"/>
      <w:r w:rsidRPr="00F3099A">
        <w:rPr>
          <w:rFonts w:asciiTheme="minorHAnsi" w:eastAsia="Times New Roman" w:hAnsiTheme="minorHAnsi" w:cs="Courier New"/>
          <w:i/>
          <w:lang w:eastAsia="it-IT"/>
        </w:rPr>
        <w:t>Cardiometabolic</w:t>
      </w:r>
      <w:proofErr w:type="spellEnd"/>
      <w:r w:rsidRPr="00F3099A">
        <w:rPr>
          <w:rFonts w:asciiTheme="minorHAnsi" w:eastAsia="Times New Roman" w:hAnsiTheme="minorHAnsi" w:cs="Courier New"/>
          <w:i/>
          <w:lang w:eastAsia="it-IT"/>
        </w:rPr>
        <w:t xml:space="preserve"> Trials</w:t>
      </w:r>
      <w:r w:rsidRPr="00F3099A">
        <w:rPr>
          <w:rFonts w:asciiTheme="minorHAnsi" w:eastAsia="Times New Roman" w:hAnsiTheme="minorHAnsi" w:cs="Courier New"/>
          <w:lang w:eastAsia="it-IT"/>
        </w:rPr>
        <w:t xml:space="preserve"> </w:t>
      </w:r>
      <w:r w:rsidR="00472C99" w:rsidRPr="00F3099A">
        <w:rPr>
          <w:rFonts w:asciiTheme="minorHAnsi" w:eastAsia="Times New Roman" w:hAnsiTheme="minorHAnsi" w:cs="Courier New"/>
          <w:lang w:eastAsia="it-IT"/>
        </w:rPr>
        <w:t>all</w:t>
      </w:r>
      <w:r w:rsidRPr="00F3099A">
        <w:rPr>
          <w:rFonts w:asciiTheme="minorHAnsi" w:eastAsia="Times New Roman" w:hAnsiTheme="minorHAnsi" w:cs="Courier New"/>
          <w:lang w:eastAsia="it-IT"/>
        </w:rPr>
        <w:t xml:space="preserve">’Istituto </w:t>
      </w:r>
      <w:proofErr w:type="spellStart"/>
      <w:r w:rsidRPr="00F3099A">
        <w:rPr>
          <w:rFonts w:asciiTheme="minorHAnsi" w:eastAsia="Times New Roman" w:hAnsiTheme="minorHAnsi" w:cs="Courier New"/>
          <w:lang w:eastAsia="it-IT"/>
        </w:rPr>
        <w:t>Ba</w:t>
      </w:r>
      <w:r w:rsidR="00D62B5F" w:rsidRPr="00F3099A">
        <w:rPr>
          <w:rFonts w:asciiTheme="minorHAnsi" w:eastAsia="Times New Roman" w:hAnsiTheme="minorHAnsi" w:cs="Courier New"/>
          <w:lang w:eastAsia="it-IT"/>
        </w:rPr>
        <w:t>im</w:t>
      </w:r>
      <w:proofErr w:type="spellEnd"/>
      <w:r w:rsidR="00D62B5F" w:rsidRPr="00F3099A">
        <w:rPr>
          <w:rFonts w:asciiTheme="minorHAnsi" w:eastAsia="Times New Roman" w:hAnsiTheme="minorHAnsi" w:cs="Courier New"/>
          <w:lang w:eastAsia="it-IT"/>
        </w:rPr>
        <w:t xml:space="preserve"> per la Ricerca Clinica - "La letteratura sino ad oggi non ci ha offerto </w:t>
      </w:r>
      <w:r w:rsidRPr="00F3099A">
        <w:rPr>
          <w:rFonts w:asciiTheme="minorHAnsi" w:eastAsia="Times New Roman" w:hAnsiTheme="minorHAnsi" w:cs="Courier New"/>
          <w:lang w:eastAsia="it-IT"/>
        </w:rPr>
        <w:t>molti dati sugli anticoagulanti orali non antagonisti della vitamina K in questo ambito</w:t>
      </w:r>
      <w:r w:rsidR="00D62B5F" w:rsidRPr="00F3099A">
        <w:rPr>
          <w:rFonts w:asciiTheme="minorHAnsi" w:eastAsia="Times New Roman" w:hAnsiTheme="minorHAnsi" w:cs="Courier New"/>
          <w:lang w:eastAsia="it-IT"/>
        </w:rPr>
        <w:t xml:space="preserve"> clinico</w:t>
      </w:r>
      <w:r w:rsidRPr="00F3099A">
        <w:rPr>
          <w:rFonts w:asciiTheme="minorHAnsi" w:eastAsia="Times New Roman" w:hAnsiTheme="minorHAnsi" w:cs="Courier New"/>
          <w:lang w:eastAsia="it-IT"/>
        </w:rPr>
        <w:t xml:space="preserve">. </w:t>
      </w:r>
      <w:r w:rsidR="005C272D" w:rsidRPr="00F3099A">
        <w:rPr>
          <w:rFonts w:asciiTheme="minorHAnsi" w:eastAsia="Times New Roman" w:hAnsiTheme="minorHAnsi" w:cs="Courier New"/>
          <w:lang w:eastAsia="it-IT"/>
        </w:rPr>
        <w:t>I</w:t>
      </w:r>
      <w:r w:rsidRPr="00F3099A">
        <w:rPr>
          <w:rFonts w:asciiTheme="minorHAnsi" w:eastAsia="Times New Roman" w:hAnsiTheme="minorHAnsi" w:cs="Courier New"/>
          <w:lang w:eastAsia="it-IT"/>
        </w:rPr>
        <w:t xml:space="preserve"> risultati di RE-DUAL PCI™ </w:t>
      </w:r>
      <w:r w:rsidR="00D62B5F" w:rsidRPr="00F3099A">
        <w:rPr>
          <w:rFonts w:asciiTheme="minorHAnsi" w:eastAsia="Times New Roman" w:hAnsiTheme="minorHAnsi" w:cs="Courier New"/>
          <w:lang w:eastAsia="it-IT"/>
        </w:rPr>
        <w:t xml:space="preserve">sono </w:t>
      </w:r>
      <w:r w:rsidR="005C272D" w:rsidRPr="00F3099A">
        <w:rPr>
          <w:rFonts w:asciiTheme="minorHAnsi" w:eastAsia="Times New Roman" w:hAnsiTheme="minorHAnsi" w:cs="Courier New"/>
          <w:lang w:eastAsia="it-IT"/>
        </w:rPr>
        <w:t xml:space="preserve">rilevanti per i medici </w:t>
      </w:r>
      <w:r w:rsidRPr="00F3099A">
        <w:rPr>
          <w:rFonts w:asciiTheme="minorHAnsi" w:eastAsia="Times New Roman" w:hAnsiTheme="minorHAnsi" w:cs="Courier New"/>
          <w:lang w:eastAsia="it-IT"/>
        </w:rPr>
        <w:t xml:space="preserve">che </w:t>
      </w:r>
      <w:r w:rsidR="00D62B5F" w:rsidRPr="00F3099A">
        <w:rPr>
          <w:rFonts w:asciiTheme="minorHAnsi" w:eastAsia="Times New Roman" w:hAnsiTheme="minorHAnsi" w:cs="Courier New"/>
          <w:lang w:eastAsia="it-IT"/>
        </w:rPr>
        <w:t>trattano questi pazienti</w:t>
      </w:r>
      <w:r w:rsidRPr="00F3099A">
        <w:rPr>
          <w:rFonts w:asciiTheme="minorHAnsi" w:eastAsia="Times New Roman" w:hAnsiTheme="minorHAnsi" w:cs="Courier New"/>
          <w:lang w:eastAsia="it-IT"/>
        </w:rPr>
        <w:t xml:space="preserve"> che </w:t>
      </w:r>
      <w:r w:rsidR="00D62B5F" w:rsidRPr="00F3099A">
        <w:rPr>
          <w:rFonts w:asciiTheme="minorHAnsi" w:eastAsia="Times New Roman" w:hAnsiTheme="minorHAnsi" w:cs="Courier New"/>
          <w:lang w:eastAsia="it-IT"/>
        </w:rPr>
        <w:t xml:space="preserve">hanno bisogno di un </w:t>
      </w:r>
      <w:r w:rsidRPr="00F3099A">
        <w:rPr>
          <w:rFonts w:asciiTheme="minorHAnsi" w:eastAsia="Times New Roman" w:hAnsiTheme="minorHAnsi" w:cs="Courier New"/>
          <w:lang w:eastAsia="it-IT"/>
        </w:rPr>
        <w:t>trattamento antitrombotico</w:t>
      </w:r>
      <w:r w:rsidR="005C272D" w:rsidRPr="00F3099A">
        <w:rPr>
          <w:rFonts w:asciiTheme="minorHAnsi" w:eastAsia="Times New Roman" w:hAnsiTheme="minorHAnsi" w:cs="Courier New"/>
          <w:lang w:eastAsia="it-IT"/>
        </w:rPr>
        <w:t xml:space="preserve"> </w:t>
      </w:r>
      <w:r w:rsidR="00D62B5F" w:rsidRPr="00F3099A">
        <w:rPr>
          <w:rFonts w:asciiTheme="minorHAnsi" w:eastAsia="Times New Roman" w:hAnsiTheme="minorHAnsi" w:cs="Courier New"/>
          <w:lang w:eastAsia="it-IT"/>
        </w:rPr>
        <w:t xml:space="preserve">sicuro ed </w:t>
      </w:r>
      <w:r w:rsidR="005C272D" w:rsidRPr="00F3099A">
        <w:rPr>
          <w:rFonts w:asciiTheme="minorHAnsi" w:eastAsia="Times New Roman" w:hAnsiTheme="minorHAnsi" w:cs="Courier New"/>
          <w:lang w:eastAsia="it-IT"/>
        </w:rPr>
        <w:t>efficace</w:t>
      </w:r>
      <w:r w:rsidRPr="00F3099A">
        <w:rPr>
          <w:rFonts w:asciiTheme="minorHAnsi" w:eastAsia="Times New Roman" w:hAnsiTheme="minorHAnsi" w:cs="Courier New"/>
          <w:lang w:eastAsia="it-IT"/>
        </w:rPr>
        <w:t xml:space="preserve">". </w:t>
      </w:r>
    </w:p>
    <w:p w:rsidR="009A0B13" w:rsidRPr="00F3099A" w:rsidRDefault="009A0B13" w:rsidP="009A0B13">
      <w:pPr>
        <w:jc w:val="both"/>
        <w:rPr>
          <w:rFonts w:asciiTheme="minorHAnsi" w:eastAsia="Times New Roman" w:hAnsiTheme="minorHAnsi" w:cs="Courier New"/>
          <w:lang w:eastAsia="it-IT"/>
        </w:rPr>
      </w:pPr>
      <w:r w:rsidRPr="00F3099A">
        <w:rPr>
          <w:rFonts w:asciiTheme="minorHAnsi" w:eastAsia="Times New Roman" w:hAnsiTheme="minorHAnsi" w:cs="Courier New"/>
          <w:lang w:eastAsia="it-IT"/>
        </w:rPr>
        <w:t xml:space="preserve">I risultati sono stati: </w:t>
      </w:r>
      <w:r w:rsidRPr="00F3099A">
        <w:rPr>
          <w:rFonts w:asciiTheme="minorHAnsi" w:eastAsia="Times New Roman" w:hAnsiTheme="minorHAnsi" w:cs="Courier New"/>
          <w:vertAlign w:val="superscript"/>
          <w:lang w:eastAsia="it-IT"/>
        </w:rPr>
        <w:t>1,2</w:t>
      </w:r>
      <w:r w:rsidRPr="00F3099A">
        <w:rPr>
          <w:rFonts w:asciiTheme="minorHAnsi" w:eastAsia="Times New Roman" w:hAnsiTheme="minorHAnsi" w:cs="Courier New"/>
          <w:lang w:eastAsia="it-IT"/>
        </w:rPr>
        <w:t xml:space="preserve"> </w:t>
      </w:r>
    </w:p>
    <w:p w:rsidR="009A0B13" w:rsidRPr="00F3099A" w:rsidRDefault="009A0B13" w:rsidP="009A0B13">
      <w:pPr>
        <w:jc w:val="both"/>
        <w:rPr>
          <w:rFonts w:asciiTheme="minorHAnsi" w:eastAsia="Times New Roman" w:hAnsiTheme="minorHAnsi" w:cs="Courier New"/>
          <w:lang w:eastAsia="it-IT"/>
        </w:rPr>
      </w:pPr>
      <w:r w:rsidRPr="00F3099A">
        <w:rPr>
          <w:rFonts w:asciiTheme="minorHAnsi" w:eastAsia="Times New Roman" w:hAnsiTheme="minorHAnsi" w:cs="Courier New"/>
          <w:lang w:eastAsia="it-IT"/>
        </w:rPr>
        <w:t>• Incidenza dell'</w:t>
      </w:r>
      <w:proofErr w:type="spellStart"/>
      <w:r w:rsidRPr="00F3099A">
        <w:rPr>
          <w:rFonts w:asciiTheme="minorHAnsi" w:eastAsia="Times New Roman" w:hAnsiTheme="minorHAnsi" w:cs="Courier New"/>
          <w:lang w:eastAsia="it-IT"/>
        </w:rPr>
        <w:t>endpoint</w:t>
      </w:r>
      <w:proofErr w:type="spellEnd"/>
      <w:r w:rsidRPr="00F3099A">
        <w:rPr>
          <w:rFonts w:asciiTheme="minorHAnsi" w:eastAsia="Times New Roman" w:hAnsiTheme="minorHAnsi" w:cs="Courier New"/>
          <w:lang w:eastAsia="it-IT"/>
        </w:rPr>
        <w:t xml:space="preserve"> primario: </w:t>
      </w:r>
    </w:p>
    <w:p w:rsidR="009A0B13" w:rsidRPr="00F3099A" w:rsidRDefault="009A0B13" w:rsidP="009A0B13">
      <w:pPr>
        <w:ind w:left="708"/>
        <w:jc w:val="both"/>
        <w:rPr>
          <w:rFonts w:asciiTheme="minorHAnsi" w:eastAsia="Times New Roman" w:hAnsiTheme="minorHAnsi" w:cs="Courier New"/>
          <w:lang w:eastAsia="it-IT"/>
        </w:rPr>
      </w:pPr>
      <w:r w:rsidRPr="00F3099A">
        <w:rPr>
          <w:rFonts w:asciiTheme="minorHAnsi" w:eastAsia="Times New Roman" w:hAnsiTheme="minorHAnsi" w:cs="Courier New"/>
          <w:lang w:eastAsia="it-IT"/>
        </w:rPr>
        <w:lastRenderedPageBreak/>
        <w:t xml:space="preserve">• 15,4% per la duplice terapia con </w:t>
      </w:r>
      <w:proofErr w:type="spellStart"/>
      <w:r w:rsidRPr="00F3099A">
        <w:rPr>
          <w:rFonts w:asciiTheme="minorHAnsi" w:eastAsia="Times New Roman" w:hAnsiTheme="minorHAnsi" w:cs="Courier New"/>
          <w:lang w:eastAsia="it-IT"/>
        </w:rPr>
        <w:t>dabigatran</w:t>
      </w:r>
      <w:proofErr w:type="spellEnd"/>
      <w:r w:rsidRPr="00F3099A">
        <w:rPr>
          <w:rFonts w:asciiTheme="minorHAnsi" w:eastAsia="Times New Roman" w:hAnsiTheme="minorHAnsi" w:cs="Courier New"/>
          <w:lang w:eastAsia="it-IT"/>
        </w:rPr>
        <w:t xml:space="preserve"> </w:t>
      </w:r>
      <w:proofErr w:type="spellStart"/>
      <w:r w:rsidRPr="00F3099A">
        <w:rPr>
          <w:rFonts w:asciiTheme="minorHAnsi" w:eastAsia="Times New Roman" w:hAnsiTheme="minorHAnsi" w:cs="Courier New"/>
          <w:lang w:eastAsia="it-IT"/>
        </w:rPr>
        <w:t>etexilato</w:t>
      </w:r>
      <w:proofErr w:type="spellEnd"/>
      <w:r w:rsidRPr="00F3099A">
        <w:rPr>
          <w:rFonts w:asciiTheme="minorHAnsi" w:eastAsia="Times New Roman" w:hAnsiTheme="minorHAnsi" w:cs="Courier New"/>
          <w:lang w:eastAsia="it-IT"/>
        </w:rPr>
        <w:t xml:space="preserve"> 110 mg </w:t>
      </w:r>
      <w:r w:rsidRPr="00F3099A">
        <w:rPr>
          <w:rFonts w:asciiTheme="minorHAnsi" w:eastAsia="Times New Roman" w:hAnsiTheme="minorHAnsi" w:cs="Courier New"/>
          <w:i/>
          <w:lang w:eastAsia="it-IT"/>
        </w:rPr>
        <w:t>vs</w:t>
      </w:r>
      <w:r w:rsidRPr="00F3099A">
        <w:rPr>
          <w:rFonts w:asciiTheme="minorHAnsi" w:eastAsia="Times New Roman" w:hAnsiTheme="minorHAnsi" w:cs="Courier New"/>
          <w:lang w:eastAsia="it-IT"/>
        </w:rPr>
        <w:t xml:space="preserve"> 26,9% per la triplice terapia con warfarin, che si traduce in un</w:t>
      </w:r>
      <w:r w:rsidR="00243F9B" w:rsidRPr="00F3099A">
        <w:rPr>
          <w:rFonts w:asciiTheme="minorHAnsi" w:eastAsia="Times New Roman" w:hAnsiTheme="minorHAnsi" w:cs="Courier New"/>
          <w:lang w:eastAsia="it-IT"/>
        </w:rPr>
        <w:t>a riduzione del</w:t>
      </w:r>
      <w:r w:rsidRPr="00F3099A">
        <w:rPr>
          <w:rFonts w:asciiTheme="minorHAnsi" w:eastAsia="Times New Roman" w:hAnsiTheme="minorHAnsi" w:cs="Courier New"/>
          <w:lang w:eastAsia="it-IT"/>
        </w:rPr>
        <w:t xml:space="preserve"> rischio </w:t>
      </w:r>
      <w:r w:rsidR="00243F9B" w:rsidRPr="00F3099A">
        <w:rPr>
          <w:rFonts w:asciiTheme="minorHAnsi" w:eastAsia="Times New Roman" w:hAnsiTheme="minorHAnsi" w:cs="Courier New"/>
          <w:lang w:eastAsia="it-IT"/>
        </w:rPr>
        <w:t xml:space="preserve">relativo </w:t>
      </w:r>
      <w:r w:rsidRPr="00F3099A">
        <w:rPr>
          <w:rFonts w:asciiTheme="minorHAnsi" w:eastAsia="Times New Roman" w:hAnsiTheme="minorHAnsi" w:cs="Courier New"/>
          <w:lang w:eastAsia="it-IT"/>
        </w:rPr>
        <w:t xml:space="preserve">del 48%; </w:t>
      </w:r>
    </w:p>
    <w:p w:rsidR="009A0B13" w:rsidRPr="00F3099A" w:rsidRDefault="009A0B13" w:rsidP="009A0B13">
      <w:pPr>
        <w:ind w:left="708"/>
        <w:jc w:val="both"/>
        <w:rPr>
          <w:rFonts w:asciiTheme="minorHAnsi" w:eastAsia="Times New Roman" w:hAnsiTheme="minorHAnsi" w:cs="Courier New"/>
          <w:lang w:eastAsia="it-IT"/>
        </w:rPr>
      </w:pPr>
      <w:r w:rsidRPr="00F3099A">
        <w:rPr>
          <w:rFonts w:asciiTheme="minorHAnsi" w:eastAsia="Times New Roman" w:hAnsiTheme="minorHAnsi" w:cs="Courier New"/>
          <w:lang w:eastAsia="it-IT"/>
        </w:rPr>
        <w:t xml:space="preserve">• 20,2% per la duplice terapia con </w:t>
      </w:r>
      <w:proofErr w:type="spellStart"/>
      <w:r w:rsidRPr="00F3099A">
        <w:rPr>
          <w:rFonts w:asciiTheme="minorHAnsi" w:eastAsia="Times New Roman" w:hAnsiTheme="minorHAnsi" w:cs="Courier New"/>
          <w:lang w:eastAsia="it-IT"/>
        </w:rPr>
        <w:t>dabigatran</w:t>
      </w:r>
      <w:proofErr w:type="spellEnd"/>
      <w:r w:rsidRPr="00F3099A">
        <w:rPr>
          <w:rFonts w:asciiTheme="minorHAnsi" w:eastAsia="Times New Roman" w:hAnsiTheme="minorHAnsi" w:cs="Courier New"/>
          <w:lang w:eastAsia="it-IT"/>
        </w:rPr>
        <w:t xml:space="preserve"> </w:t>
      </w:r>
      <w:proofErr w:type="spellStart"/>
      <w:r w:rsidRPr="00F3099A">
        <w:rPr>
          <w:rFonts w:asciiTheme="minorHAnsi" w:eastAsia="Times New Roman" w:hAnsiTheme="minorHAnsi" w:cs="Courier New"/>
          <w:lang w:eastAsia="it-IT"/>
        </w:rPr>
        <w:t>etexilato</w:t>
      </w:r>
      <w:proofErr w:type="spellEnd"/>
      <w:r w:rsidRPr="00F3099A">
        <w:rPr>
          <w:rFonts w:asciiTheme="minorHAnsi" w:eastAsia="Times New Roman" w:hAnsiTheme="minorHAnsi" w:cs="Courier New"/>
          <w:lang w:eastAsia="it-IT"/>
        </w:rPr>
        <w:t xml:space="preserve"> 150 mg </w:t>
      </w:r>
      <w:r w:rsidRPr="00F3099A">
        <w:rPr>
          <w:rFonts w:asciiTheme="minorHAnsi" w:eastAsia="Times New Roman" w:hAnsiTheme="minorHAnsi" w:cs="Courier New"/>
          <w:i/>
          <w:lang w:eastAsia="it-IT"/>
        </w:rPr>
        <w:t>vs</w:t>
      </w:r>
      <w:r w:rsidRPr="00F3099A">
        <w:rPr>
          <w:rFonts w:asciiTheme="minorHAnsi" w:eastAsia="Times New Roman" w:hAnsiTheme="minorHAnsi" w:cs="Courier New"/>
          <w:lang w:eastAsia="it-IT"/>
        </w:rPr>
        <w:t xml:space="preserve"> 25,7% per la triplice terapia con warfarin, </w:t>
      </w:r>
      <w:r w:rsidR="00243F9B" w:rsidRPr="00F3099A">
        <w:rPr>
          <w:rFonts w:asciiTheme="minorHAnsi" w:eastAsia="Times New Roman" w:hAnsiTheme="minorHAnsi" w:cs="Courier New"/>
          <w:lang w:eastAsia="it-IT"/>
        </w:rPr>
        <w:t xml:space="preserve">che si traduce in una riduzione del rischio relativo del </w:t>
      </w:r>
      <w:r w:rsidRPr="00F3099A">
        <w:rPr>
          <w:rFonts w:asciiTheme="minorHAnsi" w:eastAsia="Times New Roman" w:hAnsiTheme="minorHAnsi" w:cs="Courier New"/>
          <w:lang w:eastAsia="it-IT"/>
        </w:rPr>
        <w:t xml:space="preserve">28%. </w:t>
      </w:r>
    </w:p>
    <w:p w:rsidR="009A0B13" w:rsidRPr="00F3099A" w:rsidRDefault="009A0B13" w:rsidP="009A0B13">
      <w:pPr>
        <w:jc w:val="both"/>
        <w:rPr>
          <w:rFonts w:asciiTheme="minorHAnsi" w:eastAsia="Times New Roman" w:hAnsiTheme="minorHAnsi" w:cs="Courier New"/>
          <w:lang w:eastAsia="it-IT"/>
        </w:rPr>
      </w:pPr>
      <w:r w:rsidRPr="00F3099A">
        <w:rPr>
          <w:rFonts w:asciiTheme="minorHAnsi" w:eastAsia="Times New Roman" w:hAnsiTheme="minorHAnsi" w:cs="Courier New"/>
          <w:lang w:eastAsia="it-IT"/>
        </w:rPr>
        <w:t xml:space="preserve">• </w:t>
      </w:r>
      <w:r w:rsidR="00243F9B" w:rsidRPr="00F3099A">
        <w:rPr>
          <w:rFonts w:asciiTheme="minorHAnsi" w:eastAsia="Times New Roman" w:hAnsiTheme="minorHAnsi" w:cs="Courier New"/>
          <w:lang w:eastAsia="it-IT"/>
        </w:rPr>
        <w:t xml:space="preserve">Nello studio RE-DUAL PCI gli </w:t>
      </w:r>
      <w:proofErr w:type="spellStart"/>
      <w:r w:rsidR="00243F9B" w:rsidRPr="00F3099A">
        <w:rPr>
          <w:rFonts w:asciiTheme="minorHAnsi" w:eastAsia="Times New Roman" w:hAnsiTheme="minorHAnsi" w:cs="Courier New"/>
          <w:i/>
          <w:iCs/>
          <w:lang w:eastAsia="it-IT"/>
        </w:rPr>
        <w:t>outcome</w:t>
      </w:r>
      <w:proofErr w:type="spellEnd"/>
      <w:r w:rsidR="00243F9B" w:rsidRPr="00F3099A">
        <w:rPr>
          <w:rFonts w:asciiTheme="minorHAnsi" w:eastAsia="Times New Roman" w:hAnsiTheme="minorHAnsi" w:cs="Courier New"/>
          <w:lang w:eastAsia="it-IT"/>
        </w:rPr>
        <w:t xml:space="preserve"> clinici di sicurezza sono stati analizzati singolarmente secondo le definizioni di sanguinamento maggiore sia ISTH* sia TIMI**. </w:t>
      </w:r>
      <w:r w:rsidRPr="00F3099A">
        <w:rPr>
          <w:rFonts w:asciiTheme="minorHAnsi" w:eastAsia="Times New Roman" w:hAnsiTheme="minorHAnsi" w:cs="Courier New"/>
          <w:lang w:eastAsia="it-IT"/>
        </w:rPr>
        <w:t xml:space="preserve">Entrambi i gruppi di </w:t>
      </w:r>
      <w:r w:rsidR="00243F9B" w:rsidRPr="00F3099A">
        <w:rPr>
          <w:rFonts w:asciiTheme="minorHAnsi" w:eastAsia="Times New Roman" w:hAnsiTheme="minorHAnsi" w:cs="Courier New"/>
          <w:lang w:eastAsia="it-IT"/>
        </w:rPr>
        <w:t xml:space="preserve">pazienti trattati con </w:t>
      </w:r>
      <w:proofErr w:type="spellStart"/>
      <w:r w:rsidR="00243F9B" w:rsidRPr="00F3099A">
        <w:rPr>
          <w:rFonts w:asciiTheme="minorHAnsi" w:eastAsia="Times New Roman" w:hAnsiTheme="minorHAnsi" w:cs="Courier New"/>
          <w:lang w:eastAsia="it-IT"/>
        </w:rPr>
        <w:t>dabigatran</w:t>
      </w:r>
      <w:proofErr w:type="spellEnd"/>
      <w:r w:rsidR="00243F9B" w:rsidRPr="00F3099A">
        <w:rPr>
          <w:rFonts w:asciiTheme="minorHAnsi" w:eastAsia="Times New Roman" w:hAnsiTheme="minorHAnsi" w:cs="Courier New"/>
          <w:lang w:eastAsia="it-IT"/>
        </w:rPr>
        <w:t xml:space="preserve"> </w:t>
      </w:r>
      <w:proofErr w:type="spellStart"/>
      <w:r w:rsidR="00243F9B" w:rsidRPr="00F3099A">
        <w:rPr>
          <w:rFonts w:asciiTheme="minorHAnsi" w:eastAsia="Times New Roman" w:hAnsiTheme="minorHAnsi" w:cs="Courier New"/>
          <w:lang w:eastAsia="it-IT"/>
        </w:rPr>
        <w:t>etexilato</w:t>
      </w:r>
      <w:proofErr w:type="spellEnd"/>
      <w:r w:rsidR="00243F9B" w:rsidRPr="00F3099A">
        <w:rPr>
          <w:rFonts w:asciiTheme="minorHAnsi" w:eastAsia="Times New Roman" w:hAnsiTheme="minorHAnsi" w:cs="Courier New"/>
          <w:lang w:eastAsia="it-IT"/>
        </w:rPr>
        <w:t xml:space="preserve"> in </w:t>
      </w:r>
      <w:r w:rsidRPr="00F3099A">
        <w:rPr>
          <w:rFonts w:asciiTheme="minorHAnsi" w:eastAsia="Times New Roman" w:hAnsiTheme="minorHAnsi" w:cs="Courier New"/>
          <w:lang w:eastAsia="it-IT"/>
        </w:rPr>
        <w:t xml:space="preserve">duplice terapia </w:t>
      </w:r>
      <w:r w:rsidR="00243F9B" w:rsidRPr="00F3099A">
        <w:rPr>
          <w:rFonts w:asciiTheme="minorHAnsi" w:eastAsia="Times New Roman" w:hAnsiTheme="minorHAnsi" w:cs="Courier New"/>
          <w:lang w:eastAsia="it-IT"/>
        </w:rPr>
        <w:t>hanno mostrato</w:t>
      </w:r>
      <w:r w:rsidRPr="00F3099A">
        <w:rPr>
          <w:rFonts w:asciiTheme="minorHAnsi" w:eastAsia="Times New Roman" w:hAnsiTheme="minorHAnsi" w:cs="Courier New"/>
          <w:lang w:eastAsia="it-IT"/>
        </w:rPr>
        <w:t xml:space="preserve"> più</w:t>
      </w:r>
      <w:r w:rsidR="00243F9B" w:rsidRPr="00F3099A">
        <w:rPr>
          <w:rFonts w:asciiTheme="minorHAnsi" w:eastAsia="Times New Roman" w:hAnsiTheme="minorHAnsi" w:cs="Courier New"/>
          <w:lang w:eastAsia="it-IT"/>
        </w:rPr>
        <w:t xml:space="preserve"> bassi livelli di sanguinamenti maggiori, valutati con entrambe le definizioni, e totali. </w:t>
      </w:r>
    </w:p>
    <w:p w:rsidR="00685517" w:rsidRPr="00F3099A" w:rsidRDefault="00685517" w:rsidP="00685517">
      <w:pPr>
        <w:spacing w:after="0" w:line="240" w:lineRule="auto"/>
        <w:jc w:val="both"/>
        <w:rPr>
          <w:rFonts w:asciiTheme="minorHAnsi" w:hAnsiTheme="minorHAnsi"/>
          <w:i/>
          <w:sz w:val="18"/>
          <w:szCs w:val="18"/>
          <w:lang w:val="en-US"/>
        </w:rPr>
      </w:pPr>
      <w:r w:rsidRPr="00F3099A">
        <w:rPr>
          <w:rFonts w:asciiTheme="minorHAnsi" w:hAnsiTheme="minorHAnsi" w:cs="Courier New"/>
          <w:sz w:val="18"/>
          <w:szCs w:val="18"/>
          <w:lang w:val="en-US" w:eastAsia="it-IT"/>
        </w:rPr>
        <w:t xml:space="preserve">*ISTH - </w:t>
      </w:r>
      <w:r w:rsidRPr="00F3099A">
        <w:rPr>
          <w:rFonts w:asciiTheme="minorHAnsi" w:hAnsiTheme="minorHAnsi"/>
          <w:i/>
          <w:sz w:val="18"/>
          <w:szCs w:val="18"/>
          <w:lang w:val="en-US"/>
        </w:rPr>
        <w:t xml:space="preserve">International Society on Thrombosis and </w:t>
      </w:r>
      <w:proofErr w:type="spellStart"/>
      <w:r w:rsidRPr="00F3099A">
        <w:rPr>
          <w:rFonts w:asciiTheme="minorHAnsi" w:hAnsiTheme="minorHAnsi"/>
          <w:i/>
          <w:sz w:val="18"/>
          <w:szCs w:val="18"/>
          <w:lang w:val="en-US"/>
        </w:rPr>
        <w:t>Haemostasis</w:t>
      </w:r>
      <w:proofErr w:type="spellEnd"/>
    </w:p>
    <w:p w:rsidR="00685517" w:rsidRPr="00F3099A" w:rsidRDefault="00685517" w:rsidP="00685517">
      <w:pPr>
        <w:spacing w:after="0" w:line="240" w:lineRule="auto"/>
        <w:jc w:val="both"/>
        <w:rPr>
          <w:rFonts w:asciiTheme="minorHAnsi" w:hAnsiTheme="minorHAnsi" w:cs="Courier New"/>
          <w:sz w:val="18"/>
          <w:szCs w:val="18"/>
          <w:lang w:eastAsia="it-IT"/>
        </w:rPr>
      </w:pPr>
      <w:r w:rsidRPr="00F3099A">
        <w:rPr>
          <w:rFonts w:asciiTheme="minorHAnsi" w:hAnsiTheme="minorHAnsi"/>
          <w:sz w:val="18"/>
          <w:szCs w:val="18"/>
        </w:rPr>
        <w:t xml:space="preserve">**TIMI - </w:t>
      </w:r>
      <w:proofErr w:type="spellStart"/>
      <w:r w:rsidRPr="00F3099A">
        <w:rPr>
          <w:rFonts w:asciiTheme="minorHAnsi" w:hAnsiTheme="minorHAnsi"/>
          <w:i/>
          <w:sz w:val="18"/>
          <w:szCs w:val="18"/>
        </w:rPr>
        <w:t>Thrombolysis</w:t>
      </w:r>
      <w:proofErr w:type="spellEnd"/>
      <w:r w:rsidRPr="00F3099A">
        <w:rPr>
          <w:rFonts w:asciiTheme="minorHAnsi" w:hAnsiTheme="minorHAnsi"/>
          <w:i/>
          <w:sz w:val="18"/>
          <w:szCs w:val="18"/>
        </w:rPr>
        <w:t xml:space="preserve"> In </w:t>
      </w:r>
      <w:proofErr w:type="spellStart"/>
      <w:r w:rsidRPr="00F3099A">
        <w:rPr>
          <w:rFonts w:asciiTheme="minorHAnsi" w:hAnsiTheme="minorHAnsi"/>
          <w:i/>
          <w:sz w:val="18"/>
          <w:szCs w:val="18"/>
        </w:rPr>
        <w:t>Myocardial</w:t>
      </w:r>
      <w:proofErr w:type="spellEnd"/>
      <w:r w:rsidRPr="00F3099A">
        <w:rPr>
          <w:rFonts w:asciiTheme="minorHAnsi" w:hAnsiTheme="minorHAnsi"/>
          <w:i/>
          <w:sz w:val="18"/>
          <w:szCs w:val="18"/>
        </w:rPr>
        <w:t xml:space="preserve"> </w:t>
      </w:r>
      <w:proofErr w:type="spellStart"/>
      <w:r w:rsidRPr="00F3099A">
        <w:rPr>
          <w:rFonts w:asciiTheme="minorHAnsi" w:hAnsiTheme="minorHAnsi"/>
          <w:i/>
          <w:sz w:val="18"/>
          <w:szCs w:val="18"/>
        </w:rPr>
        <w:t>Infarction</w:t>
      </w:r>
      <w:proofErr w:type="spellEnd"/>
    </w:p>
    <w:p w:rsidR="00685517" w:rsidRPr="00F3099A" w:rsidRDefault="00685517" w:rsidP="009A0B13">
      <w:pPr>
        <w:jc w:val="both"/>
        <w:rPr>
          <w:rFonts w:asciiTheme="minorHAnsi" w:eastAsia="Times New Roman" w:hAnsiTheme="minorHAnsi" w:cs="Courier New"/>
          <w:lang w:eastAsia="it-IT"/>
        </w:rPr>
      </w:pPr>
    </w:p>
    <w:p w:rsidR="009A0B13" w:rsidRPr="00F3099A" w:rsidRDefault="009A0B13" w:rsidP="009A0B13">
      <w:pPr>
        <w:jc w:val="both"/>
        <w:rPr>
          <w:rFonts w:asciiTheme="minorHAnsi" w:eastAsia="Times New Roman" w:hAnsiTheme="minorHAnsi" w:cs="Courier New"/>
          <w:lang w:eastAsia="it-IT"/>
        </w:rPr>
      </w:pPr>
      <w:r w:rsidRPr="00F3099A">
        <w:rPr>
          <w:rFonts w:asciiTheme="minorHAnsi" w:eastAsia="Times New Roman" w:hAnsiTheme="minorHAnsi" w:cs="Courier New"/>
          <w:lang w:eastAsia="it-IT"/>
        </w:rPr>
        <w:t xml:space="preserve">• </w:t>
      </w:r>
      <w:r w:rsidR="00137D35" w:rsidRPr="00F3099A">
        <w:rPr>
          <w:rFonts w:asciiTheme="minorHAnsi" w:eastAsia="Times New Roman" w:hAnsiTheme="minorHAnsi" w:cs="Courier New"/>
          <w:lang w:eastAsia="it-IT"/>
        </w:rPr>
        <w:t xml:space="preserve">Principale </w:t>
      </w:r>
      <w:proofErr w:type="spellStart"/>
      <w:r w:rsidR="00137D35" w:rsidRPr="00F3099A">
        <w:rPr>
          <w:rFonts w:asciiTheme="minorHAnsi" w:eastAsia="Times New Roman" w:hAnsiTheme="minorHAnsi" w:cs="Courier New"/>
          <w:lang w:eastAsia="it-IT"/>
        </w:rPr>
        <w:t>endpoint</w:t>
      </w:r>
      <w:proofErr w:type="spellEnd"/>
      <w:r w:rsidR="00137D35" w:rsidRPr="00F3099A">
        <w:rPr>
          <w:rFonts w:asciiTheme="minorHAnsi" w:eastAsia="Times New Roman" w:hAnsiTheme="minorHAnsi" w:cs="Courier New"/>
          <w:lang w:eastAsia="it-IT"/>
        </w:rPr>
        <w:t xml:space="preserve"> secondario </w:t>
      </w:r>
      <w:r w:rsidRPr="00F3099A">
        <w:rPr>
          <w:rFonts w:asciiTheme="minorHAnsi" w:eastAsia="Times New Roman" w:hAnsiTheme="minorHAnsi" w:cs="Courier New"/>
          <w:lang w:eastAsia="it-IT"/>
        </w:rPr>
        <w:t>(</w:t>
      </w:r>
      <w:r w:rsidR="00137D35" w:rsidRPr="00F3099A">
        <w:rPr>
          <w:rFonts w:asciiTheme="minorHAnsi" w:eastAsia="Times New Roman" w:hAnsiTheme="minorHAnsi" w:cs="Courier New"/>
          <w:lang w:eastAsia="it-IT"/>
        </w:rPr>
        <w:t>composito per</w:t>
      </w:r>
      <w:r w:rsidRPr="00F3099A">
        <w:rPr>
          <w:rFonts w:asciiTheme="minorHAnsi" w:eastAsia="Times New Roman" w:hAnsiTheme="minorHAnsi" w:cs="Courier New"/>
          <w:lang w:eastAsia="it-IT"/>
        </w:rPr>
        <w:t xml:space="preserve"> morte, infarto miocardico, ictus, embolia sistemica e rivascolarizzazione non pianificata): </w:t>
      </w:r>
    </w:p>
    <w:p w:rsidR="009A0B13" w:rsidRPr="00F3099A" w:rsidRDefault="009A0B13" w:rsidP="009A0B13">
      <w:pPr>
        <w:ind w:left="708"/>
        <w:jc w:val="both"/>
        <w:rPr>
          <w:rFonts w:asciiTheme="minorHAnsi" w:eastAsia="Times New Roman" w:hAnsiTheme="minorHAnsi" w:cs="Courier New"/>
          <w:lang w:eastAsia="it-IT"/>
        </w:rPr>
      </w:pPr>
      <w:r w:rsidRPr="00F3099A">
        <w:rPr>
          <w:rFonts w:asciiTheme="minorHAnsi" w:eastAsia="Times New Roman" w:hAnsiTheme="minorHAnsi" w:cs="Courier New"/>
          <w:lang w:eastAsia="it-IT"/>
        </w:rPr>
        <w:t xml:space="preserve">• Sono stati osservati tassi di eventi simili: 13,7% per i due gruppi di duplice terapia con </w:t>
      </w:r>
      <w:proofErr w:type="spellStart"/>
      <w:r w:rsidRPr="00F3099A">
        <w:rPr>
          <w:rFonts w:asciiTheme="minorHAnsi" w:eastAsia="Times New Roman" w:hAnsiTheme="minorHAnsi" w:cs="Courier New"/>
          <w:lang w:eastAsia="it-IT"/>
        </w:rPr>
        <w:t>dabigatran</w:t>
      </w:r>
      <w:proofErr w:type="spellEnd"/>
      <w:r w:rsidRPr="00F3099A">
        <w:rPr>
          <w:rFonts w:asciiTheme="minorHAnsi" w:eastAsia="Times New Roman" w:hAnsiTheme="minorHAnsi" w:cs="Courier New"/>
          <w:lang w:eastAsia="it-IT"/>
        </w:rPr>
        <w:t xml:space="preserve"> </w:t>
      </w:r>
      <w:proofErr w:type="spellStart"/>
      <w:r w:rsidRPr="00F3099A">
        <w:rPr>
          <w:rFonts w:asciiTheme="minorHAnsi" w:eastAsia="Times New Roman" w:hAnsiTheme="minorHAnsi" w:cs="Courier New"/>
          <w:lang w:eastAsia="it-IT"/>
        </w:rPr>
        <w:t>etexilato</w:t>
      </w:r>
      <w:proofErr w:type="spellEnd"/>
      <w:r w:rsidRPr="00F3099A">
        <w:rPr>
          <w:rFonts w:asciiTheme="minorHAnsi" w:eastAsia="Times New Roman" w:hAnsiTheme="minorHAnsi" w:cs="Courier New"/>
          <w:lang w:eastAsia="it-IT"/>
        </w:rPr>
        <w:t xml:space="preserve">, </w:t>
      </w:r>
      <w:r w:rsidR="007E36CA" w:rsidRPr="00F3099A">
        <w:rPr>
          <w:rFonts w:asciiTheme="minorHAnsi" w:eastAsia="Times New Roman" w:hAnsiTheme="minorHAnsi" w:cs="Courier New"/>
          <w:lang w:eastAsia="it-IT"/>
        </w:rPr>
        <w:t>e</w:t>
      </w:r>
      <w:r w:rsidRPr="00F3099A">
        <w:rPr>
          <w:rFonts w:asciiTheme="minorHAnsi" w:eastAsia="Times New Roman" w:hAnsiTheme="minorHAnsi" w:cs="Courier New"/>
          <w:lang w:eastAsia="it-IT"/>
        </w:rPr>
        <w:t xml:space="preserve"> 13,4% per la triplice terapia con warfarin.</w:t>
      </w:r>
    </w:p>
    <w:p w:rsidR="00685517" w:rsidRPr="00F3099A" w:rsidRDefault="009A0B13" w:rsidP="009A0B13">
      <w:pPr>
        <w:jc w:val="both"/>
        <w:rPr>
          <w:rFonts w:asciiTheme="minorHAnsi" w:eastAsia="Times New Roman" w:hAnsiTheme="minorHAnsi" w:cs="Courier New"/>
          <w:lang w:eastAsia="it-IT"/>
        </w:rPr>
      </w:pPr>
      <w:r w:rsidRPr="00F3099A">
        <w:rPr>
          <w:rFonts w:asciiTheme="minorHAnsi" w:eastAsia="Times New Roman" w:hAnsiTheme="minorHAnsi" w:cs="Courier New"/>
          <w:lang w:eastAsia="it-IT"/>
        </w:rPr>
        <w:t xml:space="preserve">"I risultati che abbiamo osservato nello Studio RE-DUAL PCI ™ sono un’ulteriore importante evidenza </w:t>
      </w:r>
      <w:r w:rsidR="007E36CA" w:rsidRPr="00F3099A">
        <w:rPr>
          <w:rFonts w:asciiTheme="minorHAnsi" w:eastAsia="Times New Roman" w:hAnsiTheme="minorHAnsi" w:cs="Courier New"/>
          <w:lang w:eastAsia="it-IT"/>
        </w:rPr>
        <w:t>dei benefici</w:t>
      </w:r>
      <w:r w:rsidRPr="00F3099A">
        <w:rPr>
          <w:rFonts w:asciiTheme="minorHAnsi" w:eastAsia="Times New Roman" w:hAnsiTheme="minorHAnsi" w:cs="Courier New"/>
          <w:lang w:eastAsia="it-IT"/>
        </w:rPr>
        <w:t xml:space="preserve"> che </w:t>
      </w:r>
      <w:proofErr w:type="spellStart"/>
      <w:r w:rsidRPr="00F3099A">
        <w:rPr>
          <w:rFonts w:asciiTheme="minorHAnsi" w:eastAsia="Times New Roman" w:hAnsiTheme="minorHAnsi" w:cs="Courier New"/>
          <w:lang w:eastAsia="it-IT"/>
        </w:rPr>
        <w:t>d</w:t>
      </w:r>
      <w:r w:rsidR="002355A7" w:rsidRPr="00F3099A">
        <w:rPr>
          <w:rFonts w:asciiTheme="minorHAnsi" w:eastAsia="Times New Roman" w:hAnsiTheme="minorHAnsi" w:cs="Courier New"/>
          <w:lang w:eastAsia="it-IT"/>
        </w:rPr>
        <w:t>abigatran</w:t>
      </w:r>
      <w:proofErr w:type="spellEnd"/>
      <w:r w:rsidR="002355A7" w:rsidRPr="00F3099A">
        <w:rPr>
          <w:rFonts w:asciiTheme="minorHAnsi" w:eastAsia="Times New Roman" w:hAnsiTheme="minorHAnsi" w:cs="Courier New"/>
          <w:lang w:eastAsia="it-IT"/>
        </w:rPr>
        <w:t xml:space="preserve"> </w:t>
      </w:r>
      <w:proofErr w:type="spellStart"/>
      <w:r w:rsidR="002355A7" w:rsidRPr="00F3099A">
        <w:rPr>
          <w:rFonts w:asciiTheme="minorHAnsi" w:eastAsia="Times New Roman" w:hAnsiTheme="minorHAnsi" w:cs="Courier New"/>
          <w:lang w:eastAsia="it-IT"/>
        </w:rPr>
        <w:t>etexilato</w:t>
      </w:r>
      <w:proofErr w:type="spellEnd"/>
      <w:r w:rsidR="002355A7" w:rsidRPr="00F3099A">
        <w:rPr>
          <w:rFonts w:asciiTheme="minorHAnsi" w:eastAsia="Times New Roman" w:hAnsiTheme="minorHAnsi" w:cs="Courier New"/>
          <w:lang w:eastAsia="it-IT"/>
        </w:rPr>
        <w:t xml:space="preserve"> offre </w:t>
      </w:r>
      <w:r w:rsidRPr="00F3099A">
        <w:rPr>
          <w:rFonts w:asciiTheme="minorHAnsi" w:eastAsia="Times New Roman" w:hAnsiTheme="minorHAnsi" w:cs="Courier New"/>
          <w:lang w:eastAsia="it-IT"/>
        </w:rPr>
        <w:t>ai p</w:t>
      </w:r>
      <w:r w:rsidR="00137D35" w:rsidRPr="00F3099A">
        <w:rPr>
          <w:rFonts w:asciiTheme="minorHAnsi" w:eastAsia="Times New Roman" w:hAnsiTheme="minorHAnsi" w:cs="Courier New"/>
          <w:lang w:eastAsia="it-IT"/>
        </w:rPr>
        <w:t>azienti con f</w:t>
      </w:r>
      <w:r w:rsidRPr="00F3099A">
        <w:rPr>
          <w:rFonts w:asciiTheme="minorHAnsi" w:eastAsia="Times New Roman" w:hAnsiTheme="minorHAnsi" w:cs="Courier New"/>
          <w:lang w:eastAsia="it-IT"/>
        </w:rPr>
        <w:t xml:space="preserve">ibrillazione </w:t>
      </w:r>
      <w:r w:rsidR="00137D35" w:rsidRPr="00F3099A">
        <w:rPr>
          <w:rFonts w:asciiTheme="minorHAnsi" w:eastAsia="Times New Roman" w:hAnsiTheme="minorHAnsi" w:cs="Courier New"/>
          <w:lang w:eastAsia="it-IT"/>
        </w:rPr>
        <w:t>a</w:t>
      </w:r>
      <w:r w:rsidRPr="00F3099A">
        <w:rPr>
          <w:rFonts w:asciiTheme="minorHAnsi" w:eastAsia="Times New Roman" w:hAnsiTheme="minorHAnsi" w:cs="Courier New"/>
          <w:lang w:eastAsia="it-IT"/>
        </w:rPr>
        <w:t>triale e ai loro medici</w:t>
      </w:r>
      <w:r w:rsidR="002355A7" w:rsidRPr="00F3099A">
        <w:rPr>
          <w:rFonts w:asciiTheme="minorHAnsi" w:eastAsia="Times New Roman" w:hAnsiTheme="minorHAnsi" w:cs="Courier New"/>
          <w:lang w:eastAsia="it-IT"/>
        </w:rPr>
        <w:t xml:space="preserve">. </w:t>
      </w:r>
    </w:p>
    <w:p w:rsidR="009A0B13" w:rsidRPr="00F3099A" w:rsidRDefault="002355A7" w:rsidP="009A0B13">
      <w:pPr>
        <w:jc w:val="both"/>
        <w:rPr>
          <w:rFonts w:asciiTheme="minorHAnsi" w:eastAsia="Times New Roman" w:hAnsiTheme="minorHAnsi" w:cs="Courier New"/>
          <w:vertAlign w:val="superscript"/>
          <w:lang w:eastAsia="it-IT"/>
        </w:rPr>
      </w:pPr>
      <w:r w:rsidRPr="00F3099A">
        <w:rPr>
          <w:rFonts w:asciiTheme="minorHAnsi" w:eastAsia="Times New Roman" w:hAnsiTheme="minorHAnsi" w:cs="Courier New"/>
          <w:lang w:eastAsia="it-IT"/>
        </w:rPr>
        <w:t>Q</w:t>
      </w:r>
      <w:r w:rsidR="007E36CA" w:rsidRPr="00F3099A">
        <w:rPr>
          <w:rFonts w:asciiTheme="minorHAnsi" w:eastAsia="Times New Roman" w:hAnsiTheme="minorHAnsi" w:cs="Courier New"/>
          <w:lang w:eastAsia="it-IT"/>
        </w:rPr>
        <w:t xml:space="preserve">uesto è </w:t>
      </w:r>
      <w:r w:rsidRPr="00F3099A">
        <w:rPr>
          <w:rFonts w:asciiTheme="minorHAnsi" w:eastAsia="Times New Roman" w:hAnsiTheme="minorHAnsi" w:cs="Courier New"/>
          <w:lang w:eastAsia="it-IT"/>
        </w:rPr>
        <w:t>emerso</w:t>
      </w:r>
      <w:r w:rsidR="007E36CA" w:rsidRPr="00F3099A">
        <w:rPr>
          <w:rFonts w:asciiTheme="minorHAnsi" w:eastAsia="Times New Roman" w:hAnsiTheme="minorHAnsi" w:cs="Courier New"/>
          <w:lang w:eastAsia="it-IT"/>
        </w:rPr>
        <w:t xml:space="preserve"> anche per altre situazioni, che possono accadere ai pazienti in trattamento anticoagulante</w:t>
      </w:r>
      <w:r w:rsidRPr="00F3099A">
        <w:rPr>
          <w:rFonts w:asciiTheme="minorHAnsi" w:eastAsia="Times New Roman" w:hAnsiTheme="minorHAnsi" w:cs="Courier New"/>
          <w:lang w:eastAsia="it-IT"/>
        </w:rPr>
        <w:t xml:space="preserve"> orale</w:t>
      </w:r>
      <w:r w:rsidR="007E36CA" w:rsidRPr="00F3099A">
        <w:rPr>
          <w:rFonts w:asciiTheme="minorHAnsi" w:eastAsia="Times New Roman" w:hAnsiTheme="minorHAnsi" w:cs="Courier New"/>
          <w:lang w:eastAsia="it-IT"/>
        </w:rPr>
        <w:t xml:space="preserve">, come la necessità di una ablazione </w:t>
      </w:r>
      <w:proofErr w:type="spellStart"/>
      <w:r w:rsidR="007E36CA" w:rsidRPr="00F3099A">
        <w:rPr>
          <w:rFonts w:asciiTheme="minorHAnsi" w:eastAsia="Times New Roman" w:hAnsiTheme="minorHAnsi" w:cs="Courier New"/>
          <w:lang w:eastAsia="it-IT"/>
        </w:rPr>
        <w:t>transcatetere</w:t>
      </w:r>
      <w:proofErr w:type="spellEnd"/>
      <w:r w:rsidR="007E36CA" w:rsidRPr="00F3099A">
        <w:rPr>
          <w:rFonts w:asciiTheme="minorHAnsi" w:eastAsia="Times New Roman" w:hAnsiTheme="minorHAnsi" w:cs="Courier New"/>
          <w:lang w:eastAsia="it-IT"/>
        </w:rPr>
        <w:t xml:space="preserve"> (studio RE-CIRCUIT)</w:t>
      </w:r>
      <w:r w:rsidR="00685517" w:rsidRPr="00F3099A">
        <w:rPr>
          <w:rFonts w:asciiTheme="minorHAnsi" w:eastAsia="Times New Roman" w:hAnsiTheme="minorHAnsi" w:cs="Courier New"/>
          <w:lang w:eastAsia="it-IT"/>
        </w:rPr>
        <w:t xml:space="preserve">, </w:t>
      </w:r>
      <w:r w:rsidRPr="00F3099A">
        <w:rPr>
          <w:rFonts w:asciiTheme="minorHAnsi" w:eastAsia="Times New Roman" w:hAnsiTheme="minorHAnsi" w:cs="Courier New"/>
          <w:lang w:eastAsia="it-IT"/>
        </w:rPr>
        <w:t>le situazioni di emergenza urgenza (studio RE-VERSE AD) e in</w:t>
      </w:r>
      <w:r w:rsidR="00685517" w:rsidRPr="00F3099A">
        <w:rPr>
          <w:rFonts w:asciiTheme="minorHAnsi" w:eastAsia="Times New Roman" w:hAnsiTheme="minorHAnsi" w:cs="Courier New"/>
          <w:lang w:eastAsia="it-IT"/>
        </w:rPr>
        <w:t xml:space="preserve"> piena </w:t>
      </w:r>
      <w:r w:rsidRPr="00F3099A">
        <w:rPr>
          <w:rFonts w:asciiTheme="minorHAnsi" w:eastAsia="Times New Roman" w:hAnsiTheme="minorHAnsi" w:cs="Courier New"/>
          <w:lang w:eastAsia="it-IT"/>
        </w:rPr>
        <w:t xml:space="preserve">consistenza con i </w:t>
      </w:r>
      <w:r w:rsidR="009A0B13" w:rsidRPr="00F3099A">
        <w:rPr>
          <w:rFonts w:asciiTheme="minorHAnsi" w:eastAsia="Times New Roman" w:hAnsiTheme="minorHAnsi" w:cs="Courier New"/>
          <w:lang w:eastAsia="it-IT"/>
        </w:rPr>
        <w:t xml:space="preserve">dati </w:t>
      </w:r>
      <w:r w:rsidRPr="00F3099A">
        <w:rPr>
          <w:rFonts w:asciiTheme="minorHAnsi" w:eastAsia="Times New Roman" w:hAnsiTheme="minorHAnsi" w:cs="Courier New"/>
          <w:lang w:eastAsia="it-IT"/>
        </w:rPr>
        <w:t>di sicurezza dal mondo reale</w:t>
      </w:r>
      <w:r w:rsidRPr="00F3099A">
        <w:rPr>
          <w:rFonts w:asciiTheme="minorHAnsi" w:eastAsia="Times New Roman" w:hAnsiTheme="minorHAnsi" w:cs="Courier New"/>
          <w:i/>
          <w:lang w:eastAsia="it-IT"/>
        </w:rPr>
        <w:t xml:space="preserve">. </w:t>
      </w:r>
      <w:r w:rsidR="009A0B13" w:rsidRPr="00F3099A">
        <w:rPr>
          <w:rFonts w:asciiTheme="minorHAnsi" w:eastAsia="Times New Roman" w:hAnsiTheme="minorHAnsi" w:cs="Courier New"/>
          <w:lang w:eastAsia="it-IT"/>
        </w:rPr>
        <w:t>Tutti insieme, questi dati dipingono un quadro davvero convincente</w:t>
      </w:r>
      <w:r w:rsidR="00AA7BE2" w:rsidRPr="00F3099A">
        <w:rPr>
          <w:rFonts w:asciiTheme="minorHAnsi" w:eastAsia="Times New Roman" w:hAnsiTheme="minorHAnsi" w:cs="Courier New"/>
          <w:lang w:eastAsia="it-IT"/>
        </w:rPr>
        <w:t xml:space="preserve"> sul profilo di sicurezza ed efficacia di </w:t>
      </w:r>
      <w:proofErr w:type="spellStart"/>
      <w:r w:rsidR="00AA7BE2" w:rsidRPr="00F3099A">
        <w:rPr>
          <w:rFonts w:asciiTheme="minorHAnsi" w:eastAsia="Times New Roman" w:hAnsiTheme="minorHAnsi" w:cs="Courier New"/>
          <w:lang w:eastAsia="it-IT"/>
        </w:rPr>
        <w:t>dabigatran</w:t>
      </w:r>
      <w:proofErr w:type="spellEnd"/>
      <w:r w:rsidR="00AA7BE2" w:rsidRPr="00F3099A">
        <w:rPr>
          <w:rFonts w:asciiTheme="minorHAnsi" w:eastAsia="Times New Roman" w:hAnsiTheme="minorHAnsi" w:cs="Courier New"/>
          <w:lang w:eastAsia="it-IT"/>
        </w:rPr>
        <w:t xml:space="preserve"> </w:t>
      </w:r>
      <w:proofErr w:type="spellStart"/>
      <w:r w:rsidR="00AA7BE2" w:rsidRPr="00F3099A">
        <w:rPr>
          <w:rFonts w:asciiTheme="minorHAnsi" w:eastAsia="Times New Roman" w:hAnsiTheme="minorHAnsi" w:cs="Courier New"/>
          <w:lang w:eastAsia="it-IT"/>
        </w:rPr>
        <w:t>etexilato</w:t>
      </w:r>
      <w:proofErr w:type="spellEnd"/>
      <w:r w:rsidR="00AA7BE2" w:rsidRPr="00F3099A">
        <w:rPr>
          <w:rFonts w:asciiTheme="minorHAnsi" w:eastAsia="Times New Roman" w:hAnsiTheme="minorHAnsi" w:cs="Courier New"/>
          <w:lang w:eastAsia="it-IT"/>
        </w:rPr>
        <w:t xml:space="preserve"> </w:t>
      </w:r>
      <w:r w:rsidRPr="00F3099A">
        <w:rPr>
          <w:rFonts w:asciiTheme="minorHAnsi" w:eastAsia="Times New Roman" w:hAnsiTheme="minorHAnsi" w:cs="Courier New"/>
          <w:lang w:eastAsia="it-IT"/>
        </w:rPr>
        <w:t xml:space="preserve">" - ha commentato il professor Jörg </w:t>
      </w:r>
      <w:proofErr w:type="spellStart"/>
      <w:r w:rsidRPr="00F3099A">
        <w:rPr>
          <w:rFonts w:asciiTheme="minorHAnsi" w:eastAsia="Times New Roman" w:hAnsiTheme="minorHAnsi" w:cs="Courier New"/>
          <w:lang w:eastAsia="it-IT"/>
        </w:rPr>
        <w:t>Kreuzer</w:t>
      </w:r>
      <w:proofErr w:type="spellEnd"/>
      <w:r w:rsidRPr="00F3099A">
        <w:rPr>
          <w:rFonts w:asciiTheme="minorHAnsi" w:eastAsia="Times New Roman" w:hAnsiTheme="minorHAnsi" w:cs="Courier New"/>
          <w:lang w:eastAsia="it-IT"/>
        </w:rPr>
        <w:t xml:space="preserve">, </w:t>
      </w:r>
      <w:r w:rsidRPr="00F3099A">
        <w:rPr>
          <w:rFonts w:asciiTheme="minorHAnsi" w:eastAsia="Times New Roman" w:hAnsiTheme="minorHAnsi" w:cs="Courier New"/>
          <w:i/>
          <w:lang w:eastAsia="it-IT"/>
        </w:rPr>
        <w:t xml:space="preserve">Vice </w:t>
      </w:r>
      <w:proofErr w:type="spellStart"/>
      <w:r w:rsidRPr="00F3099A">
        <w:rPr>
          <w:rFonts w:asciiTheme="minorHAnsi" w:eastAsia="Times New Roman" w:hAnsiTheme="minorHAnsi" w:cs="Courier New"/>
          <w:i/>
          <w:lang w:eastAsia="it-IT"/>
        </w:rPr>
        <w:t>President</w:t>
      </w:r>
      <w:proofErr w:type="spellEnd"/>
      <w:r w:rsidRPr="00F3099A">
        <w:rPr>
          <w:rFonts w:asciiTheme="minorHAnsi" w:eastAsia="Times New Roman" w:hAnsiTheme="minorHAnsi" w:cs="Courier New"/>
          <w:lang w:eastAsia="it-IT"/>
        </w:rPr>
        <w:t xml:space="preserve"> </w:t>
      </w:r>
      <w:r w:rsidRPr="00F3099A">
        <w:rPr>
          <w:rFonts w:asciiTheme="minorHAnsi" w:eastAsia="Times New Roman" w:hAnsiTheme="minorHAnsi" w:cs="Courier New"/>
          <w:i/>
          <w:iCs/>
          <w:lang w:eastAsia="it-IT"/>
        </w:rPr>
        <w:t>Medicine</w:t>
      </w:r>
      <w:r w:rsidRPr="00F3099A">
        <w:rPr>
          <w:rFonts w:asciiTheme="minorHAnsi" w:eastAsia="Times New Roman" w:hAnsiTheme="minorHAnsi" w:cs="Courier New"/>
          <w:lang w:eastAsia="it-IT"/>
        </w:rPr>
        <w:t xml:space="preserve"> dell’area terapeutica cardiovascolare di Boehringer </w:t>
      </w:r>
      <w:proofErr w:type="spellStart"/>
      <w:r w:rsidRPr="00F3099A">
        <w:rPr>
          <w:rFonts w:asciiTheme="minorHAnsi" w:eastAsia="Times New Roman" w:hAnsiTheme="minorHAnsi" w:cs="Courier New"/>
          <w:lang w:eastAsia="it-IT"/>
        </w:rPr>
        <w:t>Ingelheim</w:t>
      </w:r>
      <w:proofErr w:type="spellEnd"/>
      <w:r w:rsidRPr="00F3099A">
        <w:rPr>
          <w:rFonts w:asciiTheme="minorHAnsi" w:eastAsia="Times New Roman" w:hAnsiTheme="minorHAnsi" w:cs="Courier New"/>
          <w:lang w:eastAsia="it-IT"/>
        </w:rPr>
        <w:t>."</w:t>
      </w:r>
      <w:r w:rsidR="00B1216F" w:rsidRPr="00F3099A">
        <w:rPr>
          <w:rFonts w:asciiTheme="minorHAnsi" w:eastAsia="Times New Roman" w:hAnsiTheme="minorHAnsi" w:cs="Courier New"/>
          <w:lang w:eastAsia="it-IT"/>
        </w:rPr>
        <w:t xml:space="preserve"> </w:t>
      </w:r>
      <w:r w:rsidR="00B1216F" w:rsidRPr="00F3099A">
        <w:rPr>
          <w:rFonts w:asciiTheme="minorHAnsi" w:eastAsia="Times New Roman" w:hAnsiTheme="minorHAnsi" w:cs="Courier New"/>
          <w:vertAlign w:val="superscript"/>
          <w:lang w:eastAsia="it-IT"/>
        </w:rPr>
        <w:t>1,2,8-18</w:t>
      </w:r>
    </w:p>
    <w:p w:rsidR="00CB00F0" w:rsidRPr="00F3099A" w:rsidRDefault="00CB00F0" w:rsidP="009A0B13">
      <w:pPr>
        <w:jc w:val="both"/>
        <w:rPr>
          <w:rFonts w:asciiTheme="minorHAnsi" w:eastAsia="Times New Roman" w:hAnsiTheme="minorHAnsi" w:cs="Courier New"/>
          <w:b/>
          <w:lang w:eastAsia="it-IT"/>
        </w:rPr>
      </w:pPr>
    </w:p>
    <w:p w:rsidR="009A0B13" w:rsidRPr="00F3099A" w:rsidRDefault="009A0B13" w:rsidP="009A0B13">
      <w:pPr>
        <w:jc w:val="both"/>
        <w:rPr>
          <w:rFonts w:asciiTheme="minorHAnsi" w:eastAsia="Times New Roman" w:hAnsiTheme="minorHAnsi" w:cs="Courier New"/>
          <w:b/>
          <w:lang w:eastAsia="it-IT"/>
        </w:rPr>
      </w:pPr>
      <w:r w:rsidRPr="00F3099A">
        <w:rPr>
          <w:rFonts w:asciiTheme="minorHAnsi" w:eastAsia="Times New Roman" w:hAnsiTheme="minorHAnsi" w:cs="Courier New"/>
          <w:b/>
          <w:lang w:eastAsia="it-IT"/>
        </w:rPr>
        <w:lastRenderedPageBreak/>
        <w:t>RE-DUAL PCI ™</w:t>
      </w:r>
    </w:p>
    <w:p w:rsidR="009A0B13" w:rsidRPr="00F3099A" w:rsidRDefault="009A0B13" w:rsidP="009A0B13">
      <w:pPr>
        <w:jc w:val="both"/>
        <w:rPr>
          <w:rFonts w:asciiTheme="minorHAnsi" w:eastAsia="Times New Roman" w:hAnsiTheme="minorHAnsi" w:cs="Courier New"/>
          <w:lang w:eastAsia="it-IT"/>
        </w:rPr>
      </w:pPr>
      <w:r w:rsidRPr="00F3099A">
        <w:rPr>
          <w:rFonts w:asciiTheme="minorHAnsi" w:eastAsia="Times New Roman" w:hAnsiTheme="minorHAnsi" w:cs="Courier New"/>
          <w:lang w:eastAsia="it-IT"/>
        </w:rPr>
        <w:t xml:space="preserve">RE-DUAL PCI ™ </w:t>
      </w:r>
      <w:r w:rsidR="00685517" w:rsidRPr="00F3099A">
        <w:rPr>
          <w:rFonts w:asciiTheme="minorHAnsi" w:eastAsia="Times New Roman" w:hAnsiTheme="minorHAnsi" w:cs="Courier New"/>
          <w:lang w:eastAsia="it-IT"/>
        </w:rPr>
        <w:t>confronta</w:t>
      </w:r>
      <w:r w:rsidRPr="00F3099A">
        <w:rPr>
          <w:rFonts w:asciiTheme="minorHAnsi" w:eastAsia="Times New Roman" w:hAnsiTheme="minorHAnsi" w:cs="Courier New"/>
          <w:lang w:eastAsia="it-IT"/>
        </w:rPr>
        <w:t xml:space="preserve"> la duplice terapia con </w:t>
      </w:r>
      <w:proofErr w:type="spellStart"/>
      <w:r w:rsidRPr="00F3099A">
        <w:rPr>
          <w:rFonts w:asciiTheme="minorHAnsi" w:eastAsia="Times New Roman" w:hAnsiTheme="minorHAnsi" w:cs="Courier New"/>
          <w:lang w:eastAsia="it-IT"/>
        </w:rPr>
        <w:t>dabigatran</w:t>
      </w:r>
      <w:proofErr w:type="spellEnd"/>
      <w:r w:rsidRPr="00F3099A">
        <w:rPr>
          <w:rFonts w:asciiTheme="minorHAnsi" w:eastAsia="Times New Roman" w:hAnsiTheme="minorHAnsi" w:cs="Courier New"/>
          <w:lang w:eastAsia="it-IT"/>
        </w:rPr>
        <w:t xml:space="preserve"> </w:t>
      </w:r>
      <w:proofErr w:type="spellStart"/>
      <w:r w:rsidRPr="00F3099A">
        <w:rPr>
          <w:rFonts w:asciiTheme="minorHAnsi" w:eastAsia="Times New Roman" w:hAnsiTheme="minorHAnsi" w:cs="Courier New"/>
          <w:lang w:eastAsia="it-IT"/>
        </w:rPr>
        <w:t>etexilato</w:t>
      </w:r>
      <w:proofErr w:type="spellEnd"/>
      <w:r w:rsidR="00685517" w:rsidRPr="00F3099A">
        <w:rPr>
          <w:rFonts w:asciiTheme="minorHAnsi" w:eastAsia="Times New Roman" w:hAnsiTheme="minorHAnsi" w:cs="Courier New"/>
          <w:lang w:eastAsia="it-IT"/>
        </w:rPr>
        <w:t xml:space="preserve">, associato ad </w:t>
      </w:r>
      <w:r w:rsidRPr="00F3099A">
        <w:rPr>
          <w:rFonts w:asciiTheme="minorHAnsi" w:eastAsia="Times New Roman" w:hAnsiTheme="minorHAnsi" w:cs="Courier New"/>
          <w:lang w:eastAsia="it-IT"/>
        </w:rPr>
        <w:t>una singola terapia</w:t>
      </w:r>
      <w:r w:rsidR="00685517" w:rsidRPr="00F3099A">
        <w:rPr>
          <w:rFonts w:asciiTheme="minorHAnsi" w:eastAsia="Times New Roman" w:hAnsiTheme="minorHAnsi" w:cs="Courier New"/>
          <w:lang w:eastAsia="it-IT"/>
        </w:rPr>
        <w:t xml:space="preserve"> antiaggregante (non aspirina), con la triplice terapia costituita da</w:t>
      </w:r>
      <w:r w:rsidRPr="00F3099A">
        <w:rPr>
          <w:rFonts w:asciiTheme="minorHAnsi" w:eastAsia="Times New Roman" w:hAnsiTheme="minorHAnsi" w:cs="Courier New"/>
          <w:lang w:eastAsia="it-IT"/>
        </w:rPr>
        <w:t xml:space="preserve"> warfarin e due antiaggreganti, tra cui aspirina, in pazienti affetti da </w:t>
      </w:r>
      <w:r w:rsidR="00137D35" w:rsidRPr="00F3099A">
        <w:rPr>
          <w:rFonts w:asciiTheme="minorHAnsi" w:eastAsia="Times New Roman" w:hAnsiTheme="minorHAnsi" w:cs="Courier New"/>
          <w:lang w:eastAsia="it-IT"/>
        </w:rPr>
        <w:t>f</w:t>
      </w:r>
      <w:r w:rsidRPr="00F3099A">
        <w:rPr>
          <w:rFonts w:asciiTheme="minorHAnsi" w:eastAsia="Times New Roman" w:hAnsiTheme="minorHAnsi" w:cs="Courier New"/>
          <w:lang w:eastAsia="it-IT"/>
        </w:rPr>
        <w:t xml:space="preserve">ibrillazione </w:t>
      </w:r>
      <w:r w:rsidR="00137D35" w:rsidRPr="00F3099A">
        <w:rPr>
          <w:rFonts w:asciiTheme="minorHAnsi" w:eastAsia="Times New Roman" w:hAnsiTheme="minorHAnsi" w:cs="Courier New"/>
          <w:lang w:eastAsia="it-IT"/>
        </w:rPr>
        <w:t>a</w:t>
      </w:r>
      <w:r w:rsidRPr="00F3099A">
        <w:rPr>
          <w:rFonts w:asciiTheme="minorHAnsi" w:eastAsia="Times New Roman" w:hAnsiTheme="minorHAnsi" w:cs="Courier New"/>
          <w:lang w:eastAsia="it-IT"/>
        </w:rPr>
        <w:t xml:space="preserve">triale </w:t>
      </w:r>
      <w:r w:rsidR="00685517" w:rsidRPr="00F3099A">
        <w:rPr>
          <w:rFonts w:asciiTheme="minorHAnsi" w:eastAsia="Times New Roman" w:hAnsiTheme="minorHAnsi" w:cs="Courier New"/>
          <w:lang w:eastAsia="it-IT"/>
        </w:rPr>
        <w:t xml:space="preserve">non valvolare dopo una procedura di </w:t>
      </w:r>
      <w:r w:rsidR="0019717F" w:rsidRPr="00F3099A">
        <w:rPr>
          <w:rFonts w:asciiTheme="minorHAnsi" w:eastAsia="Times New Roman" w:hAnsiTheme="minorHAnsi" w:cs="Courier New"/>
          <w:lang w:eastAsia="it-IT"/>
        </w:rPr>
        <w:t>angioplastica</w:t>
      </w:r>
      <w:r w:rsidR="00685517" w:rsidRPr="00F3099A">
        <w:rPr>
          <w:rFonts w:asciiTheme="minorHAnsi" w:eastAsia="Times New Roman" w:hAnsiTheme="minorHAnsi" w:cs="Courier New"/>
          <w:lang w:eastAsia="it-IT"/>
        </w:rPr>
        <w:t xml:space="preserve"> (PCI) </w:t>
      </w:r>
      <w:r w:rsidR="0019717F" w:rsidRPr="00F3099A">
        <w:rPr>
          <w:rFonts w:asciiTheme="minorHAnsi" w:eastAsia="Times New Roman" w:hAnsiTheme="minorHAnsi" w:cs="Courier New"/>
          <w:lang w:eastAsia="it-IT"/>
        </w:rPr>
        <w:t>con inserimento di</w:t>
      </w:r>
      <w:r w:rsidRPr="00F3099A">
        <w:rPr>
          <w:rFonts w:asciiTheme="minorHAnsi" w:eastAsia="Times New Roman" w:hAnsiTheme="minorHAnsi" w:cs="Courier New"/>
          <w:lang w:eastAsia="it-IT"/>
        </w:rPr>
        <w:t xml:space="preserve"> stent.</w:t>
      </w:r>
      <w:r w:rsidRPr="00F3099A">
        <w:rPr>
          <w:rFonts w:asciiTheme="minorHAnsi" w:eastAsia="Times New Roman" w:hAnsiTheme="minorHAnsi" w:cs="Courier New"/>
          <w:vertAlign w:val="superscript"/>
          <w:lang w:eastAsia="it-IT"/>
        </w:rPr>
        <w:t>1,2,</w:t>
      </w:r>
      <w:r w:rsidR="00B1216F" w:rsidRPr="00F3099A">
        <w:rPr>
          <w:rFonts w:asciiTheme="minorHAnsi" w:eastAsia="Times New Roman" w:hAnsiTheme="minorHAnsi" w:cs="Courier New"/>
          <w:vertAlign w:val="superscript"/>
          <w:lang w:eastAsia="it-IT"/>
        </w:rPr>
        <w:t>19</w:t>
      </w:r>
    </w:p>
    <w:p w:rsidR="009A0B13" w:rsidRPr="00F3099A" w:rsidRDefault="009A0B13" w:rsidP="009A0B13">
      <w:pPr>
        <w:jc w:val="both"/>
        <w:rPr>
          <w:rFonts w:asciiTheme="minorHAnsi" w:eastAsia="Times New Roman" w:hAnsiTheme="minorHAnsi" w:cs="Courier New"/>
          <w:vertAlign w:val="superscript"/>
          <w:lang w:eastAsia="it-IT"/>
        </w:rPr>
      </w:pPr>
      <w:r w:rsidRPr="00F3099A">
        <w:rPr>
          <w:rFonts w:asciiTheme="minorHAnsi" w:eastAsia="Times New Roman" w:hAnsiTheme="minorHAnsi" w:cs="Courier New"/>
          <w:lang w:eastAsia="it-IT"/>
        </w:rPr>
        <w:t>RE-DUAL PCI ™ ha randomizzato 2.725 pazienti adulti sottoposti a PC</w:t>
      </w:r>
      <w:r w:rsidR="0019717F" w:rsidRPr="00F3099A">
        <w:rPr>
          <w:rFonts w:asciiTheme="minorHAnsi" w:eastAsia="Times New Roman" w:hAnsiTheme="minorHAnsi" w:cs="Courier New"/>
          <w:lang w:eastAsia="it-IT"/>
        </w:rPr>
        <w:t xml:space="preserve">I con inserimento di </w:t>
      </w:r>
      <w:proofErr w:type="spellStart"/>
      <w:r w:rsidR="00685517" w:rsidRPr="00F3099A">
        <w:rPr>
          <w:rFonts w:asciiTheme="minorHAnsi" w:eastAsia="Times New Roman" w:hAnsiTheme="minorHAnsi" w:cs="Courier New"/>
          <w:lang w:eastAsia="it-IT"/>
        </w:rPr>
        <w:t>stent</w:t>
      </w:r>
      <w:proofErr w:type="spellEnd"/>
      <w:r w:rsidR="0019717F" w:rsidRPr="00F3099A">
        <w:rPr>
          <w:rFonts w:asciiTheme="minorHAnsi" w:eastAsia="Times New Roman" w:hAnsiTheme="minorHAnsi" w:cs="Courier New"/>
          <w:lang w:eastAsia="it-IT"/>
        </w:rPr>
        <w:t>, elettiva o a</w:t>
      </w:r>
      <w:r w:rsidRPr="00F3099A">
        <w:rPr>
          <w:rFonts w:asciiTheme="minorHAnsi" w:eastAsia="Times New Roman" w:hAnsiTheme="minorHAnsi" w:cs="Courier New"/>
          <w:lang w:eastAsia="it-IT"/>
        </w:rPr>
        <w:t xml:space="preserve"> seguito </w:t>
      </w:r>
      <w:r w:rsidR="006E13D3" w:rsidRPr="00F3099A">
        <w:rPr>
          <w:rFonts w:asciiTheme="minorHAnsi" w:eastAsia="Times New Roman" w:hAnsiTheme="minorHAnsi" w:cs="Courier New"/>
          <w:lang w:eastAsia="it-IT"/>
        </w:rPr>
        <w:t>di un evento coronarico acuto</w:t>
      </w:r>
      <w:r w:rsidR="00685517" w:rsidRPr="00F3099A">
        <w:rPr>
          <w:rFonts w:asciiTheme="minorHAnsi" w:eastAsia="Times New Roman" w:hAnsiTheme="minorHAnsi" w:cs="Courier New"/>
          <w:lang w:eastAsia="it-IT"/>
        </w:rPr>
        <w:t>,</w:t>
      </w:r>
      <w:r w:rsidRPr="00F3099A">
        <w:rPr>
          <w:rFonts w:asciiTheme="minorHAnsi" w:eastAsia="Times New Roman" w:hAnsiTheme="minorHAnsi" w:cs="Courier New"/>
          <w:lang w:eastAsia="it-IT"/>
        </w:rPr>
        <w:t xml:space="preserve"> in 414 centri di oltre 41 Paesi nel mondo</w:t>
      </w:r>
      <w:r w:rsidR="006E13D3" w:rsidRPr="00F3099A">
        <w:rPr>
          <w:rFonts w:asciiTheme="minorHAnsi" w:eastAsia="Times New Roman" w:hAnsiTheme="minorHAnsi" w:cs="Courier New"/>
          <w:lang w:eastAsia="it-IT"/>
        </w:rPr>
        <w:t>, con una durata di 30 mesi</w:t>
      </w:r>
      <w:r w:rsidRPr="00F3099A">
        <w:rPr>
          <w:rFonts w:asciiTheme="minorHAnsi" w:eastAsia="Times New Roman" w:hAnsiTheme="minorHAnsi" w:cs="Courier New"/>
          <w:lang w:eastAsia="it-IT"/>
        </w:rPr>
        <w:t>.</w:t>
      </w:r>
      <w:r w:rsidRPr="00F3099A">
        <w:rPr>
          <w:rFonts w:asciiTheme="minorHAnsi" w:eastAsia="Times New Roman" w:hAnsiTheme="minorHAnsi" w:cs="Courier New"/>
          <w:vertAlign w:val="superscript"/>
          <w:lang w:eastAsia="it-IT"/>
        </w:rPr>
        <w:t>1</w:t>
      </w:r>
    </w:p>
    <w:p w:rsidR="009A0B13" w:rsidRPr="00F3099A" w:rsidRDefault="009A0B13" w:rsidP="009A0B13">
      <w:pPr>
        <w:jc w:val="both"/>
        <w:rPr>
          <w:rFonts w:asciiTheme="minorHAnsi" w:eastAsia="Times New Roman" w:hAnsiTheme="minorHAnsi" w:cs="Courier New"/>
          <w:vertAlign w:val="superscript"/>
          <w:lang w:eastAsia="it-IT"/>
        </w:rPr>
      </w:pPr>
      <w:r w:rsidRPr="00F3099A">
        <w:rPr>
          <w:rFonts w:asciiTheme="minorHAnsi" w:eastAsia="Times New Roman" w:hAnsiTheme="minorHAnsi" w:cs="Courier New"/>
          <w:lang w:eastAsia="it-IT"/>
        </w:rPr>
        <w:t>L'</w:t>
      </w:r>
      <w:r w:rsidR="00B6468C" w:rsidRPr="00F3099A">
        <w:rPr>
          <w:rFonts w:asciiTheme="minorHAnsi" w:eastAsia="Times New Roman" w:hAnsiTheme="minorHAnsi" w:cs="Courier New"/>
          <w:lang w:eastAsia="it-IT"/>
        </w:rPr>
        <w:t>obiettivo</w:t>
      </w:r>
      <w:r w:rsidRPr="00F3099A">
        <w:rPr>
          <w:rFonts w:asciiTheme="minorHAnsi" w:eastAsia="Times New Roman" w:hAnsiTheme="minorHAnsi" w:cs="Courier New"/>
          <w:lang w:eastAsia="it-IT"/>
        </w:rPr>
        <w:t xml:space="preserve"> principale dello studio è stato quello di confrontare un regime di duplice terapia antitrombotica con 110 mg o 150 mg di </w:t>
      </w:r>
      <w:proofErr w:type="spellStart"/>
      <w:r w:rsidRPr="00F3099A">
        <w:rPr>
          <w:rFonts w:asciiTheme="minorHAnsi" w:eastAsia="Times New Roman" w:hAnsiTheme="minorHAnsi" w:cs="Courier New"/>
          <w:lang w:eastAsia="it-IT"/>
        </w:rPr>
        <w:t>dabigatran</w:t>
      </w:r>
      <w:proofErr w:type="spellEnd"/>
      <w:r w:rsidRPr="00F3099A">
        <w:rPr>
          <w:rFonts w:asciiTheme="minorHAnsi" w:eastAsia="Times New Roman" w:hAnsiTheme="minorHAnsi" w:cs="Courier New"/>
          <w:lang w:eastAsia="it-IT"/>
        </w:rPr>
        <w:t xml:space="preserve"> </w:t>
      </w:r>
      <w:proofErr w:type="spellStart"/>
      <w:r w:rsidRPr="00F3099A">
        <w:rPr>
          <w:rFonts w:asciiTheme="minorHAnsi" w:eastAsia="Times New Roman" w:hAnsiTheme="minorHAnsi" w:cs="Courier New"/>
          <w:lang w:eastAsia="it-IT"/>
        </w:rPr>
        <w:t>etexilato</w:t>
      </w:r>
      <w:proofErr w:type="spellEnd"/>
      <w:r w:rsidRPr="00F3099A">
        <w:rPr>
          <w:rFonts w:asciiTheme="minorHAnsi" w:eastAsia="Times New Roman" w:hAnsiTheme="minorHAnsi" w:cs="Courier New"/>
          <w:lang w:eastAsia="it-IT"/>
        </w:rPr>
        <w:t xml:space="preserve"> due volte al giorno, più </w:t>
      </w:r>
      <w:proofErr w:type="spellStart"/>
      <w:r w:rsidRPr="00F3099A">
        <w:rPr>
          <w:rFonts w:asciiTheme="minorHAnsi" w:eastAsia="Times New Roman" w:hAnsiTheme="minorHAnsi" w:cs="Courier New"/>
          <w:lang w:eastAsia="it-IT"/>
        </w:rPr>
        <w:t>clopidogrel</w:t>
      </w:r>
      <w:proofErr w:type="spellEnd"/>
      <w:r w:rsidRPr="00F3099A">
        <w:rPr>
          <w:rFonts w:asciiTheme="minorHAnsi" w:eastAsia="Times New Roman" w:hAnsiTheme="minorHAnsi" w:cs="Courier New"/>
          <w:lang w:eastAsia="it-IT"/>
        </w:rPr>
        <w:t xml:space="preserve"> o </w:t>
      </w:r>
      <w:proofErr w:type="spellStart"/>
      <w:r w:rsidRPr="00F3099A">
        <w:rPr>
          <w:rFonts w:asciiTheme="minorHAnsi" w:eastAsia="Times New Roman" w:hAnsiTheme="minorHAnsi" w:cs="Courier New"/>
          <w:lang w:eastAsia="it-IT"/>
        </w:rPr>
        <w:t>ticagrelor</w:t>
      </w:r>
      <w:proofErr w:type="spellEnd"/>
      <w:r w:rsidRPr="00F3099A">
        <w:rPr>
          <w:rFonts w:asciiTheme="minorHAnsi" w:eastAsia="Times New Roman" w:hAnsiTheme="minorHAnsi" w:cs="Courier New"/>
          <w:lang w:eastAsia="it-IT"/>
        </w:rPr>
        <w:t xml:space="preserve">, rispetto a una triplice terapia antitrombotica con warfarin più </w:t>
      </w:r>
      <w:proofErr w:type="spellStart"/>
      <w:r w:rsidRPr="00F3099A">
        <w:rPr>
          <w:rFonts w:asciiTheme="minorHAnsi" w:eastAsia="Times New Roman" w:hAnsiTheme="minorHAnsi" w:cs="Courier New"/>
          <w:lang w:eastAsia="it-IT"/>
        </w:rPr>
        <w:t>clopidogr</w:t>
      </w:r>
      <w:r w:rsidR="006E13D3" w:rsidRPr="00F3099A">
        <w:rPr>
          <w:rFonts w:asciiTheme="minorHAnsi" w:eastAsia="Times New Roman" w:hAnsiTheme="minorHAnsi" w:cs="Courier New"/>
          <w:lang w:eastAsia="it-IT"/>
        </w:rPr>
        <w:t>el</w:t>
      </w:r>
      <w:proofErr w:type="spellEnd"/>
      <w:r w:rsidR="006E13D3" w:rsidRPr="00F3099A">
        <w:rPr>
          <w:rFonts w:asciiTheme="minorHAnsi" w:eastAsia="Times New Roman" w:hAnsiTheme="minorHAnsi" w:cs="Courier New"/>
          <w:lang w:eastAsia="it-IT"/>
        </w:rPr>
        <w:t xml:space="preserve"> o </w:t>
      </w:r>
      <w:proofErr w:type="spellStart"/>
      <w:r w:rsidR="006E13D3" w:rsidRPr="00F3099A">
        <w:rPr>
          <w:rFonts w:asciiTheme="minorHAnsi" w:eastAsia="Times New Roman" w:hAnsiTheme="minorHAnsi" w:cs="Courier New"/>
          <w:lang w:eastAsia="it-IT"/>
        </w:rPr>
        <w:t>ticagrelor</w:t>
      </w:r>
      <w:proofErr w:type="spellEnd"/>
      <w:r w:rsidR="006E13D3" w:rsidRPr="00F3099A">
        <w:rPr>
          <w:rFonts w:asciiTheme="minorHAnsi" w:eastAsia="Times New Roman" w:hAnsiTheme="minorHAnsi" w:cs="Courier New"/>
          <w:lang w:eastAsia="it-IT"/>
        </w:rPr>
        <w:t>, più aspirina ad un dosaggio uguale o inferiore a</w:t>
      </w:r>
      <w:r w:rsidRPr="00F3099A">
        <w:rPr>
          <w:rFonts w:asciiTheme="minorHAnsi" w:eastAsia="Times New Roman" w:hAnsiTheme="minorHAnsi" w:cs="Courier New"/>
          <w:lang w:eastAsia="it-IT"/>
        </w:rPr>
        <w:t xml:space="preserve"> 100 mg una volta al giorno. </w:t>
      </w:r>
      <w:r w:rsidRPr="00F3099A">
        <w:rPr>
          <w:rFonts w:asciiTheme="minorHAnsi" w:eastAsia="Times New Roman" w:hAnsiTheme="minorHAnsi" w:cs="Courier New"/>
          <w:vertAlign w:val="superscript"/>
          <w:lang w:eastAsia="it-IT"/>
        </w:rPr>
        <w:t>1,2,</w:t>
      </w:r>
      <w:r w:rsidR="00B1216F" w:rsidRPr="00F3099A">
        <w:rPr>
          <w:rFonts w:asciiTheme="minorHAnsi" w:eastAsia="Times New Roman" w:hAnsiTheme="minorHAnsi" w:cs="Courier New"/>
          <w:vertAlign w:val="superscript"/>
          <w:lang w:eastAsia="it-IT"/>
        </w:rPr>
        <w:t>19</w:t>
      </w:r>
    </w:p>
    <w:p w:rsidR="006E13D3" w:rsidRPr="00F3099A" w:rsidRDefault="009A0B13" w:rsidP="009A0B13">
      <w:pPr>
        <w:jc w:val="both"/>
        <w:rPr>
          <w:rFonts w:asciiTheme="minorHAnsi" w:eastAsia="Times New Roman" w:hAnsiTheme="minorHAnsi" w:cs="Courier New"/>
          <w:lang w:eastAsia="it-IT"/>
        </w:rPr>
      </w:pPr>
      <w:r w:rsidRPr="00F3099A">
        <w:rPr>
          <w:rFonts w:asciiTheme="minorHAnsi" w:eastAsia="Times New Roman" w:hAnsiTheme="minorHAnsi" w:cs="Courier New"/>
          <w:lang w:eastAsia="it-IT"/>
        </w:rPr>
        <w:t>L'</w:t>
      </w:r>
      <w:proofErr w:type="spellStart"/>
      <w:r w:rsidR="00B6468C" w:rsidRPr="00F3099A">
        <w:rPr>
          <w:rFonts w:asciiTheme="minorHAnsi" w:eastAsia="Times New Roman" w:hAnsiTheme="minorHAnsi" w:cs="Courier New"/>
          <w:lang w:eastAsia="it-IT"/>
        </w:rPr>
        <w:t>endpoint</w:t>
      </w:r>
      <w:proofErr w:type="spellEnd"/>
      <w:r w:rsidR="00B6468C" w:rsidRPr="00F3099A">
        <w:rPr>
          <w:rFonts w:asciiTheme="minorHAnsi" w:eastAsia="Times New Roman" w:hAnsiTheme="minorHAnsi" w:cs="Courier New"/>
          <w:lang w:eastAsia="it-IT"/>
        </w:rPr>
        <w:t xml:space="preserve"> principale di </w:t>
      </w:r>
      <w:r w:rsidR="006E13D3" w:rsidRPr="00F3099A">
        <w:rPr>
          <w:rFonts w:asciiTheme="minorHAnsi" w:eastAsia="Times New Roman" w:hAnsiTheme="minorHAnsi" w:cs="Courier New"/>
          <w:lang w:eastAsia="it-IT"/>
        </w:rPr>
        <w:t>sicurezza</w:t>
      </w:r>
      <w:r w:rsidRPr="00F3099A">
        <w:rPr>
          <w:rFonts w:asciiTheme="minorHAnsi" w:eastAsia="Times New Roman" w:hAnsiTheme="minorHAnsi" w:cs="Courier New"/>
          <w:lang w:eastAsia="it-IT"/>
        </w:rPr>
        <w:t xml:space="preserve"> è la non inferiorità nel tempo </w:t>
      </w:r>
      <w:r w:rsidR="00B6468C" w:rsidRPr="00F3099A">
        <w:rPr>
          <w:rFonts w:asciiTheme="minorHAnsi" w:eastAsia="Times New Roman" w:hAnsiTheme="minorHAnsi" w:cs="Courier New"/>
          <w:lang w:eastAsia="it-IT"/>
        </w:rPr>
        <w:t>intercorso fino al</w:t>
      </w:r>
      <w:r w:rsidRPr="00F3099A">
        <w:rPr>
          <w:rFonts w:asciiTheme="minorHAnsi" w:eastAsia="Times New Roman" w:hAnsiTheme="minorHAnsi" w:cs="Courier New"/>
          <w:lang w:eastAsia="it-IT"/>
        </w:rPr>
        <w:t xml:space="preserve"> primo evento di sanguinamento maggiore, come definito dalla Società Internazionale </w:t>
      </w:r>
      <w:r w:rsidR="006E13D3" w:rsidRPr="00F3099A">
        <w:rPr>
          <w:rFonts w:asciiTheme="minorHAnsi" w:eastAsia="Times New Roman" w:hAnsiTheme="minorHAnsi" w:cs="Courier New"/>
          <w:lang w:eastAsia="it-IT"/>
        </w:rPr>
        <w:t xml:space="preserve">di </w:t>
      </w:r>
      <w:r w:rsidRPr="00F3099A">
        <w:rPr>
          <w:rFonts w:asciiTheme="minorHAnsi" w:eastAsia="Times New Roman" w:hAnsiTheme="minorHAnsi" w:cs="Courier New"/>
          <w:lang w:eastAsia="it-IT"/>
        </w:rPr>
        <w:t xml:space="preserve">Trombosi ed Emostasi (ISTH), o evento di sanguinamento </w:t>
      </w:r>
      <w:r w:rsidR="006E13D3" w:rsidRPr="00F3099A">
        <w:rPr>
          <w:rFonts w:asciiTheme="minorHAnsi" w:eastAsia="Times New Roman" w:hAnsiTheme="minorHAnsi" w:cs="Courier New"/>
          <w:lang w:eastAsia="it-IT"/>
        </w:rPr>
        <w:t>non maggiore</w:t>
      </w:r>
      <w:r w:rsidRPr="00F3099A">
        <w:rPr>
          <w:rFonts w:asciiTheme="minorHAnsi" w:eastAsia="Times New Roman" w:hAnsiTheme="minorHAnsi" w:cs="Courier New"/>
          <w:lang w:eastAsia="it-IT"/>
        </w:rPr>
        <w:t xml:space="preserve"> clinicamente significativo. </w:t>
      </w:r>
    </w:p>
    <w:p w:rsidR="009A0B13" w:rsidRPr="00F3099A" w:rsidRDefault="009A0B13" w:rsidP="009A0B13">
      <w:pPr>
        <w:jc w:val="both"/>
        <w:rPr>
          <w:rFonts w:asciiTheme="minorHAnsi" w:eastAsia="Times New Roman" w:hAnsiTheme="minorHAnsi" w:cs="Courier New"/>
          <w:vertAlign w:val="superscript"/>
          <w:lang w:eastAsia="it-IT"/>
        </w:rPr>
      </w:pPr>
      <w:r w:rsidRPr="00F3099A">
        <w:rPr>
          <w:rFonts w:asciiTheme="minorHAnsi" w:eastAsia="Times New Roman" w:hAnsiTheme="minorHAnsi" w:cs="Courier New"/>
          <w:lang w:eastAsia="it-IT"/>
        </w:rPr>
        <w:t>L'</w:t>
      </w:r>
      <w:proofErr w:type="spellStart"/>
      <w:r w:rsidRPr="00F3099A">
        <w:rPr>
          <w:rFonts w:asciiTheme="minorHAnsi" w:eastAsia="Times New Roman" w:hAnsiTheme="minorHAnsi" w:cs="Courier New"/>
          <w:lang w:eastAsia="it-IT"/>
        </w:rPr>
        <w:t>endpoint</w:t>
      </w:r>
      <w:proofErr w:type="spellEnd"/>
      <w:r w:rsidRPr="00F3099A">
        <w:rPr>
          <w:rFonts w:asciiTheme="minorHAnsi" w:eastAsia="Times New Roman" w:hAnsiTheme="minorHAnsi" w:cs="Courier New"/>
          <w:lang w:eastAsia="it-IT"/>
        </w:rPr>
        <w:t xml:space="preserve"> </w:t>
      </w:r>
      <w:r w:rsidR="00365377" w:rsidRPr="00F3099A">
        <w:rPr>
          <w:rFonts w:asciiTheme="minorHAnsi" w:eastAsia="Times New Roman" w:hAnsiTheme="minorHAnsi" w:cs="Courier New"/>
          <w:lang w:eastAsia="it-IT"/>
        </w:rPr>
        <w:t xml:space="preserve">composito, relativo agli eventi correlati con il tromboembolismo, </w:t>
      </w:r>
      <w:r w:rsidRPr="00F3099A">
        <w:rPr>
          <w:rFonts w:asciiTheme="minorHAnsi" w:eastAsia="Times New Roman" w:hAnsiTheme="minorHAnsi" w:cs="Courier New"/>
          <w:lang w:eastAsia="it-IT"/>
        </w:rPr>
        <w:t>testato per non inferiorità</w:t>
      </w:r>
      <w:r w:rsidR="00365377" w:rsidRPr="00F3099A">
        <w:rPr>
          <w:rFonts w:asciiTheme="minorHAnsi" w:eastAsia="Times New Roman" w:hAnsiTheme="minorHAnsi" w:cs="Courier New"/>
          <w:lang w:eastAsia="it-IT"/>
        </w:rPr>
        <w:t>,</w:t>
      </w:r>
      <w:r w:rsidRPr="00F3099A">
        <w:rPr>
          <w:rFonts w:asciiTheme="minorHAnsi" w:eastAsia="Times New Roman" w:hAnsiTheme="minorHAnsi" w:cs="Courier New"/>
          <w:lang w:eastAsia="it-IT"/>
        </w:rPr>
        <w:t xml:space="preserve"> </w:t>
      </w:r>
      <w:r w:rsidR="00365377" w:rsidRPr="00F3099A">
        <w:rPr>
          <w:rFonts w:asciiTheme="minorHAnsi" w:eastAsia="Times New Roman" w:hAnsiTheme="minorHAnsi" w:cs="Courier New"/>
          <w:lang w:eastAsia="it-IT"/>
        </w:rPr>
        <w:t xml:space="preserve">è il </w:t>
      </w:r>
      <w:r w:rsidRPr="00F3099A">
        <w:rPr>
          <w:rFonts w:asciiTheme="minorHAnsi" w:eastAsia="Times New Roman" w:hAnsiTheme="minorHAnsi" w:cs="Courier New"/>
          <w:lang w:eastAsia="it-IT"/>
        </w:rPr>
        <w:t>tempo</w:t>
      </w:r>
      <w:r w:rsidR="00B6468C" w:rsidRPr="00F3099A">
        <w:rPr>
          <w:rFonts w:asciiTheme="minorHAnsi" w:eastAsia="Times New Roman" w:hAnsiTheme="minorHAnsi" w:cs="Courier New"/>
          <w:lang w:eastAsia="it-IT"/>
        </w:rPr>
        <w:t xml:space="preserve"> intercorso fino</w:t>
      </w:r>
      <w:r w:rsidRPr="00F3099A">
        <w:rPr>
          <w:rFonts w:asciiTheme="minorHAnsi" w:eastAsia="Times New Roman" w:hAnsiTheme="minorHAnsi" w:cs="Courier New"/>
          <w:lang w:eastAsia="it-IT"/>
        </w:rPr>
        <w:t xml:space="preserve"> al decesso, </w:t>
      </w:r>
      <w:r w:rsidR="00B6468C" w:rsidRPr="00F3099A">
        <w:rPr>
          <w:rFonts w:asciiTheme="minorHAnsi" w:eastAsia="Times New Roman" w:hAnsiTheme="minorHAnsi" w:cs="Courier New"/>
          <w:lang w:eastAsia="it-IT"/>
        </w:rPr>
        <w:t xml:space="preserve">al </w:t>
      </w:r>
      <w:r w:rsidRPr="00F3099A">
        <w:rPr>
          <w:rFonts w:asciiTheme="minorHAnsi" w:eastAsia="Times New Roman" w:hAnsiTheme="minorHAnsi" w:cs="Courier New"/>
          <w:lang w:eastAsia="it-IT"/>
        </w:rPr>
        <w:t>primo evento trombotico (infarto miocardico, ictus o embolia sistemica) e rivascolarizzazione non pianificata.</w:t>
      </w:r>
      <w:r w:rsidRPr="00F3099A">
        <w:rPr>
          <w:rFonts w:asciiTheme="minorHAnsi" w:eastAsia="Times New Roman" w:hAnsiTheme="minorHAnsi" w:cs="Courier New"/>
          <w:vertAlign w:val="superscript"/>
          <w:lang w:eastAsia="it-IT"/>
        </w:rPr>
        <w:t>1,2,</w:t>
      </w:r>
      <w:r w:rsidR="00B1216F" w:rsidRPr="00F3099A">
        <w:rPr>
          <w:rFonts w:asciiTheme="minorHAnsi" w:eastAsia="Times New Roman" w:hAnsiTheme="minorHAnsi" w:cs="Courier New"/>
          <w:vertAlign w:val="superscript"/>
          <w:lang w:eastAsia="it-IT"/>
        </w:rPr>
        <w:t>19</w:t>
      </w:r>
    </w:p>
    <w:p w:rsidR="009A0B13" w:rsidRPr="00F3099A" w:rsidRDefault="00875A4E" w:rsidP="009A0B13">
      <w:pPr>
        <w:jc w:val="both"/>
        <w:rPr>
          <w:rFonts w:asciiTheme="minorHAnsi" w:eastAsia="Times New Roman" w:hAnsiTheme="minorHAnsi" w:cs="Courier New"/>
          <w:b/>
          <w:sz w:val="24"/>
          <w:szCs w:val="24"/>
          <w:lang w:eastAsia="it-IT"/>
        </w:rPr>
      </w:pPr>
      <w:r w:rsidRPr="00F3099A">
        <w:rPr>
          <w:rFonts w:asciiTheme="minorHAnsi" w:eastAsia="Times New Roman" w:hAnsiTheme="minorHAnsi" w:cs="Courier New"/>
          <w:b/>
          <w:sz w:val="24"/>
          <w:szCs w:val="24"/>
          <w:lang w:eastAsia="it-IT"/>
        </w:rPr>
        <w:t>Angioplastica Coronarica</w:t>
      </w:r>
      <w:r w:rsidR="009A0B13" w:rsidRPr="00F3099A">
        <w:rPr>
          <w:rFonts w:asciiTheme="minorHAnsi" w:eastAsia="Times New Roman" w:hAnsiTheme="minorHAnsi" w:cs="Courier New"/>
          <w:b/>
          <w:sz w:val="24"/>
          <w:szCs w:val="24"/>
          <w:lang w:eastAsia="it-IT"/>
        </w:rPr>
        <w:t xml:space="preserve"> (PCI)</w:t>
      </w:r>
    </w:p>
    <w:p w:rsidR="009A0B13" w:rsidRPr="00F3099A" w:rsidRDefault="00875A4E" w:rsidP="009A0B13">
      <w:pPr>
        <w:jc w:val="both"/>
        <w:rPr>
          <w:rFonts w:asciiTheme="minorHAnsi" w:eastAsia="Times New Roman" w:hAnsiTheme="minorHAnsi" w:cs="Courier New"/>
          <w:lang w:eastAsia="it-IT"/>
        </w:rPr>
      </w:pPr>
      <w:r w:rsidRPr="00F3099A">
        <w:rPr>
          <w:rFonts w:asciiTheme="minorHAnsi" w:eastAsia="Times New Roman" w:hAnsiTheme="minorHAnsi" w:cs="Courier New"/>
          <w:lang w:eastAsia="it-IT"/>
        </w:rPr>
        <w:t>L’angioplastica coronarica</w:t>
      </w:r>
      <w:r w:rsidR="009A0B13" w:rsidRPr="00F3099A">
        <w:rPr>
          <w:rFonts w:asciiTheme="minorHAnsi" w:eastAsia="Times New Roman" w:hAnsiTheme="minorHAnsi" w:cs="Courier New"/>
          <w:lang w:eastAsia="it-IT"/>
        </w:rPr>
        <w:t xml:space="preserve"> è una procedura </w:t>
      </w:r>
      <w:r w:rsidR="00365377" w:rsidRPr="00F3099A">
        <w:rPr>
          <w:rFonts w:asciiTheme="minorHAnsi" w:eastAsia="Times New Roman" w:hAnsiTheme="minorHAnsi" w:cs="Courier New"/>
          <w:lang w:eastAsia="it-IT"/>
        </w:rPr>
        <w:t xml:space="preserve">in cui vengono utilizzati </w:t>
      </w:r>
      <w:proofErr w:type="spellStart"/>
      <w:r w:rsidR="009A0B13" w:rsidRPr="00F3099A">
        <w:rPr>
          <w:rFonts w:asciiTheme="minorHAnsi" w:eastAsia="Times New Roman" w:hAnsiTheme="minorHAnsi" w:cs="Courier New"/>
          <w:lang w:eastAsia="it-IT"/>
        </w:rPr>
        <w:t>stent</w:t>
      </w:r>
      <w:proofErr w:type="spellEnd"/>
      <w:r w:rsidR="009A0B13" w:rsidRPr="00F3099A">
        <w:rPr>
          <w:rFonts w:asciiTheme="minorHAnsi" w:eastAsia="Times New Roman" w:hAnsiTheme="minorHAnsi" w:cs="Courier New"/>
          <w:lang w:eastAsia="it-IT"/>
        </w:rPr>
        <w:t xml:space="preserve"> per eliminare un’ostruzione nelle arterie del cuore, in pazienti con malattia coronarica.</w:t>
      </w:r>
      <w:r w:rsidR="00B1216F" w:rsidRPr="00F3099A">
        <w:rPr>
          <w:rFonts w:asciiTheme="minorHAnsi" w:eastAsia="Times New Roman" w:hAnsiTheme="minorHAnsi" w:cs="Courier New"/>
          <w:vertAlign w:val="superscript"/>
          <w:lang w:eastAsia="it-IT"/>
        </w:rPr>
        <w:t>20</w:t>
      </w:r>
      <w:r w:rsidR="009A0B13" w:rsidRPr="00F3099A">
        <w:rPr>
          <w:rFonts w:asciiTheme="minorHAnsi" w:eastAsia="Times New Roman" w:hAnsiTheme="minorHAnsi" w:cs="Courier New"/>
          <w:vertAlign w:val="superscript"/>
          <w:lang w:eastAsia="it-IT"/>
        </w:rPr>
        <w:t xml:space="preserve"> </w:t>
      </w:r>
      <w:r w:rsidR="009A0B13" w:rsidRPr="00F3099A">
        <w:rPr>
          <w:rFonts w:asciiTheme="minorHAnsi" w:eastAsia="Times New Roman" w:hAnsiTheme="minorHAnsi" w:cs="Courier New"/>
          <w:lang w:eastAsia="it-IT"/>
        </w:rPr>
        <w:t>Questo intervento è condotto per ripristinare o migliorare il flusso di sangue al muscolo cardiaco.</w:t>
      </w:r>
      <w:r w:rsidR="009A0B13" w:rsidRPr="00F3099A">
        <w:rPr>
          <w:rFonts w:asciiTheme="minorHAnsi" w:eastAsia="Times New Roman" w:hAnsiTheme="minorHAnsi" w:cs="Courier New"/>
          <w:vertAlign w:val="superscript"/>
          <w:lang w:eastAsia="it-IT"/>
        </w:rPr>
        <w:t>3,</w:t>
      </w:r>
      <w:r w:rsidR="00B1216F" w:rsidRPr="00F3099A">
        <w:rPr>
          <w:rFonts w:asciiTheme="minorHAnsi" w:eastAsia="Times New Roman" w:hAnsiTheme="minorHAnsi" w:cs="Courier New"/>
          <w:vertAlign w:val="superscript"/>
          <w:lang w:eastAsia="it-IT"/>
        </w:rPr>
        <w:t>20</w:t>
      </w:r>
      <w:r w:rsidR="009A0B13" w:rsidRPr="00F3099A">
        <w:rPr>
          <w:rFonts w:asciiTheme="minorHAnsi" w:eastAsia="Times New Roman" w:hAnsiTheme="minorHAnsi" w:cs="Courier New"/>
          <w:lang w:eastAsia="it-IT"/>
        </w:rPr>
        <w:t xml:space="preserve"> In Europa cir</w:t>
      </w:r>
      <w:r w:rsidR="00B6468C" w:rsidRPr="00F3099A">
        <w:rPr>
          <w:rFonts w:asciiTheme="minorHAnsi" w:eastAsia="Times New Roman" w:hAnsiTheme="minorHAnsi" w:cs="Courier New"/>
          <w:lang w:eastAsia="it-IT"/>
        </w:rPr>
        <w:t>ca due milioni di pazienti, con f</w:t>
      </w:r>
      <w:r w:rsidR="009A0B13" w:rsidRPr="00F3099A">
        <w:rPr>
          <w:rFonts w:asciiTheme="minorHAnsi" w:eastAsia="Times New Roman" w:hAnsiTheme="minorHAnsi" w:cs="Courier New"/>
          <w:lang w:eastAsia="it-IT"/>
        </w:rPr>
        <w:t xml:space="preserve">ibrillazione </w:t>
      </w:r>
      <w:r w:rsidR="00B6468C" w:rsidRPr="00F3099A">
        <w:rPr>
          <w:rFonts w:asciiTheme="minorHAnsi" w:eastAsia="Times New Roman" w:hAnsiTheme="minorHAnsi" w:cs="Courier New"/>
          <w:lang w:eastAsia="it-IT"/>
        </w:rPr>
        <w:t>a</w:t>
      </w:r>
      <w:r w:rsidR="009A0B13" w:rsidRPr="00F3099A">
        <w:rPr>
          <w:rFonts w:asciiTheme="minorHAnsi" w:eastAsia="Times New Roman" w:hAnsiTheme="minorHAnsi" w:cs="Courier New"/>
          <w:lang w:eastAsia="it-IT"/>
        </w:rPr>
        <w:t xml:space="preserve">triale e </w:t>
      </w:r>
      <w:r w:rsidR="00B6468C" w:rsidRPr="00F3099A">
        <w:rPr>
          <w:rFonts w:asciiTheme="minorHAnsi" w:eastAsia="Times New Roman" w:hAnsiTheme="minorHAnsi" w:cs="Courier New"/>
          <w:lang w:eastAsia="it-IT"/>
        </w:rPr>
        <w:t xml:space="preserve">concomitante </w:t>
      </w:r>
      <w:r w:rsidR="009A0B13" w:rsidRPr="00F3099A">
        <w:rPr>
          <w:rFonts w:asciiTheme="minorHAnsi" w:eastAsia="Times New Roman" w:hAnsiTheme="minorHAnsi" w:cs="Courier New"/>
          <w:lang w:eastAsia="it-IT"/>
        </w:rPr>
        <w:t xml:space="preserve">malattia coronarica, </w:t>
      </w:r>
      <w:r w:rsidR="008E0EE7" w:rsidRPr="00F3099A">
        <w:rPr>
          <w:rFonts w:asciiTheme="minorHAnsi" w:eastAsia="Times New Roman" w:hAnsiTheme="minorHAnsi" w:cs="Courier New"/>
          <w:lang w:eastAsia="it-IT"/>
        </w:rPr>
        <w:t>sono candidati a questa</w:t>
      </w:r>
      <w:r w:rsidR="009A0B13" w:rsidRPr="00F3099A">
        <w:rPr>
          <w:rFonts w:asciiTheme="minorHAnsi" w:eastAsia="Times New Roman" w:hAnsiTheme="minorHAnsi" w:cs="Courier New"/>
          <w:lang w:eastAsia="it-IT"/>
        </w:rPr>
        <w:t xml:space="preserve"> procedura</w:t>
      </w:r>
      <w:r w:rsidR="00B1216F" w:rsidRPr="00F3099A">
        <w:rPr>
          <w:rFonts w:asciiTheme="minorHAnsi" w:eastAsia="Times New Roman" w:hAnsiTheme="minorHAnsi" w:cs="Courier New"/>
          <w:vertAlign w:val="superscript"/>
          <w:lang w:eastAsia="it-IT"/>
        </w:rPr>
        <w:t>3</w:t>
      </w:r>
      <w:r w:rsidR="009A0B13" w:rsidRPr="00F3099A">
        <w:rPr>
          <w:rFonts w:asciiTheme="minorHAnsi" w:eastAsia="Times New Roman" w:hAnsiTheme="minorHAnsi" w:cs="Courier New"/>
          <w:lang w:eastAsia="it-IT"/>
        </w:rPr>
        <w:t>.</w:t>
      </w:r>
    </w:p>
    <w:p w:rsidR="009A0B13" w:rsidRPr="00F3099A" w:rsidRDefault="009A0B13" w:rsidP="009A0B13">
      <w:pPr>
        <w:jc w:val="both"/>
        <w:rPr>
          <w:rFonts w:asciiTheme="minorHAnsi" w:eastAsia="Times New Roman" w:hAnsiTheme="minorHAnsi" w:cs="Courier New"/>
          <w:lang w:eastAsia="it-IT"/>
        </w:rPr>
      </w:pPr>
      <w:r w:rsidRPr="00F3099A">
        <w:rPr>
          <w:rFonts w:asciiTheme="minorHAnsi" w:eastAsia="Times New Roman" w:hAnsiTheme="minorHAnsi" w:cs="Courier New"/>
          <w:lang w:eastAsia="it-IT"/>
        </w:rPr>
        <w:lastRenderedPageBreak/>
        <w:t xml:space="preserve">I pazienti affetti da </w:t>
      </w:r>
      <w:r w:rsidR="00B6468C" w:rsidRPr="00F3099A">
        <w:rPr>
          <w:rFonts w:asciiTheme="minorHAnsi" w:eastAsia="Times New Roman" w:hAnsiTheme="minorHAnsi" w:cs="Courier New"/>
          <w:lang w:eastAsia="it-IT"/>
        </w:rPr>
        <w:t>fibrillazione a</w:t>
      </w:r>
      <w:r w:rsidRPr="00F3099A">
        <w:rPr>
          <w:rFonts w:asciiTheme="minorHAnsi" w:eastAsia="Times New Roman" w:hAnsiTheme="minorHAnsi" w:cs="Courier New"/>
          <w:lang w:eastAsia="it-IT"/>
        </w:rPr>
        <w:t>triale che subiscono</w:t>
      </w:r>
      <w:r w:rsidR="00365377" w:rsidRPr="00F3099A">
        <w:rPr>
          <w:rFonts w:asciiTheme="minorHAnsi" w:eastAsia="Times New Roman" w:hAnsiTheme="minorHAnsi" w:cs="Courier New"/>
          <w:lang w:eastAsia="it-IT"/>
        </w:rPr>
        <w:t xml:space="preserve"> una PCI con inserimento di </w:t>
      </w:r>
      <w:proofErr w:type="spellStart"/>
      <w:r w:rsidRPr="00F3099A">
        <w:rPr>
          <w:rFonts w:asciiTheme="minorHAnsi" w:eastAsia="Times New Roman" w:hAnsiTheme="minorHAnsi" w:cs="Courier New"/>
          <w:lang w:eastAsia="it-IT"/>
        </w:rPr>
        <w:t>stent</w:t>
      </w:r>
      <w:proofErr w:type="spellEnd"/>
      <w:r w:rsidRPr="00F3099A">
        <w:rPr>
          <w:rFonts w:asciiTheme="minorHAnsi" w:eastAsia="Times New Roman" w:hAnsiTheme="minorHAnsi" w:cs="Courier New"/>
          <w:lang w:eastAsia="it-IT"/>
        </w:rPr>
        <w:t xml:space="preserve"> sono a maggior</w:t>
      </w:r>
      <w:r w:rsidR="00365377" w:rsidRPr="00F3099A">
        <w:rPr>
          <w:rFonts w:asciiTheme="minorHAnsi" w:eastAsia="Times New Roman" w:hAnsiTheme="minorHAnsi" w:cs="Courier New"/>
          <w:lang w:eastAsia="it-IT"/>
        </w:rPr>
        <w:t xml:space="preserve"> rischio di gravi complicazioni </w:t>
      </w:r>
      <w:r w:rsidRPr="00F3099A">
        <w:rPr>
          <w:rFonts w:asciiTheme="minorHAnsi" w:eastAsia="Times New Roman" w:hAnsiTheme="minorHAnsi" w:cs="Courier New"/>
          <w:lang w:eastAsia="it-IT"/>
        </w:rPr>
        <w:t xml:space="preserve">causate da </w:t>
      </w:r>
      <w:r w:rsidR="00B6468C" w:rsidRPr="00F3099A">
        <w:rPr>
          <w:rFonts w:asciiTheme="minorHAnsi" w:eastAsia="Times New Roman" w:hAnsiTheme="minorHAnsi" w:cs="Courier New"/>
          <w:lang w:eastAsia="it-IT"/>
        </w:rPr>
        <w:t>coaguli di sangue</w:t>
      </w:r>
      <w:r w:rsidRPr="00F3099A">
        <w:rPr>
          <w:rFonts w:asciiTheme="minorHAnsi" w:eastAsia="Times New Roman" w:hAnsiTheme="minorHAnsi" w:cs="Courier New"/>
          <w:lang w:eastAsia="it-IT"/>
        </w:rPr>
        <w:t xml:space="preserve">, come ictus, embolia sistemica, attacchi cardiaci, trombi sugli </w:t>
      </w:r>
      <w:proofErr w:type="spellStart"/>
      <w:r w:rsidRPr="00F3099A">
        <w:rPr>
          <w:rFonts w:asciiTheme="minorHAnsi" w:eastAsia="Times New Roman" w:hAnsiTheme="minorHAnsi" w:cs="Courier New"/>
          <w:lang w:eastAsia="it-IT"/>
        </w:rPr>
        <w:t>stent</w:t>
      </w:r>
      <w:proofErr w:type="spellEnd"/>
      <w:r w:rsidRPr="00F3099A">
        <w:rPr>
          <w:rFonts w:asciiTheme="minorHAnsi" w:eastAsia="Times New Roman" w:hAnsiTheme="minorHAnsi" w:cs="Courier New"/>
          <w:lang w:eastAsia="it-IT"/>
        </w:rPr>
        <w:t xml:space="preserve"> e potenzialmente anche la morte.</w:t>
      </w:r>
      <w:r w:rsidR="009E4CA9" w:rsidRPr="00F3099A">
        <w:rPr>
          <w:rFonts w:asciiTheme="minorHAnsi" w:eastAsia="Times New Roman" w:hAnsiTheme="minorHAnsi" w:cs="Courier New"/>
          <w:vertAlign w:val="superscript"/>
          <w:lang w:eastAsia="it-IT"/>
        </w:rPr>
        <w:t>21,22</w:t>
      </w:r>
      <w:r w:rsidRPr="00F3099A">
        <w:rPr>
          <w:rFonts w:asciiTheme="minorHAnsi" w:eastAsia="Times New Roman" w:hAnsiTheme="minorHAnsi" w:cs="Courier New"/>
          <w:lang w:eastAsia="it-IT"/>
        </w:rPr>
        <w:t xml:space="preserve"> La terapia antitrombotica è necessaria per diminuire il rischio di formazione di trombi con le relative conseguenze.</w:t>
      </w:r>
    </w:p>
    <w:p w:rsidR="009A0B13" w:rsidRPr="00F3099A" w:rsidRDefault="009A0B13" w:rsidP="009A0B13">
      <w:pPr>
        <w:jc w:val="both"/>
        <w:rPr>
          <w:rFonts w:asciiTheme="minorHAnsi" w:eastAsia="Times New Roman" w:hAnsiTheme="minorHAnsi" w:cs="Courier New"/>
          <w:lang w:eastAsia="it-IT"/>
        </w:rPr>
      </w:pPr>
      <w:r w:rsidRPr="00F3099A">
        <w:rPr>
          <w:rFonts w:asciiTheme="minorHAnsi" w:eastAsia="Times New Roman" w:hAnsiTheme="minorHAnsi" w:cs="Courier New"/>
          <w:lang w:eastAsia="it-IT"/>
        </w:rPr>
        <w:t xml:space="preserve">Questi pazienti necessitano di antiaggreganti per ridurre il rischio di trombosi da </w:t>
      </w:r>
      <w:proofErr w:type="spellStart"/>
      <w:r w:rsidRPr="00F3099A">
        <w:rPr>
          <w:rFonts w:asciiTheme="minorHAnsi" w:eastAsia="Times New Roman" w:hAnsiTheme="minorHAnsi" w:cs="Courier New"/>
          <w:lang w:eastAsia="it-IT"/>
        </w:rPr>
        <w:t>stent</w:t>
      </w:r>
      <w:proofErr w:type="spellEnd"/>
      <w:r w:rsidRPr="00F3099A">
        <w:rPr>
          <w:rFonts w:asciiTheme="minorHAnsi" w:eastAsia="Times New Roman" w:hAnsiTheme="minorHAnsi" w:cs="Courier New"/>
          <w:lang w:eastAsia="it-IT"/>
        </w:rPr>
        <w:t xml:space="preserve"> e infarto miocardico e un trattamento anticoagulante per d</w:t>
      </w:r>
      <w:r w:rsidR="00365377" w:rsidRPr="00F3099A">
        <w:rPr>
          <w:rFonts w:asciiTheme="minorHAnsi" w:eastAsia="Times New Roman" w:hAnsiTheme="minorHAnsi" w:cs="Courier New"/>
          <w:lang w:eastAsia="it-IT"/>
        </w:rPr>
        <w:t>iminuire il rischio di ictus. Studiare l’</w:t>
      </w:r>
      <w:r w:rsidRPr="00F3099A">
        <w:rPr>
          <w:rFonts w:asciiTheme="minorHAnsi" w:eastAsia="Times New Roman" w:hAnsiTheme="minorHAnsi" w:cs="Courier New"/>
          <w:lang w:eastAsia="it-IT"/>
        </w:rPr>
        <w:t>associazione della</w:t>
      </w:r>
      <w:r w:rsidR="00365377" w:rsidRPr="00F3099A">
        <w:rPr>
          <w:rFonts w:asciiTheme="minorHAnsi" w:eastAsia="Times New Roman" w:hAnsiTheme="minorHAnsi" w:cs="Courier New"/>
          <w:lang w:eastAsia="it-IT"/>
        </w:rPr>
        <w:t xml:space="preserve"> duplice terapia antiaggregante alla terapia</w:t>
      </w:r>
      <w:r w:rsidRPr="00F3099A">
        <w:rPr>
          <w:rFonts w:asciiTheme="minorHAnsi" w:eastAsia="Times New Roman" w:hAnsiTheme="minorHAnsi" w:cs="Courier New"/>
          <w:lang w:eastAsia="it-IT"/>
        </w:rPr>
        <w:t xml:space="preserve"> anticoagulante, fino ad ora, è </w:t>
      </w:r>
      <w:r w:rsidR="00365377" w:rsidRPr="00F3099A">
        <w:rPr>
          <w:rFonts w:asciiTheme="minorHAnsi" w:eastAsia="Times New Roman" w:hAnsiTheme="minorHAnsi" w:cs="Courier New"/>
          <w:lang w:eastAsia="it-IT"/>
        </w:rPr>
        <w:t>stata una sfida importante, per l’aumentato rischio emorragico correlato.</w:t>
      </w:r>
      <w:r w:rsidRPr="00F3099A">
        <w:rPr>
          <w:rFonts w:asciiTheme="minorHAnsi" w:eastAsia="Times New Roman" w:hAnsiTheme="minorHAnsi" w:cs="Courier New"/>
          <w:lang w:eastAsia="it-IT"/>
        </w:rPr>
        <w:t xml:space="preserve"> </w:t>
      </w:r>
      <w:r w:rsidR="00365377" w:rsidRPr="00F3099A">
        <w:rPr>
          <w:rFonts w:asciiTheme="minorHAnsi" w:eastAsia="Times New Roman" w:hAnsiTheme="minorHAnsi" w:cs="Courier New"/>
          <w:lang w:eastAsia="it-IT"/>
        </w:rPr>
        <w:t>Raccogliere</w:t>
      </w:r>
      <w:r w:rsidRPr="00F3099A">
        <w:rPr>
          <w:rFonts w:asciiTheme="minorHAnsi" w:eastAsia="Times New Roman" w:hAnsiTheme="minorHAnsi" w:cs="Courier New"/>
          <w:lang w:eastAsia="it-IT"/>
        </w:rPr>
        <w:t xml:space="preserve"> questa sfida è</w:t>
      </w:r>
      <w:r w:rsidR="005C7F08" w:rsidRPr="00F3099A">
        <w:rPr>
          <w:rFonts w:asciiTheme="minorHAnsi" w:eastAsia="Times New Roman" w:hAnsiTheme="minorHAnsi" w:cs="Courier New"/>
          <w:lang w:eastAsia="it-IT"/>
        </w:rPr>
        <w:t xml:space="preserve"> il cuore della ricerca in quest’area.</w:t>
      </w:r>
      <w:r w:rsidR="00365377" w:rsidRPr="00F3099A">
        <w:rPr>
          <w:rFonts w:asciiTheme="minorHAnsi" w:eastAsia="Times New Roman" w:hAnsiTheme="minorHAnsi" w:cs="Courier New"/>
          <w:lang w:eastAsia="it-IT"/>
        </w:rPr>
        <w:t xml:space="preserve"> </w:t>
      </w:r>
    </w:p>
    <w:p w:rsidR="00AC725B" w:rsidRPr="00F3099A" w:rsidRDefault="00AC725B" w:rsidP="00CB00F0">
      <w:pPr>
        <w:jc w:val="both"/>
        <w:rPr>
          <w:rFonts w:asciiTheme="minorHAnsi" w:eastAsia="Times New Roman" w:hAnsiTheme="minorHAnsi" w:cs="Courier New"/>
          <w:b/>
          <w:sz w:val="24"/>
          <w:szCs w:val="24"/>
          <w:lang w:eastAsia="it-IT"/>
        </w:rPr>
      </w:pPr>
      <w:proofErr w:type="spellStart"/>
      <w:r w:rsidRPr="00F3099A">
        <w:rPr>
          <w:rFonts w:eastAsia="Times New Roman" w:cs="Courier New"/>
          <w:b/>
          <w:sz w:val="24"/>
          <w:szCs w:val="24"/>
          <w:lang w:eastAsia="it-IT"/>
        </w:rPr>
        <w:t>Dabigatran</w:t>
      </w:r>
      <w:proofErr w:type="spellEnd"/>
      <w:r w:rsidRPr="00F3099A">
        <w:rPr>
          <w:rFonts w:eastAsia="Times New Roman" w:cs="Courier New"/>
          <w:b/>
          <w:sz w:val="24"/>
          <w:szCs w:val="24"/>
          <w:lang w:eastAsia="it-IT"/>
        </w:rPr>
        <w:t xml:space="preserve"> </w:t>
      </w:r>
      <w:proofErr w:type="spellStart"/>
      <w:r w:rsidRPr="00F3099A">
        <w:rPr>
          <w:rFonts w:eastAsia="Times New Roman" w:cs="Courier New"/>
          <w:b/>
          <w:sz w:val="24"/>
          <w:szCs w:val="24"/>
          <w:lang w:eastAsia="it-IT"/>
        </w:rPr>
        <w:t>etexilato</w:t>
      </w:r>
      <w:proofErr w:type="spellEnd"/>
    </w:p>
    <w:p w:rsidR="00AC725B" w:rsidRPr="00F3099A" w:rsidRDefault="00AC725B" w:rsidP="00AC725B">
      <w:pPr>
        <w:pStyle w:val="Default"/>
        <w:spacing w:line="264" w:lineRule="auto"/>
        <w:ind w:right="-46"/>
        <w:jc w:val="both"/>
        <w:rPr>
          <w:rFonts w:asciiTheme="minorHAnsi" w:hAnsiTheme="minorHAnsi" w:cstheme="minorHAnsi"/>
          <w:color w:val="auto"/>
          <w:sz w:val="22"/>
          <w:szCs w:val="22"/>
          <w:lang w:val="it-IT"/>
        </w:rPr>
      </w:pPr>
      <w:r w:rsidRPr="00F3099A">
        <w:rPr>
          <w:rFonts w:asciiTheme="minorHAnsi" w:hAnsiTheme="minorHAnsi" w:cstheme="minorHAnsi"/>
          <w:color w:val="auto"/>
          <w:sz w:val="22"/>
          <w:szCs w:val="22"/>
          <w:lang w:val="it-IT"/>
        </w:rPr>
        <w:t xml:space="preserve">L’esperienza clinica con </w:t>
      </w:r>
      <w:proofErr w:type="spellStart"/>
      <w:r w:rsidRPr="00F3099A">
        <w:rPr>
          <w:rFonts w:asciiTheme="minorHAnsi" w:hAnsiTheme="minorHAnsi" w:cstheme="minorHAnsi"/>
          <w:color w:val="auto"/>
          <w:sz w:val="22"/>
          <w:szCs w:val="22"/>
          <w:lang w:val="it-IT"/>
        </w:rPr>
        <w:t>dabigatran</w:t>
      </w:r>
      <w:proofErr w:type="spellEnd"/>
      <w:r w:rsidRPr="00F3099A">
        <w:rPr>
          <w:rFonts w:asciiTheme="minorHAnsi" w:hAnsiTheme="minorHAnsi" w:cstheme="minorHAnsi"/>
          <w:color w:val="auto"/>
          <w:sz w:val="22"/>
          <w:szCs w:val="22"/>
          <w:lang w:val="it-IT"/>
        </w:rPr>
        <w:t xml:space="preserve"> </w:t>
      </w:r>
      <w:proofErr w:type="spellStart"/>
      <w:r w:rsidRPr="00F3099A">
        <w:rPr>
          <w:rFonts w:asciiTheme="minorHAnsi" w:hAnsiTheme="minorHAnsi" w:cstheme="minorHAnsi"/>
          <w:color w:val="auto"/>
          <w:sz w:val="22"/>
          <w:szCs w:val="22"/>
          <w:lang w:val="it-IT"/>
        </w:rPr>
        <w:t>etexilato</w:t>
      </w:r>
      <w:proofErr w:type="spellEnd"/>
      <w:r w:rsidRPr="00F3099A">
        <w:rPr>
          <w:rFonts w:asciiTheme="minorHAnsi" w:hAnsiTheme="minorHAnsi" w:cstheme="minorHAnsi"/>
          <w:color w:val="auto"/>
          <w:sz w:val="22"/>
          <w:szCs w:val="22"/>
          <w:lang w:val="it-IT"/>
        </w:rPr>
        <w:t xml:space="preserve"> supera i 7,9 milioni di anni/paziente per tutte le indicazioni per cui il farmaco è stato approvato nel mondo. </w:t>
      </w:r>
      <w:proofErr w:type="spellStart"/>
      <w:r w:rsidRPr="00F3099A">
        <w:rPr>
          <w:rFonts w:asciiTheme="minorHAnsi" w:hAnsiTheme="minorHAnsi" w:cstheme="minorHAnsi"/>
          <w:color w:val="auto"/>
          <w:sz w:val="22"/>
          <w:szCs w:val="22"/>
          <w:lang w:val="it-IT"/>
        </w:rPr>
        <w:t>Dabigatran</w:t>
      </w:r>
      <w:proofErr w:type="spellEnd"/>
      <w:r w:rsidRPr="00F3099A">
        <w:rPr>
          <w:rFonts w:asciiTheme="minorHAnsi" w:hAnsiTheme="minorHAnsi" w:cstheme="minorHAnsi"/>
          <w:color w:val="auto"/>
          <w:sz w:val="22"/>
          <w:szCs w:val="22"/>
          <w:lang w:val="it-IT"/>
        </w:rPr>
        <w:t xml:space="preserve"> è sul mercato da oltre 8 anni ed è approvato in più di 100 Paesi.</w:t>
      </w:r>
      <w:r w:rsidR="009E4CA9" w:rsidRPr="00F3099A">
        <w:rPr>
          <w:rFonts w:asciiTheme="minorHAnsi" w:hAnsiTheme="minorHAnsi" w:cstheme="minorHAnsi"/>
          <w:color w:val="auto"/>
          <w:sz w:val="22"/>
          <w:szCs w:val="22"/>
          <w:vertAlign w:val="superscript"/>
          <w:lang w:val="it-IT"/>
        </w:rPr>
        <w:t>23</w:t>
      </w:r>
    </w:p>
    <w:p w:rsidR="00AC725B" w:rsidRPr="00F3099A" w:rsidRDefault="00AC725B" w:rsidP="00AC725B">
      <w:pPr>
        <w:pStyle w:val="Default"/>
        <w:spacing w:line="264" w:lineRule="auto"/>
        <w:ind w:right="-46"/>
        <w:jc w:val="both"/>
        <w:rPr>
          <w:rFonts w:asciiTheme="minorHAnsi" w:hAnsiTheme="minorHAnsi" w:cstheme="minorHAnsi"/>
          <w:color w:val="auto"/>
          <w:sz w:val="22"/>
          <w:szCs w:val="22"/>
          <w:lang w:val="it-IT"/>
        </w:rPr>
      </w:pPr>
      <w:r w:rsidRPr="00F3099A">
        <w:rPr>
          <w:rFonts w:asciiTheme="minorHAnsi" w:hAnsiTheme="minorHAnsi" w:cstheme="minorHAnsi"/>
          <w:color w:val="auto"/>
          <w:sz w:val="22"/>
          <w:szCs w:val="22"/>
          <w:lang w:val="it-IT"/>
        </w:rPr>
        <w:t xml:space="preserve">Le indicazioni per cui </w:t>
      </w:r>
      <w:proofErr w:type="spellStart"/>
      <w:r w:rsidRPr="00F3099A">
        <w:rPr>
          <w:rFonts w:asciiTheme="minorHAnsi" w:hAnsiTheme="minorHAnsi" w:cstheme="minorHAnsi"/>
          <w:color w:val="auto"/>
          <w:sz w:val="22"/>
          <w:szCs w:val="22"/>
          <w:lang w:val="it-IT"/>
        </w:rPr>
        <w:t>dabigatran</w:t>
      </w:r>
      <w:proofErr w:type="spellEnd"/>
      <w:r w:rsidRPr="00F3099A">
        <w:rPr>
          <w:rFonts w:asciiTheme="minorHAnsi" w:hAnsiTheme="minorHAnsi" w:cstheme="minorHAnsi"/>
          <w:color w:val="auto"/>
          <w:sz w:val="22"/>
          <w:szCs w:val="22"/>
          <w:lang w:val="it-IT"/>
        </w:rPr>
        <w:t xml:space="preserve"> è attualmente approvato sono le seguenti:</w:t>
      </w:r>
      <w:r w:rsidR="009E4CA9" w:rsidRPr="00F3099A">
        <w:rPr>
          <w:rFonts w:asciiTheme="minorHAnsi" w:hAnsiTheme="minorHAnsi" w:cstheme="minorHAnsi"/>
          <w:color w:val="auto"/>
          <w:sz w:val="22"/>
          <w:szCs w:val="22"/>
          <w:vertAlign w:val="superscript"/>
          <w:lang w:val="it-IT"/>
        </w:rPr>
        <w:t>24,25</w:t>
      </w:r>
    </w:p>
    <w:p w:rsidR="00AC725B" w:rsidRPr="00F3099A" w:rsidRDefault="00F83E44" w:rsidP="00F83E44">
      <w:pPr>
        <w:pStyle w:val="Paragrafoelenco"/>
        <w:keepNext/>
        <w:keepLines/>
        <w:widowControl w:val="0"/>
        <w:numPr>
          <w:ilvl w:val="0"/>
          <w:numId w:val="7"/>
        </w:numPr>
        <w:spacing w:line="264" w:lineRule="auto"/>
        <w:jc w:val="both"/>
        <w:rPr>
          <w:rFonts w:asciiTheme="minorHAnsi" w:eastAsia="BISans" w:hAnsiTheme="minorHAnsi" w:cstheme="minorHAnsi"/>
          <w:sz w:val="22"/>
          <w:szCs w:val="22"/>
          <w:lang w:val="it-IT"/>
        </w:rPr>
      </w:pPr>
      <w:r w:rsidRPr="00F3099A">
        <w:rPr>
          <w:rFonts w:asciiTheme="minorHAnsi" w:eastAsia="BISans" w:hAnsiTheme="minorHAnsi" w:cstheme="minorHAnsi"/>
          <w:sz w:val="22"/>
          <w:szCs w:val="22"/>
          <w:lang w:val="it-IT"/>
        </w:rPr>
        <w:t>Prevenzione di ictus e embolia sistemica in pazienti adulti con fibrillazione atriale non-valvolare (FANV), con uno o più fattori di rischio, quali precedente ictus o attacco ischemico transitorio (TIA); età ≥ 75 anni; insufficienza cardiaca (Classe NYHA ≥ II); diabete mellito; ipertensione</w:t>
      </w:r>
      <w:r w:rsidR="00AC725B" w:rsidRPr="00F3099A">
        <w:rPr>
          <w:rFonts w:asciiTheme="minorHAnsi" w:eastAsia="BISans" w:hAnsiTheme="minorHAnsi" w:cstheme="minorHAnsi"/>
          <w:sz w:val="22"/>
          <w:szCs w:val="22"/>
          <w:lang w:val="it-IT"/>
        </w:rPr>
        <w:t>;</w:t>
      </w:r>
    </w:p>
    <w:p w:rsidR="00AC725B" w:rsidRPr="00F3099A" w:rsidRDefault="00F83E44" w:rsidP="00F83E44">
      <w:pPr>
        <w:pStyle w:val="Paragrafoelenco"/>
        <w:keepNext/>
        <w:keepLines/>
        <w:widowControl w:val="0"/>
        <w:numPr>
          <w:ilvl w:val="0"/>
          <w:numId w:val="7"/>
        </w:numPr>
        <w:spacing w:line="264" w:lineRule="auto"/>
        <w:jc w:val="both"/>
        <w:rPr>
          <w:rFonts w:asciiTheme="minorHAnsi" w:eastAsia="BISans" w:hAnsiTheme="minorHAnsi" w:cstheme="minorHAnsi"/>
          <w:sz w:val="22"/>
          <w:szCs w:val="22"/>
          <w:lang w:val="it-IT"/>
        </w:rPr>
      </w:pPr>
      <w:r w:rsidRPr="00F3099A">
        <w:rPr>
          <w:rFonts w:asciiTheme="minorHAnsi" w:eastAsia="BISans" w:hAnsiTheme="minorHAnsi" w:cstheme="minorHAnsi"/>
          <w:sz w:val="22"/>
          <w:szCs w:val="22"/>
          <w:lang w:val="it-IT"/>
        </w:rPr>
        <w:t>Prevenzione primaria di episodi tromboembolici in pazienti adulti sottoposti a chirurgia sostitutiva elettiva totale dell’anca o del ginocchio</w:t>
      </w:r>
      <w:r w:rsidR="00AC725B" w:rsidRPr="00F3099A">
        <w:rPr>
          <w:rFonts w:asciiTheme="minorHAnsi" w:eastAsia="BISans" w:hAnsiTheme="minorHAnsi" w:cstheme="minorHAnsi"/>
          <w:sz w:val="22"/>
          <w:szCs w:val="22"/>
          <w:lang w:val="it-IT"/>
        </w:rPr>
        <w:t>;</w:t>
      </w:r>
    </w:p>
    <w:p w:rsidR="00AC725B" w:rsidRPr="00F3099A" w:rsidRDefault="00F83E44" w:rsidP="00F83E44">
      <w:pPr>
        <w:pStyle w:val="Paragrafoelenco"/>
        <w:numPr>
          <w:ilvl w:val="0"/>
          <w:numId w:val="7"/>
        </w:numPr>
        <w:spacing w:line="264" w:lineRule="auto"/>
        <w:jc w:val="both"/>
        <w:rPr>
          <w:rFonts w:asciiTheme="minorHAnsi" w:eastAsia="BISans" w:hAnsiTheme="minorHAnsi" w:cstheme="minorHAnsi"/>
          <w:sz w:val="22"/>
          <w:szCs w:val="22"/>
          <w:lang w:val="it-IT"/>
        </w:rPr>
      </w:pPr>
      <w:r w:rsidRPr="00F3099A">
        <w:rPr>
          <w:rFonts w:asciiTheme="minorHAnsi" w:eastAsia="BISans" w:hAnsiTheme="minorHAnsi" w:cstheme="minorHAnsi"/>
          <w:sz w:val="22"/>
          <w:szCs w:val="22"/>
          <w:lang w:val="it-IT"/>
        </w:rPr>
        <w:t>Trattamento della trombosi venosa profonda (TVP) e dell’embolia polmonare (EP) e prevenzione delle recidive di TVP e EP negli adulti</w:t>
      </w:r>
      <w:r w:rsidR="00AC725B" w:rsidRPr="00F3099A">
        <w:rPr>
          <w:rFonts w:asciiTheme="minorHAnsi" w:eastAsia="BISans" w:hAnsiTheme="minorHAnsi" w:cstheme="minorHAnsi"/>
          <w:sz w:val="22"/>
          <w:szCs w:val="22"/>
          <w:lang w:val="it-IT"/>
        </w:rPr>
        <w:t>.</w:t>
      </w:r>
    </w:p>
    <w:p w:rsidR="00AC725B" w:rsidRPr="00F3099A" w:rsidRDefault="00AC725B" w:rsidP="00AC725B">
      <w:pPr>
        <w:pStyle w:val="Paragrafoelenco"/>
        <w:spacing w:line="264" w:lineRule="auto"/>
        <w:ind w:left="284"/>
        <w:jc w:val="both"/>
        <w:rPr>
          <w:rFonts w:asciiTheme="minorHAnsi" w:eastAsia="BISans" w:hAnsiTheme="minorHAnsi" w:cstheme="minorHAnsi"/>
          <w:sz w:val="22"/>
          <w:szCs w:val="22"/>
          <w:lang w:val="it-IT"/>
        </w:rPr>
      </w:pPr>
    </w:p>
    <w:p w:rsidR="00AC725B" w:rsidRPr="00F3099A" w:rsidRDefault="00AC725B" w:rsidP="00AC725B">
      <w:pPr>
        <w:spacing w:line="264" w:lineRule="auto"/>
        <w:jc w:val="both"/>
        <w:rPr>
          <w:rFonts w:asciiTheme="minorHAnsi" w:eastAsia="BISans" w:hAnsiTheme="minorHAnsi" w:cstheme="minorHAnsi"/>
        </w:rPr>
      </w:pPr>
      <w:proofErr w:type="spellStart"/>
      <w:r w:rsidRPr="00F3099A">
        <w:rPr>
          <w:rFonts w:asciiTheme="minorHAnsi" w:eastAsia="BISans" w:hAnsiTheme="minorHAnsi" w:cstheme="minorHAnsi"/>
        </w:rPr>
        <w:t>Dabigatran</w:t>
      </w:r>
      <w:proofErr w:type="spellEnd"/>
      <w:r w:rsidRPr="00F3099A">
        <w:rPr>
          <w:rFonts w:asciiTheme="minorHAnsi" w:eastAsia="BISans" w:hAnsiTheme="minorHAnsi" w:cstheme="minorHAnsi"/>
        </w:rPr>
        <w:t xml:space="preserve">, che è un inibitore diretto della trombina (IDT), è stato il primo farmaco di una nuova generazione di anticoagulanti orali ad azione diretta ad essere ampiamente approvato e disponibile sul mercato, per rispondere a un forte bisogno insoddisfatto di terapie per la prevenzione e il trattamento delle malattie tromboemboliche acute </w:t>
      </w:r>
      <w:r w:rsidRPr="00F3099A">
        <w:rPr>
          <w:rFonts w:asciiTheme="minorHAnsi" w:eastAsia="BISans" w:hAnsiTheme="minorHAnsi" w:cstheme="minorHAnsi"/>
        </w:rPr>
        <w:lastRenderedPageBreak/>
        <w:t>e croniche.</w:t>
      </w:r>
      <w:r w:rsidR="009E4CA9" w:rsidRPr="00F3099A">
        <w:rPr>
          <w:rFonts w:asciiTheme="minorHAnsi" w:eastAsia="BISans" w:hAnsiTheme="minorHAnsi" w:cstheme="minorHAnsi"/>
          <w:vertAlign w:val="superscript"/>
        </w:rPr>
        <w:t>26,28</w:t>
      </w:r>
      <w:r w:rsidRPr="00F3099A">
        <w:rPr>
          <w:rFonts w:asciiTheme="minorHAnsi" w:eastAsia="BISans" w:hAnsiTheme="minorHAnsi" w:cstheme="minorHAnsi"/>
        </w:rPr>
        <w:t xml:space="preserve"> Gli inibitori diretti della trombina ottengono potenti effetti antitrombotici, bloccando in maniera specifica l’attività della trombina, l’enzima centrale nel processo di formazione del</w:t>
      </w:r>
      <w:r w:rsidR="009E4CA9" w:rsidRPr="00F3099A">
        <w:rPr>
          <w:rFonts w:asciiTheme="minorHAnsi" w:eastAsia="BISans" w:hAnsiTheme="minorHAnsi" w:cstheme="minorHAnsi"/>
        </w:rPr>
        <w:t xml:space="preserve"> </w:t>
      </w:r>
      <w:r w:rsidRPr="00F3099A">
        <w:rPr>
          <w:rFonts w:asciiTheme="minorHAnsi" w:eastAsia="BISans" w:hAnsiTheme="minorHAnsi" w:cstheme="minorHAnsi"/>
        </w:rPr>
        <w:t>trombo.</w:t>
      </w:r>
      <w:r w:rsidR="009E4CA9" w:rsidRPr="00F3099A">
        <w:rPr>
          <w:rFonts w:asciiTheme="minorHAnsi" w:eastAsia="BISans" w:hAnsiTheme="minorHAnsi" w:cstheme="minorHAnsi"/>
          <w:vertAlign w:val="superscript"/>
        </w:rPr>
        <w:t>28</w:t>
      </w:r>
      <w:r w:rsidRPr="00F3099A">
        <w:rPr>
          <w:rFonts w:asciiTheme="minorHAnsi" w:eastAsia="BISans" w:hAnsiTheme="minorHAnsi" w:cstheme="minorHAnsi"/>
        </w:rPr>
        <w:t xml:space="preserve"> A differenza degli antagonisti della vitamina K, che hanno un effetto variabile e che bloccano diversi fattori della coagulazione, </w:t>
      </w:r>
      <w:proofErr w:type="spellStart"/>
      <w:r w:rsidRPr="00F3099A">
        <w:rPr>
          <w:rFonts w:asciiTheme="minorHAnsi" w:eastAsia="BISans" w:hAnsiTheme="minorHAnsi" w:cstheme="minorHAnsi"/>
        </w:rPr>
        <w:t>dabigatran</w:t>
      </w:r>
      <w:proofErr w:type="spellEnd"/>
      <w:r w:rsidRPr="00F3099A">
        <w:rPr>
          <w:rFonts w:asciiTheme="minorHAnsi" w:eastAsia="BISans" w:hAnsiTheme="minorHAnsi" w:cstheme="minorHAnsi"/>
        </w:rPr>
        <w:t xml:space="preserve"> realizza un’anticoagulazione efficace, prevedibile e riproducibile con basso potenziale di interazione con altri farmaci e nessuna interazione con il cibo, senza richiedere il monitoraggio regolare della coagulazione, né aggiustamenti di dosaggio</w:t>
      </w:r>
      <w:r w:rsidR="009E4CA9" w:rsidRPr="00F3099A">
        <w:rPr>
          <w:rFonts w:asciiTheme="minorHAnsi" w:eastAsia="BISans" w:hAnsiTheme="minorHAnsi" w:cstheme="minorHAnsi"/>
        </w:rPr>
        <w:t xml:space="preserve">. </w:t>
      </w:r>
      <w:r w:rsidR="009E4CA9" w:rsidRPr="00F3099A">
        <w:rPr>
          <w:rFonts w:asciiTheme="minorHAnsi" w:eastAsia="BISans" w:hAnsiTheme="minorHAnsi" w:cstheme="minorHAnsi"/>
          <w:vertAlign w:val="superscript"/>
        </w:rPr>
        <w:t>26,28</w:t>
      </w:r>
    </w:p>
    <w:p w:rsidR="00AC725B" w:rsidRPr="00F3099A" w:rsidRDefault="00AC725B" w:rsidP="00AC725B">
      <w:pPr>
        <w:pStyle w:val="Default"/>
        <w:spacing w:line="264" w:lineRule="auto"/>
        <w:jc w:val="both"/>
        <w:rPr>
          <w:rFonts w:asciiTheme="minorHAnsi" w:hAnsiTheme="minorHAnsi"/>
          <w:color w:val="auto"/>
          <w:sz w:val="22"/>
          <w:szCs w:val="22"/>
          <w:vertAlign w:val="superscript"/>
          <w:lang w:val="it-IT"/>
        </w:rPr>
      </w:pPr>
      <w:proofErr w:type="spellStart"/>
      <w:r w:rsidRPr="00F3099A">
        <w:rPr>
          <w:rFonts w:asciiTheme="minorHAnsi" w:hAnsiTheme="minorHAnsi"/>
          <w:color w:val="auto"/>
          <w:sz w:val="22"/>
          <w:szCs w:val="22"/>
          <w:lang w:val="it-IT"/>
        </w:rPr>
        <w:t>Dabigatran</w:t>
      </w:r>
      <w:proofErr w:type="spellEnd"/>
      <w:r w:rsidRPr="00F3099A">
        <w:rPr>
          <w:rFonts w:asciiTheme="minorHAnsi" w:hAnsiTheme="minorHAnsi"/>
          <w:color w:val="auto"/>
          <w:sz w:val="22"/>
          <w:szCs w:val="22"/>
          <w:lang w:val="it-IT"/>
        </w:rPr>
        <w:t xml:space="preserve"> </w:t>
      </w:r>
      <w:proofErr w:type="spellStart"/>
      <w:r w:rsidRPr="00F3099A">
        <w:rPr>
          <w:rFonts w:asciiTheme="minorHAnsi" w:hAnsiTheme="minorHAnsi"/>
          <w:color w:val="auto"/>
          <w:sz w:val="22"/>
          <w:szCs w:val="22"/>
          <w:lang w:val="it-IT"/>
        </w:rPr>
        <w:t>etexilato</w:t>
      </w:r>
      <w:proofErr w:type="spellEnd"/>
      <w:r w:rsidRPr="00F3099A">
        <w:rPr>
          <w:rFonts w:asciiTheme="minorHAnsi" w:hAnsiTheme="minorHAnsi"/>
          <w:color w:val="auto"/>
          <w:sz w:val="22"/>
          <w:szCs w:val="22"/>
          <w:lang w:val="it-IT"/>
        </w:rPr>
        <w:t xml:space="preserve"> è l’unico nuovo anticoagulante orale per cui esista un farmaco approvato che ne inattivi in maniera specifica l’effetto. Questo farmaco è </w:t>
      </w:r>
      <w:proofErr w:type="spellStart"/>
      <w:r w:rsidRPr="00F3099A">
        <w:rPr>
          <w:rFonts w:asciiTheme="minorHAnsi" w:hAnsiTheme="minorHAnsi"/>
          <w:color w:val="auto"/>
          <w:sz w:val="22"/>
          <w:szCs w:val="22"/>
          <w:lang w:val="it-IT"/>
        </w:rPr>
        <w:t>idarucizumab</w:t>
      </w:r>
      <w:proofErr w:type="spellEnd"/>
      <w:r w:rsidRPr="00F3099A">
        <w:rPr>
          <w:rFonts w:asciiTheme="minorHAnsi" w:hAnsiTheme="minorHAnsi"/>
          <w:color w:val="auto"/>
          <w:sz w:val="22"/>
          <w:szCs w:val="22"/>
          <w:lang w:val="it-IT"/>
        </w:rPr>
        <w:t xml:space="preserve">, approvato nell’Unione Europea e negli Stati Uniti per l’impiego in pazienti adulti trattati con </w:t>
      </w:r>
      <w:proofErr w:type="spellStart"/>
      <w:r w:rsidRPr="00F3099A">
        <w:rPr>
          <w:rFonts w:asciiTheme="minorHAnsi" w:hAnsiTheme="minorHAnsi"/>
          <w:color w:val="auto"/>
          <w:sz w:val="22"/>
          <w:szCs w:val="22"/>
          <w:lang w:val="it-IT"/>
        </w:rPr>
        <w:t>dabigatran</w:t>
      </w:r>
      <w:proofErr w:type="spellEnd"/>
      <w:r w:rsidRPr="00F3099A">
        <w:rPr>
          <w:rFonts w:asciiTheme="minorHAnsi" w:hAnsiTheme="minorHAnsi"/>
          <w:color w:val="auto"/>
          <w:sz w:val="22"/>
          <w:szCs w:val="22"/>
          <w:lang w:val="it-IT"/>
        </w:rPr>
        <w:t xml:space="preserve"> </w:t>
      </w:r>
      <w:proofErr w:type="spellStart"/>
      <w:r w:rsidRPr="00F3099A">
        <w:rPr>
          <w:rFonts w:asciiTheme="minorHAnsi" w:hAnsiTheme="minorHAnsi"/>
          <w:color w:val="auto"/>
          <w:sz w:val="22"/>
          <w:szCs w:val="22"/>
          <w:lang w:val="it-IT"/>
        </w:rPr>
        <w:t>etexilato</w:t>
      </w:r>
      <w:proofErr w:type="spellEnd"/>
      <w:r w:rsidRPr="00F3099A">
        <w:rPr>
          <w:rFonts w:asciiTheme="minorHAnsi" w:hAnsiTheme="minorHAnsi"/>
          <w:color w:val="auto"/>
          <w:sz w:val="22"/>
          <w:szCs w:val="22"/>
          <w:lang w:val="it-IT"/>
        </w:rPr>
        <w:t>, che necessitano di una rapida inattivazione del suo effetto anticoagulante prima di interventi chirurgici d’urgenza o emergenza, o in caso di sanguinamento incontrollato che possa mettere a rischio la vita del paziente.</w:t>
      </w:r>
      <w:r w:rsidR="009E4CA9" w:rsidRPr="00F3099A">
        <w:rPr>
          <w:rFonts w:asciiTheme="minorHAnsi" w:hAnsiTheme="minorHAnsi"/>
          <w:color w:val="auto"/>
          <w:sz w:val="22"/>
          <w:szCs w:val="22"/>
          <w:vertAlign w:val="superscript"/>
          <w:lang w:val="it-IT"/>
        </w:rPr>
        <w:t>29,30</w:t>
      </w:r>
    </w:p>
    <w:p w:rsidR="00AC725B" w:rsidRPr="00F3099A" w:rsidRDefault="00AC725B" w:rsidP="008437DB">
      <w:pPr>
        <w:spacing w:after="0" w:line="283" w:lineRule="atLeast"/>
        <w:jc w:val="both"/>
        <w:rPr>
          <w:rFonts w:ascii="BISans" w:eastAsia="Times New Roman" w:hAnsi="BISans" w:cstheme="minorHAnsi"/>
          <w:b/>
          <w:bCs/>
          <w:sz w:val="20"/>
          <w:szCs w:val="26"/>
        </w:rPr>
      </w:pPr>
    </w:p>
    <w:p w:rsidR="008437DB" w:rsidRPr="00F3099A" w:rsidRDefault="008437DB" w:rsidP="00CB00F0">
      <w:pPr>
        <w:jc w:val="both"/>
        <w:rPr>
          <w:rFonts w:eastAsia="Times New Roman" w:cs="Courier New"/>
          <w:b/>
          <w:sz w:val="24"/>
          <w:szCs w:val="24"/>
          <w:lang w:eastAsia="it-IT"/>
        </w:rPr>
      </w:pPr>
      <w:r w:rsidRPr="00F3099A">
        <w:rPr>
          <w:rFonts w:eastAsia="Times New Roman" w:cs="Courier New"/>
          <w:b/>
          <w:sz w:val="24"/>
          <w:szCs w:val="24"/>
          <w:lang w:eastAsia="it-IT"/>
        </w:rPr>
        <w:t xml:space="preserve">Boehringer </w:t>
      </w:r>
      <w:proofErr w:type="spellStart"/>
      <w:r w:rsidRPr="00F3099A">
        <w:rPr>
          <w:rFonts w:eastAsia="Times New Roman" w:cs="Courier New"/>
          <w:b/>
          <w:sz w:val="24"/>
          <w:szCs w:val="24"/>
          <w:lang w:eastAsia="it-IT"/>
        </w:rPr>
        <w:t>Ingelheim</w:t>
      </w:r>
      <w:proofErr w:type="spellEnd"/>
    </w:p>
    <w:p w:rsidR="008437DB" w:rsidRPr="00F3099A" w:rsidRDefault="008437DB" w:rsidP="00F3099A">
      <w:pPr>
        <w:spacing w:after="0" w:line="240" w:lineRule="auto"/>
        <w:jc w:val="both"/>
        <w:rPr>
          <w:rFonts w:asciiTheme="minorHAnsi" w:eastAsiaTheme="minorHAnsi" w:hAnsiTheme="minorHAnsi" w:cs="Arial"/>
        </w:rPr>
      </w:pPr>
      <w:r w:rsidRPr="00F3099A">
        <w:rPr>
          <w:rFonts w:asciiTheme="minorHAnsi" w:eastAsiaTheme="minorHAnsi" w:hAnsiTheme="minorHAnsi" w:cs="Arial"/>
        </w:rPr>
        <w:t xml:space="preserve">Farmaci innovativi per l’uomo e gli animali: per questo è conosciuta, da oltre 130 anni Boehringer Ingelheim, azienda fortemente guidata dalla ricerca. Boehringer Ingelheim, di proprietà familiare, è tra le 20 aziende leader nel settore a livello mondiale. Ogni giorno, circa 50.000 collaboratori creano valore attraverso l’innovazione nelle tre aree di business: farmaci per uso umano, settore veterinario e nella produzione biofarmaceutica conto terzi. </w:t>
      </w:r>
    </w:p>
    <w:p w:rsidR="008437DB" w:rsidRPr="00F3099A" w:rsidRDefault="008437DB" w:rsidP="00F3099A">
      <w:pPr>
        <w:spacing w:after="0" w:line="240" w:lineRule="auto"/>
        <w:jc w:val="both"/>
        <w:rPr>
          <w:rFonts w:asciiTheme="minorHAnsi" w:eastAsiaTheme="minorHAnsi" w:hAnsiTheme="minorHAnsi" w:cs="Arial"/>
        </w:rPr>
      </w:pPr>
      <w:r w:rsidRPr="00F3099A">
        <w:rPr>
          <w:rFonts w:asciiTheme="minorHAnsi" w:eastAsiaTheme="minorHAnsi" w:hAnsiTheme="minorHAnsi" w:cs="Arial"/>
        </w:rPr>
        <w:t>Nel 2016, i ricavi delle vendite del gruppo Boehringer Ingelheim ammontavano a circa 15,9 miliardi di euro. L’azienda ha investito più di tre miliardi di euro, pari al 19,6% dell’intero fatturato, in Ricerca e nello Sviluppo.</w:t>
      </w:r>
    </w:p>
    <w:p w:rsidR="008437DB" w:rsidRPr="00F3099A" w:rsidRDefault="008437DB" w:rsidP="00F3099A">
      <w:pPr>
        <w:spacing w:after="0" w:line="240" w:lineRule="auto"/>
        <w:jc w:val="both"/>
        <w:rPr>
          <w:rFonts w:asciiTheme="minorHAnsi" w:eastAsiaTheme="minorHAnsi" w:hAnsiTheme="minorHAnsi" w:cs="Arial"/>
        </w:rPr>
      </w:pPr>
    </w:p>
    <w:p w:rsidR="008437DB" w:rsidRPr="00F3099A" w:rsidRDefault="008437DB" w:rsidP="00F3099A">
      <w:pPr>
        <w:spacing w:after="0" w:line="240" w:lineRule="auto"/>
        <w:jc w:val="both"/>
        <w:rPr>
          <w:rFonts w:asciiTheme="minorHAnsi" w:eastAsiaTheme="minorHAnsi" w:hAnsiTheme="minorHAnsi" w:cs="Arial"/>
        </w:rPr>
      </w:pPr>
      <w:r w:rsidRPr="00F3099A">
        <w:rPr>
          <w:rFonts w:asciiTheme="minorHAnsi" w:eastAsiaTheme="minorHAnsi" w:hAnsiTheme="minorHAnsi" w:cs="Arial"/>
        </w:rPr>
        <w:t xml:space="preserve">La responsabilità sociale è un elemento innato per Boehringer Ingelheim. A questo proposito, l’azienda è impegnata nel sociale, con progetti come l’iniziativa “Making More Health”. Inoltre, il gruppo Boehringer Ingelheim promuove attivamente il tema della Diversity in azienda, traendo beneficio dalle esperienze e dalle differenti competenze di ciascun collaboratore. La tutela e la sostenibilità ambientale sono al centro di ogni attività aziendale. </w:t>
      </w:r>
    </w:p>
    <w:p w:rsidR="008437DB" w:rsidRPr="00F3099A" w:rsidRDefault="008437DB" w:rsidP="00F3099A">
      <w:pPr>
        <w:spacing w:after="0" w:line="240" w:lineRule="auto"/>
        <w:jc w:val="both"/>
        <w:rPr>
          <w:rFonts w:asciiTheme="minorHAnsi" w:eastAsiaTheme="minorHAnsi" w:hAnsiTheme="minorHAnsi" w:cs="Arial"/>
        </w:rPr>
      </w:pPr>
    </w:p>
    <w:p w:rsidR="008437DB" w:rsidRPr="00F3099A" w:rsidRDefault="008437DB" w:rsidP="00F3099A">
      <w:pPr>
        <w:spacing w:after="0" w:line="240" w:lineRule="auto"/>
        <w:jc w:val="both"/>
        <w:rPr>
          <w:rFonts w:asciiTheme="minorHAnsi" w:eastAsiaTheme="minorHAnsi" w:hAnsiTheme="minorHAnsi" w:cs="Arial"/>
        </w:rPr>
      </w:pPr>
      <w:r w:rsidRPr="00F3099A">
        <w:rPr>
          <w:rFonts w:asciiTheme="minorHAnsi" w:eastAsiaTheme="minorHAnsi" w:hAnsiTheme="minorHAnsi" w:cs="Arial"/>
        </w:rPr>
        <w:lastRenderedPageBreak/>
        <w:t xml:space="preserve">Per maggiori informazioni visitate il sito </w:t>
      </w:r>
      <w:hyperlink r:id="rId8" w:history="1">
        <w:r w:rsidRPr="00F3099A">
          <w:rPr>
            <w:rFonts w:asciiTheme="minorHAnsi" w:eastAsiaTheme="minorHAnsi" w:hAnsiTheme="minorHAnsi" w:cs="Arial"/>
          </w:rPr>
          <w:t>www.boehringer-ingelheim.com</w:t>
        </w:r>
      </w:hyperlink>
      <w:r w:rsidRPr="00F3099A">
        <w:rPr>
          <w:rFonts w:asciiTheme="minorHAnsi" w:eastAsiaTheme="minorHAnsi" w:hAnsiTheme="minorHAnsi" w:cs="Arial"/>
        </w:rPr>
        <w:t xml:space="preserve">. </w:t>
      </w:r>
    </w:p>
    <w:p w:rsidR="008437DB" w:rsidRDefault="008437DB" w:rsidP="00F3099A">
      <w:pPr>
        <w:keepNext/>
        <w:keepLines/>
        <w:spacing w:after="0" w:line="240" w:lineRule="auto"/>
        <w:jc w:val="both"/>
        <w:outlineLvl w:val="1"/>
        <w:rPr>
          <w:rFonts w:ascii="BISans" w:eastAsia="BISans" w:hAnsi="BISans" w:cstheme="minorHAnsi"/>
          <w:sz w:val="20"/>
        </w:rPr>
      </w:pPr>
    </w:p>
    <w:p w:rsidR="00764DD6" w:rsidRPr="00CB00F0" w:rsidRDefault="00764DD6" w:rsidP="00CB00F0">
      <w:pPr>
        <w:jc w:val="both"/>
        <w:rPr>
          <w:rFonts w:eastAsia="Times New Roman" w:cs="Courier New"/>
          <w:b/>
          <w:color w:val="212121"/>
          <w:sz w:val="24"/>
          <w:szCs w:val="24"/>
          <w:lang w:eastAsia="it-IT"/>
        </w:rPr>
      </w:pPr>
      <w:r w:rsidRPr="00CB00F0">
        <w:rPr>
          <w:rFonts w:eastAsia="Times New Roman" w:cs="Courier New"/>
          <w:b/>
          <w:color w:val="212121"/>
          <w:sz w:val="24"/>
          <w:szCs w:val="24"/>
          <w:lang w:eastAsia="it-IT"/>
        </w:rPr>
        <w:t>Per ulteriori informazioni:</w:t>
      </w:r>
    </w:p>
    <w:p w:rsidR="00764DD6" w:rsidRPr="00CB00F0" w:rsidRDefault="00764DD6" w:rsidP="00B90135">
      <w:pPr>
        <w:spacing w:after="0" w:line="283" w:lineRule="atLeast"/>
        <w:ind w:right="28"/>
        <w:jc w:val="both"/>
        <w:rPr>
          <w:rFonts w:asciiTheme="minorHAnsi" w:eastAsia="BISans" w:hAnsiTheme="minorHAnsi" w:cs="Angsana New"/>
          <w:sz w:val="20"/>
          <w:szCs w:val="20"/>
        </w:rPr>
      </w:pPr>
      <w:r w:rsidRPr="00CB00F0">
        <w:rPr>
          <w:rFonts w:asciiTheme="minorHAnsi" w:eastAsia="BISans" w:hAnsiTheme="minorHAnsi" w:cs="Angsana New"/>
          <w:sz w:val="20"/>
          <w:szCs w:val="20"/>
        </w:rPr>
        <w:t xml:space="preserve">Marina </w:t>
      </w:r>
      <w:proofErr w:type="spellStart"/>
      <w:r w:rsidRPr="00CB00F0">
        <w:rPr>
          <w:rFonts w:asciiTheme="minorHAnsi" w:eastAsia="BISans" w:hAnsiTheme="minorHAnsi" w:cs="Angsana New"/>
          <w:sz w:val="20"/>
          <w:szCs w:val="20"/>
        </w:rPr>
        <w:t>Guffanti</w:t>
      </w:r>
      <w:proofErr w:type="spellEnd"/>
    </w:p>
    <w:p w:rsidR="00764DD6" w:rsidRPr="00CB00F0" w:rsidRDefault="00764DD6" w:rsidP="00B90135">
      <w:pPr>
        <w:spacing w:after="0" w:line="283" w:lineRule="atLeast"/>
        <w:ind w:right="28"/>
        <w:jc w:val="both"/>
        <w:rPr>
          <w:rFonts w:asciiTheme="minorHAnsi" w:eastAsia="BISans" w:hAnsiTheme="minorHAnsi" w:cs="Angsana New"/>
          <w:sz w:val="20"/>
          <w:szCs w:val="20"/>
        </w:rPr>
      </w:pPr>
      <w:r w:rsidRPr="00CB00F0">
        <w:rPr>
          <w:rFonts w:asciiTheme="minorHAnsi" w:eastAsia="BISans" w:hAnsiTheme="minorHAnsi" w:cs="Angsana New"/>
          <w:sz w:val="20"/>
          <w:szCs w:val="20"/>
        </w:rPr>
        <w:t>Comunicazione</w:t>
      </w:r>
    </w:p>
    <w:p w:rsidR="00764DD6" w:rsidRPr="00CB00F0" w:rsidRDefault="00764DD6" w:rsidP="00B90135">
      <w:pPr>
        <w:spacing w:after="0" w:line="283" w:lineRule="atLeast"/>
        <w:ind w:right="28"/>
        <w:jc w:val="both"/>
        <w:rPr>
          <w:rFonts w:asciiTheme="minorHAnsi" w:eastAsia="BISans" w:hAnsiTheme="minorHAnsi" w:cs="Angsana New"/>
          <w:b/>
          <w:sz w:val="20"/>
          <w:szCs w:val="20"/>
        </w:rPr>
      </w:pPr>
      <w:r w:rsidRPr="00CB00F0">
        <w:rPr>
          <w:rFonts w:asciiTheme="minorHAnsi" w:eastAsia="BISans" w:hAnsiTheme="minorHAnsi" w:cs="Angsana New"/>
          <w:b/>
          <w:sz w:val="20"/>
          <w:szCs w:val="20"/>
        </w:rPr>
        <w:t>Boehringer Ingelheim Italia SpA</w:t>
      </w:r>
    </w:p>
    <w:p w:rsidR="00764DD6" w:rsidRPr="00CB00F0" w:rsidRDefault="00764DD6" w:rsidP="00B90135">
      <w:pPr>
        <w:spacing w:after="0" w:line="283" w:lineRule="atLeast"/>
        <w:ind w:right="28"/>
        <w:jc w:val="both"/>
        <w:rPr>
          <w:rFonts w:asciiTheme="minorHAnsi" w:eastAsia="BISans" w:hAnsiTheme="minorHAnsi" w:cs="Angsana New"/>
          <w:sz w:val="20"/>
          <w:szCs w:val="20"/>
        </w:rPr>
      </w:pPr>
      <w:r w:rsidRPr="00CB00F0">
        <w:rPr>
          <w:rFonts w:asciiTheme="minorHAnsi" w:eastAsia="BISans" w:hAnsiTheme="minorHAnsi" w:cs="Angsana New"/>
          <w:sz w:val="20"/>
          <w:szCs w:val="20"/>
        </w:rPr>
        <w:t>Telefono: 02 5355453</w:t>
      </w:r>
    </w:p>
    <w:p w:rsidR="00764DD6" w:rsidRPr="00B5162D" w:rsidRDefault="00764DD6" w:rsidP="00B90135">
      <w:pPr>
        <w:spacing w:after="0" w:line="283" w:lineRule="atLeast"/>
        <w:ind w:right="28"/>
        <w:jc w:val="both"/>
        <w:rPr>
          <w:rFonts w:asciiTheme="minorHAnsi" w:eastAsia="BISans" w:hAnsiTheme="minorHAnsi" w:cs="Angsana New"/>
          <w:sz w:val="20"/>
          <w:szCs w:val="20"/>
        </w:rPr>
      </w:pPr>
      <w:r w:rsidRPr="00B5162D">
        <w:rPr>
          <w:rFonts w:asciiTheme="minorHAnsi" w:eastAsia="BISans" w:hAnsiTheme="minorHAnsi" w:cs="Angsana New"/>
          <w:sz w:val="20"/>
          <w:szCs w:val="20"/>
        </w:rPr>
        <w:t>Cell: 348 3995284</w:t>
      </w:r>
    </w:p>
    <w:p w:rsidR="00764DD6" w:rsidRPr="00B5162D" w:rsidRDefault="00764DD6" w:rsidP="00B90135">
      <w:pPr>
        <w:spacing w:after="0" w:line="283" w:lineRule="atLeast"/>
        <w:ind w:right="28"/>
        <w:jc w:val="both"/>
        <w:rPr>
          <w:rFonts w:asciiTheme="minorHAnsi" w:eastAsia="BISans" w:hAnsiTheme="minorHAnsi" w:cs="Angsana New"/>
          <w:sz w:val="20"/>
          <w:szCs w:val="20"/>
        </w:rPr>
      </w:pPr>
      <w:r w:rsidRPr="00B5162D">
        <w:rPr>
          <w:rFonts w:asciiTheme="minorHAnsi" w:eastAsia="BISans" w:hAnsiTheme="minorHAnsi" w:cs="Angsana New"/>
          <w:sz w:val="20"/>
          <w:szCs w:val="20"/>
        </w:rPr>
        <w:t xml:space="preserve">Mail: </w:t>
      </w:r>
      <w:hyperlink r:id="rId9" w:history="1">
        <w:r w:rsidRPr="00B5162D">
          <w:rPr>
            <w:rFonts w:asciiTheme="minorHAnsi" w:eastAsia="BISans" w:hAnsiTheme="minorHAnsi" w:cs="Angsana New"/>
            <w:sz w:val="20"/>
            <w:szCs w:val="20"/>
          </w:rPr>
          <w:t>marina.guffanti@boehringer-ingelheim.com</w:t>
        </w:r>
      </w:hyperlink>
    </w:p>
    <w:p w:rsidR="00764DD6" w:rsidRPr="00B5162D" w:rsidRDefault="00764DD6" w:rsidP="00B90135">
      <w:pPr>
        <w:spacing w:after="0" w:line="264" w:lineRule="auto"/>
        <w:jc w:val="both"/>
        <w:rPr>
          <w:rFonts w:asciiTheme="minorHAnsi" w:eastAsia="BISans" w:hAnsiTheme="minorHAnsi" w:cs="Angsana New"/>
          <w:b/>
          <w:bCs/>
          <w:color w:val="003366"/>
          <w:sz w:val="20"/>
          <w:szCs w:val="20"/>
        </w:rPr>
      </w:pPr>
    </w:p>
    <w:p w:rsidR="007C65F8" w:rsidRPr="00CB00F0" w:rsidRDefault="007C65F8" w:rsidP="00B90135">
      <w:pPr>
        <w:spacing w:after="0"/>
        <w:ind w:right="28"/>
        <w:jc w:val="both"/>
        <w:rPr>
          <w:rFonts w:asciiTheme="minorHAnsi" w:hAnsiTheme="minorHAnsi"/>
          <w:sz w:val="20"/>
          <w:szCs w:val="20"/>
        </w:rPr>
      </w:pPr>
      <w:r w:rsidRPr="00CB00F0">
        <w:rPr>
          <w:rFonts w:asciiTheme="minorHAnsi" w:hAnsiTheme="minorHAnsi"/>
          <w:sz w:val="20"/>
          <w:szCs w:val="20"/>
        </w:rPr>
        <w:t>Maria Luisa Paleari</w:t>
      </w:r>
    </w:p>
    <w:p w:rsidR="007C65F8" w:rsidRPr="00B5162D" w:rsidRDefault="007C65F8" w:rsidP="00B90135">
      <w:pPr>
        <w:spacing w:after="0"/>
        <w:ind w:right="28"/>
        <w:jc w:val="both"/>
        <w:rPr>
          <w:rFonts w:asciiTheme="minorHAnsi" w:hAnsiTheme="minorHAnsi"/>
          <w:b/>
          <w:sz w:val="20"/>
          <w:szCs w:val="20"/>
          <w:lang w:val="en-US"/>
        </w:rPr>
      </w:pPr>
      <w:r w:rsidRPr="00B5162D">
        <w:rPr>
          <w:rFonts w:asciiTheme="minorHAnsi" w:hAnsiTheme="minorHAnsi"/>
          <w:b/>
          <w:sz w:val="20"/>
          <w:szCs w:val="20"/>
          <w:lang w:val="en-US"/>
        </w:rPr>
        <w:t xml:space="preserve">Value Relations </w:t>
      </w:r>
      <w:proofErr w:type="spellStart"/>
      <w:r w:rsidRPr="00B5162D">
        <w:rPr>
          <w:rFonts w:asciiTheme="minorHAnsi" w:hAnsiTheme="minorHAnsi"/>
          <w:b/>
          <w:sz w:val="20"/>
          <w:szCs w:val="20"/>
          <w:lang w:val="en-US"/>
        </w:rPr>
        <w:t>Srl</w:t>
      </w:r>
      <w:proofErr w:type="spellEnd"/>
    </w:p>
    <w:p w:rsidR="007C65F8" w:rsidRPr="00B5162D" w:rsidRDefault="007C65F8" w:rsidP="00B90135">
      <w:pPr>
        <w:spacing w:after="0"/>
        <w:ind w:right="28"/>
        <w:jc w:val="both"/>
        <w:rPr>
          <w:rFonts w:asciiTheme="minorHAnsi" w:hAnsiTheme="minorHAnsi"/>
          <w:sz w:val="20"/>
          <w:szCs w:val="20"/>
          <w:lang w:val="en-US"/>
        </w:rPr>
      </w:pPr>
      <w:proofErr w:type="spellStart"/>
      <w:r w:rsidRPr="00B5162D">
        <w:rPr>
          <w:rFonts w:asciiTheme="minorHAnsi" w:hAnsiTheme="minorHAnsi"/>
          <w:sz w:val="20"/>
          <w:szCs w:val="20"/>
          <w:lang w:val="en-US"/>
        </w:rPr>
        <w:t>Telefono</w:t>
      </w:r>
      <w:proofErr w:type="spellEnd"/>
      <w:r w:rsidRPr="00B5162D">
        <w:rPr>
          <w:rFonts w:asciiTheme="minorHAnsi" w:hAnsiTheme="minorHAnsi"/>
          <w:sz w:val="20"/>
          <w:szCs w:val="20"/>
          <w:lang w:val="en-US"/>
        </w:rPr>
        <w:t>: 02 20424941</w:t>
      </w:r>
    </w:p>
    <w:p w:rsidR="007C65F8" w:rsidRPr="00B5162D" w:rsidRDefault="007C65F8" w:rsidP="00B90135">
      <w:pPr>
        <w:spacing w:after="0"/>
        <w:ind w:right="28"/>
        <w:jc w:val="both"/>
        <w:rPr>
          <w:rFonts w:asciiTheme="minorHAnsi" w:hAnsiTheme="minorHAnsi"/>
          <w:sz w:val="20"/>
          <w:szCs w:val="20"/>
          <w:lang w:val="en-US"/>
        </w:rPr>
      </w:pPr>
      <w:r w:rsidRPr="00B5162D">
        <w:rPr>
          <w:rFonts w:asciiTheme="minorHAnsi" w:hAnsiTheme="minorHAnsi"/>
          <w:sz w:val="20"/>
          <w:szCs w:val="20"/>
          <w:lang w:val="en-US"/>
        </w:rPr>
        <w:t>Cell: 331 6718518</w:t>
      </w:r>
    </w:p>
    <w:p w:rsidR="007C65F8" w:rsidRPr="00367F4C" w:rsidRDefault="007C65F8" w:rsidP="00B90135">
      <w:pPr>
        <w:spacing w:after="0"/>
        <w:ind w:right="28"/>
        <w:jc w:val="both"/>
        <w:rPr>
          <w:rFonts w:asciiTheme="minorHAnsi" w:eastAsia="BISans" w:hAnsiTheme="minorHAnsi"/>
          <w:sz w:val="20"/>
          <w:szCs w:val="20"/>
        </w:rPr>
      </w:pPr>
      <w:r w:rsidRPr="00367F4C">
        <w:rPr>
          <w:rFonts w:asciiTheme="minorHAnsi" w:hAnsiTheme="minorHAnsi"/>
          <w:sz w:val="20"/>
          <w:szCs w:val="20"/>
        </w:rPr>
        <w:t xml:space="preserve">Mail: </w:t>
      </w:r>
      <w:hyperlink r:id="rId10" w:history="1">
        <w:r w:rsidRPr="00367F4C">
          <w:rPr>
            <w:rStyle w:val="Collegamentoipertestuale"/>
            <w:rFonts w:asciiTheme="minorHAnsi" w:hAnsiTheme="minorHAnsi"/>
            <w:sz w:val="20"/>
            <w:szCs w:val="20"/>
          </w:rPr>
          <w:t>ml.paleari@vrelations.it</w:t>
        </w:r>
      </w:hyperlink>
    </w:p>
    <w:p w:rsidR="00764DD6" w:rsidRPr="00367F4C" w:rsidRDefault="00764DD6" w:rsidP="00764DD6">
      <w:pPr>
        <w:spacing w:after="0" w:line="264" w:lineRule="auto"/>
        <w:rPr>
          <w:rFonts w:ascii="BISans" w:eastAsia="BISans" w:hAnsi="BISans" w:cs="Angsana New"/>
          <w:b/>
          <w:bCs/>
          <w:color w:val="003366"/>
          <w:sz w:val="20"/>
        </w:rPr>
      </w:pPr>
    </w:p>
    <w:p w:rsidR="00F3099A" w:rsidRDefault="00CB00F0" w:rsidP="00F3099A">
      <w:pPr>
        <w:jc w:val="both"/>
        <w:rPr>
          <w:rFonts w:asciiTheme="majorHAnsi" w:hAnsiTheme="majorHAnsi"/>
          <w:b/>
          <w:bCs/>
          <w:color w:val="003366"/>
          <w:sz w:val="20"/>
          <w:lang w:val="en-US"/>
        </w:rPr>
      </w:pPr>
      <w:r w:rsidRPr="00367F4C">
        <w:rPr>
          <w:rFonts w:eastAsia="Times New Roman" w:cs="Courier New"/>
          <w:b/>
          <w:color w:val="212121"/>
          <w:sz w:val="24"/>
          <w:szCs w:val="24"/>
          <w:lang w:eastAsia="it-IT"/>
        </w:rPr>
        <w:t>Bibliografia</w:t>
      </w:r>
      <w:r w:rsidR="00AA7BE2" w:rsidRPr="00367F4C">
        <w:rPr>
          <w:rFonts w:eastAsia="Times New Roman" w:cs="Courier New"/>
          <w:b/>
          <w:color w:val="212121"/>
          <w:sz w:val="24"/>
          <w:szCs w:val="24"/>
          <w:lang w:eastAsia="it-IT"/>
        </w:rPr>
        <w:t xml:space="preserve"> </w:t>
      </w:r>
      <w:r w:rsidR="00F3099A">
        <w:rPr>
          <w:rStyle w:val="Highlight"/>
          <w:rFonts w:asciiTheme="majorHAnsi" w:hAnsiTheme="majorHAnsi"/>
          <w:color w:val="003366"/>
          <w:lang w:val="en-US"/>
        </w:rPr>
        <w:t xml:space="preserve"> </w:t>
      </w:r>
    </w:p>
    <w:p w:rsidR="00F3099A" w:rsidRPr="00F3099A" w:rsidRDefault="00F3099A" w:rsidP="00F3099A">
      <w:pPr>
        <w:numPr>
          <w:ilvl w:val="0"/>
          <w:numId w:val="15"/>
        </w:numPr>
        <w:spacing w:after="0" w:line="264" w:lineRule="auto"/>
        <w:ind w:left="425" w:hanging="425"/>
        <w:jc w:val="both"/>
        <w:textAlignment w:val="baseline"/>
        <w:rPr>
          <w:bCs/>
        </w:rPr>
      </w:pPr>
      <w:proofErr w:type="spellStart"/>
      <w:r w:rsidRPr="00F3099A">
        <w:rPr>
          <w:bCs/>
        </w:rPr>
        <w:t>Cannon</w:t>
      </w:r>
      <w:proofErr w:type="spellEnd"/>
      <w:r w:rsidRPr="00F3099A">
        <w:rPr>
          <w:bCs/>
        </w:rPr>
        <w:t xml:space="preserve"> CP. et al.  RE-DUAL PCI: Dual </w:t>
      </w:r>
      <w:proofErr w:type="spellStart"/>
      <w:r w:rsidRPr="00F3099A">
        <w:rPr>
          <w:bCs/>
        </w:rPr>
        <w:t>Antithrombotic</w:t>
      </w:r>
      <w:proofErr w:type="spellEnd"/>
      <w:r w:rsidRPr="00F3099A">
        <w:rPr>
          <w:bCs/>
        </w:rPr>
        <w:t xml:space="preserve"> Therapy with </w:t>
      </w:r>
      <w:proofErr w:type="spellStart"/>
      <w:r w:rsidRPr="00F3099A">
        <w:rPr>
          <w:bCs/>
        </w:rPr>
        <w:t>Dabigatran</w:t>
      </w:r>
      <w:proofErr w:type="spellEnd"/>
      <w:r w:rsidRPr="00F3099A">
        <w:rPr>
          <w:bCs/>
        </w:rPr>
        <w:t xml:space="preserve"> </w:t>
      </w:r>
      <w:proofErr w:type="spellStart"/>
      <w:r w:rsidRPr="00F3099A">
        <w:rPr>
          <w:bCs/>
        </w:rPr>
        <w:t>after</w:t>
      </w:r>
      <w:proofErr w:type="spellEnd"/>
      <w:r w:rsidRPr="00F3099A">
        <w:rPr>
          <w:bCs/>
        </w:rPr>
        <w:t xml:space="preserve"> </w:t>
      </w:r>
      <w:proofErr w:type="spellStart"/>
      <w:r w:rsidRPr="00F3099A">
        <w:rPr>
          <w:bCs/>
        </w:rPr>
        <w:t>Percutaneous</w:t>
      </w:r>
      <w:proofErr w:type="spellEnd"/>
      <w:r w:rsidRPr="00F3099A">
        <w:rPr>
          <w:bCs/>
        </w:rPr>
        <w:t xml:space="preserve"> </w:t>
      </w:r>
      <w:proofErr w:type="spellStart"/>
      <w:r w:rsidRPr="00F3099A">
        <w:rPr>
          <w:bCs/>
        </w:rPr>
        <w:t>Coronary</w:t>
      </w:r>
      <w:proofErr w:type="spellEnd"/>
      <w:r w:rsidRPr="00F3099A">
        <w:rPr>
          <w:bCs/>
        </w:rPr>
        <w:t xml:space="preserve"> </w:t>
      </w:r>
      <w:proofErr w:type="spellStart"/>
      <w:r w:rsidRPr="00F3099A">
        <w:rPr>
          <w:bCs/>
        </w:rPr>
        <w:t>Intervention</w:t>
      </w:r>
      <w:proofErr w:type="spellEnd"/>
      <w:r w:rsidRPr="00F3099A">
        <w:rPr>
          <w:bCs/>
        </w:rPr>
        <w:t xml:space="preserve"> in </w:t>
      </w:r>
      <w:proofErr w:type="spellStart"/>
      <w:r w:rsidRPr="00F3099A">
        <w:rPr>
          <w:bCs/>
        </w:rPr>
        <w:t>Patients</w:t>
      </w:r>
      <w:proofErr w:type="spellEnd"/>
      <w:r w:rsidRPr="00F3099A">
        <w:rPr>
          <w:bCs/>
        </w:rPr>
        <w:t xml:space="preserve"> with </w:t>
      </w:r>
      <w:proofErr w:type="spellStart"/>
      <w:r w:rsidRPr="00F3099A">
        <w:rPr>
          <w:bCs/>
        </w:rPr>
        <w:t>Atrial</w:t>
      </w:r>
      <w:proofErr w:type="spellEnd"/>
      <w:r w:rsidRPr="00F3099A">
        <w:rPr>
          <w:bCs/>
        </w:rPr>
        <w:t xml:space="preserve"> </w:t>
      </w:r>
      <w:proofErr w:type="spellStart"/>
      <w:r w:rsidRPr="00F3099A">
        <w:rPr>
          <w:bCs/>
        </w:rPr>
        <w:t>Fibrillation</w:t>
      </w:r>
      <w:proofErr w:type="spellEnd"/>
      <w:r w:rsidRPr="00F3099A">
        <w:rPr>
          <w:bCs/>
        </w:rPr>
        <w:t xml:space="preserve">, ESC </w:t>
      </w:r>
      <w:proofErr w:type="spellStart"/>
      <w:r w:rsidRPr="00F3099A">
        <w:rPr>
          <w:bCs/>
        </w:rPr>
        <w:t>Congress</w:t>
      </w:r>
      <w:proofErr w:type="spellEnd"/>
      <w:r w:rsidRPr="00F3099A">
        <w:rPr>
          <w:bCs/>
        </w:rPr>
        <w:t xml:space="preserve">, </w:t>
      </w:r>
      <w:proofErr w:type="spellStart"/>
      <w:r w:rsidRPr="00F3099A">
        <w:rPr>
          <w:bCs/>
        </w:rPr>
        <w:t>Barcelona</w:t>
      </w:r>
      <w:proofErr w:type="spellEnd"/>
      <w:r w:rsidRPr="00F3099A">
        <w:rPr>
          <w:bCs/>
        </w:rPr>
        <w:t>, 2017, Abstract 1920.</w:t>
      </w:r>
    </w:p>
    <w:p w:rsidR="00F3099A" w:rsidRPr="00F3099A" w:rsidRDefault="00F3099A" w:rsidP="00F3099A">
      <w:pPr>
        <w:numPr>
          <w:ilvl w:val="0"/>
          <w:numId w:val="15"/>
        </w:numPr>
        <w:spacing w:after="0" w:line="264" w:lineRule="auto"/>
        <w:ind w:left="425" w:hanging="425"/>
        <w:jc w:val="both"/>
        <w:textAlignment w:val="baseline"/>
      </w:pPr>
      <w:proofErr w:type="spellStart"/>
      <w:r w:rsidRPr="00F3099A">
        <w:rPr>
          <w:bCs/>
        </w:rPr>
        <w:t>Cannon</w:t>
      </w:r>
      <w:proofErr w:type="spellEnd"/>
      <w:r w:rsidRPr="00F3099A">
        <w:rPr>
          <w:bCs/>
        </w:rPr>
        <w:t xml:space="preserve"> CP. et al. Dual </w:t>
      </w:r>
      <w:proofErr w:type="spellStart"/>
      <w:r w:rsidRPr="00F3099A">
        <w:rPr>
          <w:bCs/>
        </w:rPr>
        <w:t>Antithrombotic</w:t>
      </w:r>
      <w:proofErr w:type="spellEnd"/>
      <w:r w:rsidRPr="00F3099A">
        <w:rPr>
          <w:bCs/>
        </w:rPr>
        <w:t xml:space="preserve"> Therapy with </w:t>
      </w:r>
      <w:proofErr w:type="spellStart"/>
      <w:r w:rsidRPr="00F3099A">
        <w:rPr>
          <w:bCs/>
        </w:rPr>
        <w:t>Dabigatran</w:t>
      </w:r>
      <w:proofErr w:type="spellEnd"/>
      <w:r w:rsidRPr="00F3099A">
        <w:rPr>
          <w:bCs/>
        </w:rPr>
        <w:t xml:space="preserve"> </w:t>
      </w:r>
      <w:proofErr w:type="spellStart"/>
      <w:r w:rsidRPr="00F3099A">
        <w:rPr>
          <w:bCs/>
        </w:rPr>
        <w:t>after</w:t>
      </w:r>
      <w:proofErr w:type="spellEnd"/>
      <w:r w:rsidRPr="00F3099A">
        <w:rPr>
          <w:bCs/>
        </w:rPr>
        <w:t xml:space="preserve"> PCI in </w:t>
      </w:r>
      <w:proofErr w:type="spellStart"/>
      <w:r w:rsidRPr="00F3099A">
        <w:rPr>
          <w:bCs/>
        </w:rPr>
        <w:t>Atrial</w:t>
      </w:r>
      <w:proofErr w:type="spellEnd"/>
      <w:r w:rsidRPr="00F3099A">
        <w:rPr>
          <w:bCs/>
        </w:rPr>
        <w:t xml:space="preserve"> </w:t>
      </w:r>
      <w:proofErr w:type="spellStart"/>
      <w:r w:rsidRPr="00F3099A">
        <w:rPr>
          <w:bCs/>
        </w:rPr>
        <w:t>Fibrillation</w:t>
      </w:r>
      <w:proofErr w:type="spellEnd"/>
      <w:r w:rsidRPr="00F3099A">
        <w:rPr>
          <w:bCs/>
        </w:rPr>
        <w:t xml:space="preserve">. New </w:t>
      </w:r>
      <w:proofErr w:type="spellStart"/>
      <w:r w:rsidRPr="00F3099A">
        <w:rPr>
          <w:bCs/>
        </w:rPr>
        <w:t>Engl</w:t>
      </w:r>
      <w:proofErr w:type="spellEnd"/>
      <w:r w:rsidRPr="00F3099A">
        <w:rPr>
          <w:bCs/>
        </w:rPr>
        <w:t xml:space="preserve"> J </w:t>
      </w:r>
      <w:proofErr w:type="spellStart"/>
      <w:r w:rsidRPr="00F3099A">
        <w:rPr>
          <w:bCs/>
        </w:rPr>
        <w:t>Med</w:t>
      </w:r>
      <w:proofErr w:type="spellEnd"/>
      <w:r w:rsidRPr="00F3099A">
        <w:rPr>
          <w:bCs/>
        </w:rPr>
        <w:t>. 2017; DOI: [10.1056/NEJMoa1708454]</w:t>
      </w:r>
      <w:r w:rsidRPr="00F3099A">
        <w:rPr>
          <w:b/>
          <w:bCs/>
        </w:rPr>
        <w:t xml:space="preserve"> </w:t>
      </w:r>
      <w:hyperlink r:id="rId11" w:history="1">
        <w:r w:rsidRPr="00F3099A">
          <w:t>http://www.nejm.org/doi/full/10.1056/NEJMoa1708454</w:t>
        </w:r>
      </w:hyperlink>
      <w:r w:rsidRPr="00F3099A">
        <w:t xml:space="preserve"> Last </w:t>
      </w:r>
      <w:proofErr w:type="spellStart"/>
      <w:r w:rsidRPr="00F3099A">
        <w:t>accessed</w:t>
      </w:r>
      <w:proofErr w:type="spellEnd"/>
      <w:r w:rsidRPr="00F3099A">
        <w:t xml:space="preserve"> August 2017. </w:t>
      </w:r>
      <w:r w:rsidRPr="00F3099A">
        <w:t xml:space="preserve"> </w:t>
      </w:r>
    </w:p>
    <w:p w:rsidR="00F3099A" w:rsidRDefault="00F3099A" w:rsidP="00F3099A">
      <w:pPr>
        <w:numPr>
          <w:ilvl w:val="0"/>
          <w:numId w:val="15"/>
        </w:numPr>
        <w:spacing w:after="0" w:line="264" w:lineRule="auto"/>
        <w:ind w:left="425" w:hanging="425"/>
        <w:jc w:val="both"/>
        <w:textAlignment w:val="baseline"/>
      </w:pPr>
      <w:r w:rsidRPr="00F3099A">
        <w:t>Lip G. et</w:t>
      </w:r>
      <w:r w:rsidR="00B574A0">
        <w:t xml:space="preserve"> </w:t>
      </w:r>
      <w:bookmarkStart w:id="0" w:name="_GoBack"/>
      <w:bookmarkEnd w:id="0"/>
      <w:r w:rsidRPr="00F3099A">
        <w:t xml:space="preserve">al. Antithrombotic management of atrial fibrillation patients presenting with acute coronary syndrome and/or undergoing coronary stenting: executive summary—a Consensus Document of the European Society of Cardiology Working Group on Thrombosis, endorsed by the European Heart Rhythm Association (EHRA) and the European Association of Percutaneous Cardiovascular Interventions (EAPCI). European Heart Journal. </w:t>
      </w:r>
      <w:proofErr w:type="gramStart"/>
      <w:r w:rsidRPr="00F3099A">
        <w:t>2010;31:1311</w:t>
      </w:r>
      <w:proofErr w:type="gramEnd"/>
      <w:r w:rsidRPr="00F3099A">
        <w:t>–18.</w:t>
      </w:r>
    </w:p>
    <w:p w:rsidR="00F3099A" w:rsidRPr="00F3099A" w:rsidRDefault="00F3099A" w:rsidP="00F3099A">
      <w:pPr>
        <w:numPr>
          <w:ilvl w:val="0"/>
          <w:numId w:val="15"/>
        </w:numPr>
        <w:spacing w:after="0" w:line="264" w:lineRule="auto"/>
        <w:ind w:left="425" w:hanging="425"/>
        <w:jc w:val="both"/>
        <w:textAlignment w:val="baseline"/>
      </w:pPr>
      <w:r w:rsidRPr="00F3099A">
        <w:t xml:space="preserve">Coppens M. and </w:t>
      </w:r>
      <w:proofErr w:type="spellStart"/>
      <w:r w:rsidRPr="00F3099A">
        <w:t>Eikelboom</w:t>
      </w:r>
      <w:proofErr w:type="spellEnd"/>
      <w:r w:rsidRPr="00F3099A">
        <w:t xml:space="preserve"> JW. Antithrombotic Therapy After Coronary Artery Stenting in Patients </w:t>
      </w:r>
      <w:proofErr w:type="gramStart"/>
      <w:r w:rsidRPr="00F3099A">
        <w:t>With</w:t>
      </w:r>
      <w:proofErr w:type="gramEnd"/>
      <w:r w:rsidRPr="00F3099A">
        <w:t xml:space="preserve"> Atrial Fibrillation </w:t>
      </w:r>
      <w:proofErr w:type="spellStart"/>
      <w:r w:rsidRPr="00F3099A">
        <w:t>Circ</w:t>
      </w:r>
      <w:proofErr w:type="spellEnd"/>
      <w:r w:rsidRPr="00F3099A">
        <w:t xml:space="preserve"> Cardiovasc </w:t>
      </w:r>
      <w:proofErr w:type="spellStart"/>
      <w:r w:rsidRPr="00F3099A">
        <w:t>Interv</w:t>
      </w:r>
      <w:proofErr w:type="spellEnd"/>
      <w:r w:rsidRPr="00F3099A">
        <w:t xml:space="preserve">. </w:t>
      </w:r>
      <w:proofErr w:type="gramStart"/>
      <w:r w:rsidRPr="00F3099A">
        <w:t>2012;5:454</w:t>
      </w:r>
      <w:proofErr w:type="gramEnd"/>
      <w:r w:rsidRPr="00F3099A">
        <w:t>–5.</w:t>
      </w:r>
    </w:p>
    <w:p w:rsidR="00F3099A" w:rsidRPr="00F3099A" w:rsidRDefault="00F3099A" w:rsidP="00F3099A">
      <w:pPr>
        <w:numPr>
          <w:ilvl w:val="0"/>
          <w:numId w:val="15"/>
        </w:numPr>
        <w:spacing w:after="0" w:line="264" w:lineRule="auto"/>
        <w:ind w:left="425" w:hanging="425"/>
        <w:jc w:val="both"/>
        <w:textAlignment w:val="baseline"/>
      </w:pPr>
      <w:proofErr w:type="spellStart"/>
      <w:r w:rsidRPr="00F3099A">
        <w:lastRenderedPageBreak/>
        <w:t>Nikolsky</w:t>
      </w:r>
      <w:proofErr w:type="spellEnd"/>
      <w:r w:rsidRPr="00F3099A">
        <w:t xml:space="preserve"> E. </w:t>
      </w:r>
      <w:proofErr w:type="gramStart"/>
      <w:r w:rsidRPr="00F3099A">
        <w:t>et al.</w:t>
      </w:r>
      <w:proofErr w:type="gramEnd"/>
      <w:r w:rsidRPr="00F3099A">
        <w:t xml:space="preserve"> Outcomes of patients treated with triple antithrombotic therapy after primary percutaneous coronary intervention for ST-elevation myocardial infarction (from the Harmonizing Outcomes With Revascularization and Stents in Acute Myocardial Infarction [HORIZONS-AMI] trial). Am J </w:t>
      </w:r>
      <w:proofErr w:type="spellStart"/>
      <w:r w:rsidRPr="00F3099A">
        <w:t>Cardiol</w:t>
      </w:r>
      <w:proofErr w:type="spellEnd"/>
      <w:r w:rsidRPr="00F3099A">
        <w:t xml:space="preserve">. </w:t>
      </w:r>
      <w:proofErr w:type="gramStart"/>
      <w:r w:rsidRPr="00F3099A">
        <w:t>2012;109:831</w:t>
      </w:r>
      <w:proofErr w:type="gramEnd"/>
      <w:r w:rsidRPr="00F3099A">
        <w:t>–838.</w:t>
      </w:r>
    </w:p>
    <w:p w:rsidR="00F3099A" w:rsidRPr="00F3099A" w:rsidRDefault="00F3099A" w:rsidP="00F3099A">
      <w:pPr>
        <w:numPr>
          <w:ilvl w:val="0"/>
          <w:numId w:val="15"/>
        </w:numPr>
        <w:spacing w:after="0" w:line="264" w:lineRule="auto"/>
        <w:ind w:left="425" w:hanging="425"/>
        <w:jc w:val="both"/>
        <w:textAlignment w:val="baseline"/>
      </w:pPr>
      <w:r w:rsidRPr="00F3099A">
        <w:t xml:space="preserve">Andrade JG. et al. Risk of bleeding on triple antithrombotic therapy after percutaneous coronary intervention/ stenting: a systematic review and meta-analysis. Can J </w:t>
      </w:r>
      <w:proofErr w:type="spellStart"/>
      <w:r w:rsidRPr="00F3099A">
        <w:t>Cardiol</w:t>
      </w:r>
      <w:proofErr w:type="spellEnd"/>
      <w:r w:rsidRPr="00F3099A">
        <w:t>. 2013; 29:204–212.</w:t>
      </w:r>
    </w:p>
    <w:p w:rsidR="00F3099A" w:rsidRPr="00F3099A" w:rsidRDefault="00F3099A" w:rsidP="00F3099A">
      <w:pPr>
        <w:numPr>
          <w:ilvl w:val="0"/>
          <w:numId w:val="15"/>
        </w:numPr>
        <w:spacing w:after="0" w:line="264" w:lineRule="auto"/>
        <w:ind w:left="425" w:hanging="425"/>
        <w:jc w:val="both"/>
        <w:textAlignment w:val="baseline"/>
      </w:pPr>
      <w:proofErr w:type="spellStart"/>
      <w:r w:rsidRPr="00F3099A">
        <w:t>Verheugt</w:t>
      </w:r>
      <w:proofErr w:type="spellEnd"/>
      <w:r w:rsidRPr="00F3099A">
        <w:t xml:space="preserve"> FW. Triple antithrombotic therapy after coronary stenting in the elderly with atrial fibrillation: necessary or too hazardous? </w:t>
      </w:r>
      <w:proofErr w:type="spellStart"/>
      <w:r w:rsidRPr="00F3099A">
        <w:t>AmHeart</w:t>
      </w:r>
      <w:proofErr w:type="spellEnd"/>
      <w:r w:rsidRPr="00F3099A">
        <w:t xml:space="preserve"> J. </w:t>
      </w:r>
      <w:proofErr w:type="gramStart"/>
      <w:r w:rsidRPr="00F3099A">
        <w:t>2012;163:531</w:t>
      </w:r>
      <w:proofErr w:type="gramEnd"/>
      <w:r w:rsidRPr="00F3099A">
        <w:t>–534.</w:t>
      </w:r>
    </w:p>
    <w:p w:rsidR="00F3099A" w:rsidRPr="00F3099A" w:rsidRDefault="00F3099A" w:rsidP="00F3099A">
      <w:pPr>
        <w:numPr>
          <w:ilvl w:val="0"/>
          <w:numId w:val="15"/>
        </w:numPr>
        <w:spacing w:after="0" w:line="264" w:lineRule="auto"/>
        <w:ind w:left="425" w:hanging="425"/>
        <w:jc w:val="both"/>
        <w:textAlignment w:val="baseline"/>
      </w:pPr>
      <w:proofErr w:type="spellStart"/>
      <w:r w:rsidRPr="00F3099A">
        <w:t>Calkins</w:t>
      </w:r>
      <w:proofErr w:type="spellEnd"/>
      <w:r w:rsidRPr="00F3099A">
        <w:t xml:space="preserve"> H. et al. </w:t>
      </w:r>
      <w:proofErr w:type="spellStart"/>
      <w:r w:rsidRPr="00F3099A">
        <w:t>Uninterrupted</w:t>
      </w:r>
      <w:proofErr w:type="spellEnd"/>
      <w:r w:rsidRPr="00F3099A">
        <w:t xml:space="preserve"> </w:t>
      </w:r>
      <w:proofErr w:type="spellStart"/>
      <w:r w:rsidRPr="00F3099A">
        <w:t>Dabigatran</w:t>
      </w:r>
      <w:proofErr w:type="spellEnd"/>
      <w:r w:rsidRPr="00F3099A">
        <w:t xml:space="preserve"> versus Warfarin for </w:t>
      </w:r>
      <w:proofErr w:type="spellStart"/>
      <w:r w:rsidRPr="00F3099A">
        <w:t>Ablation</w:t>
      </w:r>
      <w:proofErr w:type="spellEnd"/>
      <w:r w:rsidRPr="00F3099A">
        <w:t xml:space="preserve"> in </w:t>
      </w:r>
      <w:proofErr w:type="spellStart"/>
      <w:r w:rsidRPr="00F3099A">
        <w:t>Atrial</w:t>
      </w:r>
      <w:proofErr w:type="spellEnd"/>
      <w:r w:rsidRPr="00F3099A">
        <w:t xml:space="preserve"> </w:t>
      </w:r>
      <w:proofErr w:type="spellStart"/>
      <w:r w:rsidRPr="00F3099A">
        <w:t>Fibrillation</w:t>
      </w:r>
      <w:proofErr w:type="spellEnd"/>
      <w:r w:rsidRPr="00F3099A">
        <w:t>. NEJM. 2017. DOI: 10.1056/NEJMoa1701005.</w:t>
      </w:r>
    </w:p>
    <w:p w:rsidR="00F3099A" w:rsidRPr="00F3099A" w:rsidRDefault="00F3099A" w:rsidP="00F3099A">
      <w:pPr>
        <w:numPr>
          <w:ilvl w:val="0"/>
          <w:numId w:val="15"/>
        </w:numPr>
        <w:spacing w:after="0" w:line="264" w:lineRule="auto"/>
        <w:ind w:left="425" w:hanging="425"/>
        <w:jc w:val="both"/>
        <w:textAlignment w:val="baseline"/>
      </w:pPr>
      <w:r w:rsidRPr="00F3099A">
        <w:t xml:space="preserve">Pollack, C.V. et al. </w:t>
      </w:r>
      <w:proofErr w:type="spellStart"/>
      <w:r w:rsidRPr="00F3099A">
        <w:t>Idarucizumab</w:t>
      </w:r>
      <w:proofErr w:type="spellEnd"/>
      <w:r w:rsidRPr="00F3099A">
        <w:t xml:space="preserve"> for </w:t>
      </w:r>
      <w:proofErr w:type="spellStart"/>
      <w:r w:rsidRPr="00F3099A">
        <w:t>Dabigatran</w:t>
      </w:r>
      <w:proofErr w:type="spellEnd"/>
      <w:r w:rsidRPr="00F3099A">
        <w:t xml:space="preserve"> </w:t>
      </w:r>
      <w:proofErr w:type="spellStart"/>
      <w:r w:rsidRPr="00F3099A">
        <w:t>Reversal</w:t>
      </w:r>
      <w:proofErr w:type="spellEnd"/>
      <w:r w:rsidRPr="00F3099A">
        <w:t xml:space="preserve"> – Full </w:t>
      </w:r>
      <w:proofErr w:type="spellStart"/>
      <w:r w:rsidRPr="00F3099A">
        <w:t>Cohort</w:t>
      </w:r>
      <w:proofErr w:type="spellEnd"/>
      <w:r w:rsidRPr="00F3099A">
        <w:t xml:space="preserve"> Analysis. NEJM. 2017; DOI: 10.1056/NEJMoa1707278. www.nejm.org/doi/full/10.1056/NEJMoa1707278</w:t>
      </w:r>
      <w:r w:rsidRPr="00F3099A">
        <w:t xml:space="preserve"> Last </w:t>
      </w:r>
      <w:proofErr w:type="spellStart"/>
      <w:r w:rsidRPr="00F3099A">
        <w:t>accessed</w:t>
      </w:r>
      <w:proofErr w:type="spellEnd"/>
      <w:r w:rsidRPr="00F3099A">
        <w:t xml:space="preserve"> August 2017.</w:t>
      </w:r>
    </w:p>
    <w:p w:rsidR="00F3099A" w:rsidRPr="00F3099A" w:rsidRDefault="00F3099A" w:rsidP="00F3099A">
      <w:pPr>
        <w:numPr>
          <w:ilvl w:val="0"/>
          <w:numId w:val="15"/>
        </w:numPr>
        <w:spacing w:after="0" w:line="264" w:lineRule="auto"/>
        <w:ind w:left="425" w:hanging="425"/>
        <w:jc w:val="both"/>
        <w:textAlignment w:val="baseline"/>
      </w:pPr>
      <w:r w:rsidRPr="00F3099A">
        <w:t xml:space="preserve">Graham DJ et al. Cardiovascular, Bleeding, and Mortality Risks in Elderly Medicare Patients Treated </w:t>
      </w:r>
      <w:proofErr w:type="gramStart"/>
      <w:r w:rsidRPr="00F3099A">
        <w:t>With</w:t>
      </w:r>
      <w:proofErr w:type="gramEnd"/>
      <w:r w:rsidRPr="00F3099A">
        <w:t xml:space="preserve"> Dabigatran or Warfarin for Nonvalvular Atrial Fibrillation. Circulation </w:t>
      </w:r>
      <w:proofErr w:type="gramStart"/>
      <w:r w:rsidRPr="00F3099A">
        <w:t>2015;</w:t>
      </w:r>
      <w:proofErr w:type="gramEnd"/>
      <w:r w:rsidRPr="00F3099A">
        <w:t>131:157–64.</w:t>
      </w:r>
    </w:p>
    <w:p w:rsidR="00F3099A" w:rsidRPr="00F3099A" w:rsidRDefault="00F3099A" w:rsidP="00F3099A">
      <w:pPr>
        <w:numPr>
          <w:ilvl w:val="0"/>
          <w:numId w:val="15"/>
        </w:numPr>
        <w:spacing w:after="0" w:line="264" w:lineRule="auto"/>
        <w:ind w:left="425" w:hanging="425"/>
        <w:jc w:val="both"/>
        <w:textAlignment w:val="baseline"/>
      </w:pPr>
      <w:r w:rsidRPr="00F3099A">
        <w:t xml:space="preserve">Graham DJ et al. Stroke, </w:t>
      </w:r>
      <w:proofErr w:type="spellStart"/>
      <w:r w:rsidRPr="00F3099A">
        <w:t>Bleeding</w:t>
      </w:r>
      <w:proofErr w:type="spellEnd"/>
      <w:r w:rsidRPr="00F3099A">
        <w:t xml:space="preserve">, and </w:t>
      </w:r>
      <w:proofErr w:type="spellStart"/>
      <w:r w:rsidRPr="00F3099A">
        <w:t>Mortality</w:t>
      </w:r>
      <w:proofErr w:type="spellEnd"/>
      <w:r w:rsidRPr="00F3099A">
        <w:t xml:space="preserve"> Risks in </w:t>
      </w:r>
      <w:proofErr w:type="spellStart"/>
      <w:r w:rsidRPr="00F3099A">
        <w:t>Elderly</w:t>
      </w:r>
      <w:proofErr w:type="spellEnd"/>
      <w:r w:rsidRPr="00F3099A">
        <w:t xml:space="preserve"> Medicare </w:t>
      </w:r>
      <w:proofErr w:type="spellStart"/>
      <w:r w:rsidRPr="00F3099A">
        <w:t>Beneficiaries</w:t>
      </w:r>
      <w:proofErr w:type="spellEnd"/>
      <w:r w:rsidRPr="00F3099A">
        <w:t xml:space="preserve"> </w:t>
      </w:r>
      <w:proofErr w:type="spellStart"/>
      <w:r w:rsidRPr="00F3099A">
        <w:t>Treated</w:t>
      </w:r>
      <w:proofErr w:type="spellEnd"/>
      <w:r w:rsidRPr="00F3099A">
        <w:t xml:space="preserve"> </w:t>
      </w:r>
      <w:proofErr w:type="spellStart"/>
      <w:r w:rsidRPr="00F3099A">
        <w:t>With</w:t>
      </w:r>
      <w:proofErr w:type="spellEnd"/>
      <w:r w:rsidRPr="00F3099A">
        <w:t xml:space="preserve"> Dabigatran or </w:t>
      </w:r>
      <w:proofErr w:type="spellStart"/>
      <w:r w:rsidRPr="00F3099A">
        <w:t>Rivaroxaban</w:t>
      </w:r>
      <w:proofErr w:type="spellEnd"/>
      <w:r w:rsidRPr="00F3099A">
        <w:t xml:space="preserve"> for </w:t>
      </w:r>
      <w:proofErr w:type="spellStart"/>
      <w:r w:rsidRPr="00F3099A">
        <w:t>Nonvalvular</w:t>
      </w:r>
      <w:proofErr w:type="spellEnd"/>
      <w:r w:rsidRPr="00F3099A">
        <w:t xml:space="preserve"> Atrial Fibrillation. JAMA </w:t>
      </w:r>
      <w:proofErr w:type="spellStart"/>
      <w:r w:rsidRPr="00F3099A">
        <w:t>Intern</w:t>
      </w:r>
      <w:proofErr w:type="spellEnd"/>
      <w:r w:rsidRPr="00F3099A">
        <w:t xml:space="preserve"> Med </w:t>
      </w:r>
      <w:proofErr w:type="gramStart"/>
      <w:r w:rsidRPr="00F3099A">
        <w:t>2016;</w:t>
      </w:r>
      <w:proofErr w:type="gramEnd"/>
      <w:r w:rsidRPr="00F3099A">
        <w:t>176:1662–71.</w:t>
      </w:r>
    </w:p>
    <w:p w:rsidR="00F3099A" w:rsidRPr="00F3099A" w:rsidRDefault="00F3099A" w:rsidP="00F3099A">
      <w:pPr>
        <w:numPr>
          <w:ilvl w:val="0"/>
          <w:numId w:val="15"/>
        </w:numPr>
        <w:spacing w:after="0" w:line="264" w:lineRule="auto"/>
        <w:ind w:left="425" w:hanging="425"/>
        <w:jc w:val="both"/>
        <w:textAlignment w:val="baseline"/>
      </w:pPr>
      <w:r w:rsidRPr="00F3099A">
        <w:t xml:space="preserve">Chan Y-H et al. Cardiovascular, Bleeding, and Mortality Risks of Dabigatran in Asians With Nonvalvular Atrial Fibrillation. </w:t>
      </w:r>
      <w:proofErr w:type="spellStart"/>
      <w:r w:rsidRPr="00F3099A">
        <w:t>Stroke</w:t>
      </w:r>
      <w:proofErr w:type="spellEnd"/>
      <w:r w:rsidRPr="00F3099A">
        <w:t xml:space="preserve"> </w:t>
      </w:r>
      <w:proofErr w:type="gramStart"/>
      <w:r w:rsidRPr="00F3099A">
        <w:t>2016;47:441</w:t>
      </w:r>
      <w:proofErr w:type="gramEnd"/>
      <w:r w:rsidRPr="00F3099A">
        <w:t>–9.</w:t>
      </w:r>
    </w:p>
    <w:p w:rsidR="00F3099A" w:rsidRPr="00F3099A" w:rsidRDefault="00F3099A" w:rsidP="00F3099A">
      <w:pPr>
        <w:numPr>
          <w:ilvl w:val="0"/>
          <w:numId w:val="15"/>
        </w:numPr>
        <w:spacing w:after="0" w:line="264" w:lineRule="auto"/>
        <w:ind w:left="425" w:hanging="425"/>
        <w:jc w:val="both"/>
        <w:textAlignment w:val="baseline"/>
      </w:pPr>
      <w:r w:rsidRPr="00F3099A">
        <w:t>Larsen TB et al. Comparative effectiveness and safety of non-vitamin K antagonist oral anticoagulants and warfarin in patients with atrial fibrillation: propensity weighted nationwide cohort study. BMJ 2016;353:i3189.</w:t>
      </w:r>
    </w:p>
    <w:p w:rsidR="00F3099A" w:rsidRPr="00F3099A" w:rsidRDefault="00F3099A" w:rsidP="00F3099A">
      <w:pPr>
        <w:numPr>
          <w:ilvl w:val="0"/>
          <w:numId w:val="15"/>
        </w:numPr>
        <w:spacing w:after="0" w:line="264" w:lineRule="auto"/>
        <w:ind w:left="425" w:hanging="425"/>
        <w:jc w:val="both"/>
        <w:textAlignment w:val="baseline"/>
      </w:pPr>
      <w:r w:rsidRPr="00F3099A">
        <w:t>Lip GYH et al. Real-world comparison of major bleeding risk among non-valvular atrial fibrillation patients initiated on apixaban, dabigatran, rivaroxaban, or warfarin. A propensity score matched analysis. Thromb Haemost 2016;116(5):975–986.</w:t>
      </w:r>
    </w:p>
    <w:p w:rsidR="00F3099A" w:rsidRPr="00F3099A" w:rsidRDefault="00F3099A" w:rsidP="00F3099A">
      <w:pPr>
        <w:numPr>
          <w:ilvl w:val="0"/>
          <w:numId w:val="15"/>
        </w:numPr>
        <w:spacing w:after="0" w:line="264" w:lineRule="auto"/>
        <w:ind w:left="425" w:hanging="425"/>
        <w:jc w:val="both"/>
        <w:textAlignment w:val="baseline"/>
      </w:pPr>
      <w:r w:rsidRPr="00F3099A">
        <w:t>Al-Khalili F et al. The safety and persistence of non-vitamin-</w:t>
      </w:r>
      <w:proofErr w:type="spellStart"/>
      <w:r w:rsidRPr="00F3099A">
        <w:t>Kantagonist</w:t>
      </w:r>
      <w:proofErr w:type="spellEnd"/>
      <w:r w:rsidRPr="00F3099A">
        <w:t xml:space="preserve"> oral anticoagulants in atrial fibrillation patients </w:t>
      </w:r>
      <w:r w:rsidRPr="00F3099A">
        <w:lastRenderedPageBreak/>
        <w:t xml:space="preserve">treated in a </w:t>
      </w:r>
      <w:proofErr w:type="spellStart"/>
      <w:r w:rsidRPr="00F3099A">
        <w:t>well structured</w:t>
      </w:r>
      <w:proofErr w:type="spellEnd"/>
      <w:r w:rsidRPr="00F3099A">
        <w:t xml:space="preserve"> atrial fibrillation clinic. </w:t>
      </w:r>
      <w:proofErr w:type="spellStart"/>
      <w:r w:rsidRPr="00F3099A">
        <w:t>Curr</w:t>
      </w:r>
      <w:proofErr w:type="spellEnd"/>
      <w:r w:rsidRPr="00F3099A">
        <w:t xml:space="preserve"> </w:t>
      </w:r>
      <w:proofErr w:type="spellStart"/>
      <w:r w:rsidRPr="00F3099A">
        <w:t>Med</w:t>
      </w:r>
      <w:proofErr w:type="spellEnd"/>
      <w:r w:rsidRPr="00F3099A">
        <w:t xml:space="preserve"> Res </w:t>
      </w:r>
      <w:proofErr w:type="spellStart"/>
      <w:r w:rsidRPr="00F3099A">
        <w:t>Opin</w:t>
      </w:r>
      <w:proofErr w:type="spellEnd"/>
      <w:r w:rsidRPr="00F3099A">
        <w:t xml:space="preserve"> </w:t>
      </w:r>
      <w:proofErr w:type="gramStart"/>
      <w:r w:rsidRPr="00F3099A">
        <w:t>2016;32:779</w:t>
      </w:r>
      <w:proofErr w:type="gramEnd"/>
      <w:r w:rsidRPr="00F3099A">
        <w:t>–85.</w:t>
      </w:r>
    </w:p>
    <w:p w:rsidR="00F3099A" w:rsidRPr="00F3099A" w:rsidRDefault="00F3099A" w:rsidP="00F3099A">
      <w:pPr>
        <w:numPr>
          <w:ilvl w:val="0"/>
          <w:numId w:val="15"/>
        </w:numPr>
        <w:spacing w:after="0" w:line="264" w:lineRule="auto"/>
        <w:ind w:left="425" w:hanging="425"/>
        <w:jc w:val="both"/>
        <w:textAlignment w:val="baseline"/>
      </w:pPr>
      <w:proofErr w:type="spellStart"/>
      <w:r w:rsidRPr="00F3099A">
        <w:t>Deitelzweig</w:t>
      </w:r>
      <w:proofErr w:type="spellEnd"/>
      <w:r w:rsidRPr="00F3099A">
        <w:t xml:space="preserve"> S et al. An early evaluation of bleeding-related hospital readmissions among hospitalized patients with nonvalvular atrial fibrillation treated with direct oral anticoagulants. </w:t>
      </w:r>
      <w:proofErr w:type="spellStart"/>
      <w:r w:rsidRPr="00F3099A">
        <w:t>Curr</w:t>
      </w:r>
      <w:proofErr w:type="spellEnd"/>
      <w:r w:rsidRPr="00F3099A">
        <w:t xml:space="preserve"> Med Res </w:t>
      </w:r>
      <w:proofErr w:type="spellStart"/>
      <w:r w:rsidRPr="00F3099A">
        <w:t>Opin</w:t>
      </w:r>
      <w:proofErr w:type="spellEnd"/>
      <w:r w:rsidRPr="00F3099A">
        <w:t xml:space="preserve"> </w:t>
      </w:r>
      <w:proofErr w:type="gramStart"/>
      <w:r w:rsidRPr="00F3099A">
        <w:t>2016;32:573</w:t>
      </w:r>
      <w:proofErr w:type="gramEnd"/>
      <w:r w:rsidRPr="00F3099A">
        <w:t>–82.</w:t>
      </w:r>
    </w:p>
    <w:p w:rsidR="00F3099A" w:rsidRPr="00F3099A" w:rsidRDefault="00F3099A" w:rsidP="00F3099A">
      <w:pPr>
        <w:numPr>
          <w:ilvl w:val="0"/>
          <w:numId w:val="15"/>
        </w:numPr>
        <w:spacing w:after="0" w:line="264" w:lineRule="auto"/>
        <w:ind w:left="425" w:hanging="425"/>
        <w:jc w:val="both"/>
        <w:textAlignment w:val="baseline"/>
      </w:pPr>
      <w:r w:rsidRPr="00F3099A">
        <w:t xml:space="preserve">Hernandez I et al. Comparing Stroke and Bleeding with Rivaroxaban and Dabigatran in Atrial Fibrillation: Analysis of the US Medicare Part D. </w:t>
      </w:r>
      <w:proofErr w:type="spellStart"/>
      <w:r w:rsidRPr="00F3099A">
        <w:t>DataAm</w:t>
      </w:r>
      <w:proofErr w:type="spellEnd"/>
      <w:r w:rsidRPr="00F3099A">
        <w:t xml:space="preserve"> J Cardiovasc Drugs </w:t>
      </w:r>
      <w:proofErr w:type="gramStart"/>
      <w:r w:rsidRPr="00F3099A">
        <w:t>2016;doi</w:t>
      </w:r>
      <w:proofErr w:type="gramEnd"/>
      <w:r w:rsidRPr="00F3099A">
        <w:t>:10.1007/s40256-016-0189-9.</w:t>
      </w:r>
    </w:p>
    <w:p w:rsidR="00F3099A" w:rsidRPr="00F3099A" w:rsidRDefault="00F3099A" w:rsidP="00F3099A">
      <w:pPr>
        <w:numPr>
          <w:ilvl w:val="0"/>
          <w:numId w:val="15"/>
        </w:numPr>
        <w:spacing w:after="0" w:line="264" w:lineRule="auto"/>
        <w:ind w:left="425" w:hanging="425"/>
        <w:jc w:val="both"/>
        <w:textAlignment w:val="baseline"/>
      </w:pPr>
      <w:proofErr w:type="spellStart"/>
      <w:r w:rsidRPr="00F3099A">
        <w:t>Gorst</w:t>
      </w:r>
      <w:proofErr w:type="spellEnd"/>
      <w:r w:rsidRPr="00F3099A">
        <w:t xml:space="preserve">-Rasmussen A </w:t>
      </w:r>
      <w:proofErr w:type="gramStart"/>
      <w:r w:rsidRPr="00F3099A">
        <w:t>et al.</w:t>
      </w:r>
      <w:proofErr w:type="gramEnd"/>
      <w:r w:rsidRPr="00F3099A">
        <w:t xml:space="preserve"> Rivaroxaban versus warfarin and dabigatran in atrial fibrillation: comparative effectiveness and safety in Danish routine care. </w:t>
      </w:r>
      <w:proofErr w:type="spellStart"/>
      <w:r w:rsidRPr="00F3099A">
        <w:t>Pharmacoepidemiol</w:t>
      </w:r>
      <w:proofErr w:type="spellEnd"/>
      <w:r w:rsidRPr="00F3099A">
        <w:t xml:space="preserve"> Drug </w:t>
      </w:r>
      <w:proofErr w:type="spellStart"/>
      <w:r w:rsidRPr="00F3099A">
        <w:t>Saf</w:t>
      </w:r>
      <w:proofErr w:type="spellEnd"/>
      <w:r w:rsidRPr="00F3099A">
        <w:t xml:space="preserve"> </w:t>
      </w:r>
      <w:proofErr w:type="gramStart"/>
      <w:r w:rsidRPr="00F3099A">
        <w:t>2016;25:1236</w:t>
      </w:r>
      <w:proofErr w:type="gramEnd"/>
      <w:r w:rsidRPr="00F3099A">
        <w:t>–44.</w:t>
      </w:r>
    </w:p>
    <w:p w:rsidR="00F3099A" w:rsidRPr="00F3099A" w:rsidRDefault="00F3099A" w:rsidP="00F3099A">
      <w:pPr>
        <w:numPr>
          <w:ilvl w:val="0"/>
          <w:numId w:val="15"/>
        </w:numPr>
        <w:spacing w:after="0" w:line="264" w:lineRule="auto"/>
        <w:ind w:left="425" w:hanging="425"/>
        <w:jc w:val="both"/>
        <w:textAlignment w:val="baseline"/>
      </w:pPr>
      <w:r w:rsidRPr="00F3099A">
        <w:t xml:space="preserve">Cannon CP. et al. Design and Rationale of the RE-DUAL PCI Trial: A Prospective, Randomized, Phase 3b Study Comparing the Safety and Efficacy of Dual Antithrombotic Therapy </w:t>
      </w:r>
      <w:proofErr w:type="gramStart"/>
      <w:r w:rsidRPr="00F3099A">
        <w:t>With</w:t>
      </w:r>
      <w:proofErr w:type="gramEnd"/>
      <w:r w:rsidRPr="00F3099A">
        <w:t xml:space="preserve"> Dabigatran </w:t>
      </w:r>
      <w:proofErr w:type="spellStart"/>
      <w:r w:rsidRPr="00F3099A">
        <w:t>Etexilate</w:t>
      </w:r>
      <w:proofErr w:type="spellEnd"/>
      <w:r w:rsidRPr="00F3099A">
        <w:t xml:space="preserve"> Versus Warfarin Triple Therapy in Patients With Nonvalvular Atrial Fibrillation Who Have Undergone Percutaneous Coronary Intervention With Stenting. </w:t>
      </w:r>
      <w:proofErr w:type="spellStart"/>
      <w:r w:rsidRPr="00F3099A">
        <w:t>Clin</w:t>
      </w:r>
      <w:proofErr w:type="spellEnd"/>
      <w:r w:rsidRPr="00F3099A">
        <w:t xml:space="preserve"> </w:t>
      </w:r>
      <w:proofErr w:type="spellStart"/>
      <w:r w:rsidRPr="00F3099A">
        <w:t>Cardiol</w:t>
      </w:r>
      <w:proofErr w:type="spellEnd"/>
      <w:r w:rsidRPr="00F3099A">
        <w:t xml:space="preserve">. 2016;39(10):555-64. </w:t>
      </w:r>
      <w:hyperlink r:id="rId12" w:history="1">
        <w:r w:rsidRPr="00F3099A">
          <w:t>http://onlinelibrary.wiley.com/doi/10.1002/clc.22572/full</w:t>
        </w:r>
      </w:hyperlink>
      <w:r w:rsidRPr="00F3099A">
        <w:t xml:space="preserve">. Last accessed August 2017. </w:t>
      </w:r>
    </w:p>
    <w:p w:rsidR="00F3099A" w:rsidRPr="00F3099A" w:rsidRDefault="00F3099A" w:rsidP="00F3099A">
      <w:pPr>
        <w:numPr>
          <w:ilvl w:val="0"/>
          <w:numId w:val="15"/>
        </w:numPr>
        <w:spacing w:after="0" w:line="264" w:lineRule="auto"/>
        <w:ind w:left="425" w:hanging="425"/>
        <w:jc w:val="both"/>
        <w:textAlignment w:val="baseline"/>
      </w:pPr>
      <w:r w:rsidRPr="00F3099A">
        <w:t xml:space="preserve">Mayo Clinic. Coronary angioplasty and stents. </w:t>
      </w:r>
      <w:hyperlink w:history="1"/>
      <w:r w:rsidRPr="00F3099A">
        <w:t>http://www.mayoclinic.org/tests-procedures/angioplasty/basics/definition/prc-20014401. Last accessed August 2017.</w:t>
      </w:r>
    </w:p>
    <w:p w:rsidR="00F3099A" w:rsidRPr="00F3099A" w:rsidRDefault="00F3099A" w:rsidP="00F3099A">
      <w:pPr>
        <w:numPr>
          <w:ilvl w:val="0"/>
          <w:numId w:val="15"/>
        </w:numPr>
        <w:spacing w:after="0" w:line="264" w:lineRule="auto"/>
        <w:ind w:left="425" w:hanging="425"/>
        <w:jc w:val="both"/>
        <w:textAlignment w:val="baseline"/>
      </w:pPr>
      <w:r w:rsidRPr="00F3099A">
        <w:t xml:space="preserve">Faxon DP. et al. Consensus Document: Antithrombotic therapy in patients with atrial fibrillation undergoing coronary stenting. </w:t>
      </w:r>
      <w:proofErr w:type="spellStart"/>
      <w:r w:rsidRPr="00F3099A">
        <w:t>Thromb</w:t>
      </w:r>
      <w:proofErr w:type="spellEnd"/>
      <w:r w:rsidRPr="00F3099A">
        <w:t xml:space="preserve"> </w:t>
      </w:r>
      <w:proofErr w:type="spellStart"/>
      <w:r w:rsidRPr="00F3099A">
        <w:t>Haemost</w:t>
      </w:r>
      <w:proofErr w:type="spellEnd"/>
      <w:r w:rsidRPr="00F3099A">
        <w:t xml:space="preserve">. </w:t>
      </w:r>
      <w:proofErr w:type="gramStart"/>
      <w:r w:rsidRPr="00F3099A">
        <w:t>2011;106:571</w:t>
      </w:r>
      <w:proofErr w:type="gramEnd"/>
      <w:r w:rsidRPr="00F3099A">
        <w:t>–84.</w:t>
      </w:r>
    </w:p>
    <w:p w:rsidR="00F3099A" w:rsidRPr="00F3099A" w:rsidRDefault="00F3099A" w:rsidP="00F3099A">
      <w:pPr>
        <w:numPr>
          <w:ilvl w:val="0"/>
          <w:numId w:val="15"/>
        </w:numPr>
        <w:spacing w:after="0" w:line="264" w:lineRule="auto"/>
        <w:ind w:left="425" w:hanging="425"/>
        <w:jc w:val="both"/>
        <w:textAlignment w:val="baseline"/>
      </w:pPr>
      <w:r w:rsidRPr="00F3099A">
        <w:t xml:space="preserve">Chan W. </w:t>
      </w:r>
      <w:proofErr w:type="gramStart"/>
      <w:r w:rsidRPr="00F3099A">
        <w:t>et al.</w:t>
      </w:r>
      <w:proofErr w:type="gramEnd"/>
      <w:r w:rsidRPr="00F3099A">
        <w:t xml:space="preserve"> Impact of Periprocedural Atrial Fibrillation on Short-Term Clinical Outcomes Following Percutaneous Coronary Intervention. American Journal of Cardiology. 2012; 109(4):471-77.</w:t>
      </w:r>
    </w:p>
    <w:p w:rsidR="00F3099A" w:rsidRPr="00F3099A" w:rsidRDefault="00F3099A" w:rsidP="00F3099A">
      <w:pPr>
        <w:numPr>
          <w:ilvl w:val="0"/>
          <w:numId w:val="15"/>
        </w:numPr>
        <w:spacing w:after="0" w:line="264" w:lineRule="auto"/>
        <w:ind w:left="425" w:hanging="425"/>
        <w:jc w:val="both"/>
        <w:textAlignment w:val="baseline"/>
      </w:pPr>
      <w:r w:rsidRPr="00F3099A">
        <w:t>Boehringer Ingelheim Data on File.</w:t>
      </w:r>
    </w:p>
    <w:p w:rsidR="00F3099A" w:rsidRPr="00F3099A" w:rsidRDefault="00F3099A" w:rsidP="00F3099A">
      <w:pPr>
        <w:numPr>
          <w:ilvl w:val="0"/>
          <w:numId w:val="15"/>
        </w:numPr>
        <w:spacing w:after="0" w:line="264" w:lineRule="auto"/>
        <w:ind w:left="425" w:hanging="425"/>
        <w:jc w:val="both"/>
        <w:textAlignment w:val="baseline"/>
      </w:pPr>
      <w:r w:rsidRPr="00F3099A">
        <w:t>P</w:t>
      </w:r>
      <w:proofErr w:type="spellStart"/>
      <w:r w:rsidRPr="00F3099A">
        <w:t>radaxa</w:t>
      </w:r>
      <w:proofErr w:type="spellEnd"/>
      <w:r w:rsidRPr="00F3099A">
        <w:t xml:space="preserve">® US </w:t>
      </w:r>
      <w:proofErr w:type="spellStart"/>
      <w:r w:rsidRPr="00F3099A">
        <w:t>Prescribing</w:t>
      </w:r>
      <w:proofErr w:type="spellEnd"/>
      <w:r w:rsidRPr="00F3099A">
        <w:t xml:space="preserve"> Information, 2015.</w:t>
      </w:r>
    </w:p>
    <w:p w:rsidR="00F3099A" w:rsidRPr="00F3099A" w:rsidRDefault="00F3099A" w:rsidP="00F3099A">
      <w:pPr>
        <w:numPr>
          <w:ilvl w:val="0"/>
          <w:numId w:val="15"/>
        </w:numPr>
        <w:spacing w:after="0" w:line="264" w:lineRule="auto"/>
        <w:ind w:left="425" w:hanging="425"/>
        <w:jc w:val="both"/>
        <w:textAlignment w:val="baseline"/>
      </w:pPr>
      <w:proofErr w:type="spellStart"/>
      <w:r w:rsidRPr="00F3099A">
        <w:t>Pradaxa</w:t>
      </w:r>
      <w:proofErr w:type="spellEnd"/>
      <w:r w:rsidRPr="00F3099A">
        <w:t xml:space="preserve">® </w:t>
      </w:r>
      <w:proofErr w:type="spellStart"/>
      <w:r w:rsidRPr="00F3099A">
        <w:t>European</w:t>
      </w:r>
      <w:proofErr w:type="spellEnd"/>
      <w:r w:rsidRPr="00F3099A">
        <w:t xml:space="preserve"> </w:t>
      </w:r>
      <w:proofErr w:type="spellStart"/>
      <w:r w:rsidRPr="00F3099A">
        <w:t>Summary</w:t>
      </w:r>
      <w:proofErr w:type="spellEnd"/>
      <w:r w:rsidRPr="00F3099A">
        <w:t xml:space="preserve"> of Product </w:t>
      </w:r>
      <w:proofErr w:type="spellStart"/>
      <w:r w:rsidRPr="00F3099A">
        <w:t>Characteristics</w:t>
      </w:r>
      <w:proofErr w:type="spellEnd"/>
      <w:r w:rsidRPr="00F3099A">
        <w:t>, 2016.</w:t>
      </w:r>
    </w:p>
    <w:p w:rsidR="00F3099A" w:rsidRPr="00F3099A" w:rsidRDefault="00F3099A" w:rsidP="00F3099A">
      <w:pPr>
        <w:numPr>
          <w:ilvl w:val="0"/>
          <w:numId w:val="15"/>
        </w:numPr>
        <w:spacing w:after="0" w:line="264" w:lineRule="auto"/>
        <w:ind w:left="425" w:hanging="425"/>
        <w:jc w:val="both"/>
        <w:textAlignment w:val="baseline"/>
      </w:pPr>
      <w:proofErr w:type="spellStart"/>
      <w:r w:rsidRPr="00F3099A">
        <w:t>Stangier</w:t>
      </w:r>
      <w:proofErr w:type="spellEnd"/>
      <w:r w:rsidRPr="00F3099A">
        <w:t xml:space="preserve"> J. </w:t>
      </w:r>
      <w:proofErr w:type="spellStart"/>
      <w:r w:rsidRPr="00F3099A">
        <w:t>Clinical</w:t>
      </w:r>
      <w:proofErr w:type="spellEnd"/>
      <w:r w:rsidRPr="00F3099A">
        <w:t xml:space="preserve"> </w:t>
      </w:r>
      <w:proofErr w:type="spellStart"/>
      <w:r w:rsidRPr="00F3099A">
        <w:t>pharmacokinetics</w:t>
      </w:r>
      <w:proofErr w:type="spellEnd"/>
      <w:r w:rsidRPr="00F3099A">
        <w:t xml:space="preserve"> and </w:t>
      </w:r>
      <w:proofErr w:type="spellStart"/>
      <w:r w:rsidRPr="00F3099A">
        <w:t>pharmacodynamics</w:t>
      </w:r>
      <w:proofErr w:type="spellEnd"/>
      <w:r w:rsidRPr="00F3099A">
        <w:t xml:space="preserve"> of the </w:t>
      </w:r>
      <w:proofErr w:type="spellStart"/>
      <w:r w:rsidRPr="00F3099A">
        <w:t>oral</w:t>
      </w:r>
      <w:proofErr w:type="spellEnd"/>
      <w:r w:rsidRPr="00F3099A">
        <w:t xml:space="preserve"> </w:t>
      </w:r>
      <w:proofErr w:type="spellStart"/>
      <w:r w:rsidRPr="00F3099A">
        <w:t>direct</w:t>
      </w:r>
      <w:proofErr w:type="spellEnd"/>
      <w:r w:rsidRPr="00F3099A">
        <w:t xml:space="preserve"> </w:t>
      </w:r>
      <w:proofErr w:type="spellStart"/>
      <w:r w:rsidRPr="00F3099A">
        <w:t>thrombin</w:t>
      </w:r>
      <w:proofErr w:type="spellEnd"/>
      <w:r w:rsidRPr="00F3099A">
        <w:t xml:space="preserve"> </w:t>
      </w:r>
      <w:proofErr w:type="spellStart"/>
      <w:r w:rsidRPr="00F3099A">
        <w:t>inhibitor</w:t>
      </w:r>
      <w:proofErr w:type="spellEnd"/>
      <w:r w:rsidRPr="00F3099A">
        <w:t xml:space="preserve"> </w:t>
      </w:r>
      <w:proofErr w:type="spellStart"/>
      <w:r w:rsidRPr="00F3099A">
        <w:t>dabigatran</w:t>
      </w:r>
      <w:proofErr w:type="spellEnd"/>
      <w:r w:rsidRPr="00F3099A">
        <w:t xml:space="preserve"> </w:t>
      </w:r>
      <w:proofErr w:type="spellStart"/>
      <w:r w:rsidRPr="00F3099A">
        <w:t>etexilate</w:t>
      </w:r>
      <w:proofErr w:type="spellEnd"/>
      <w:r w:rsidRPr="00F3099A">
        <w:t xml:space="preserve">. </w:t>
      </w:r>
      <w:proofErr w:type="spellStart"/>
      <w:r w:rsidRPr="00F3099A">
        <w:t>Clin</w:t>
      </w:r>
      <w:proofErr w:type="spellEnd"/>
      <w:r w:rsidRPr="00F3099A">
        <w:t xml:space="preserve"> </w:t>
      </w:r>
      <w:proofErr w:type="spellStart"/>
      <w:r w:rsidRPr="00F3099A">
        <w:t>Pharmacokinet</w:t>
      </w:r>
      <w:proofErr w:type="spellEnd"/>
      <w:r w:rsidRPr="00F3099A">
        <w:t>. 2008;47(5):285–95.</w:t>
      </w:r>
    </w:p>
    <w:p w:rsidR="00F3099A" w:rsidRPr="00F3099A" w:rsidRDefault="00F3099A" w:rsidP="00F3099A">
      <w:pPr>
        <w:numPr>
          <w:ilvl w:val="0"/>
          <w:numId w:val="15"/>
        </w:numPr>
        <w:spacing w:after="0" w:line="264" w:lineRule="auto"/>
        <w:ind w:left="425" w:hanging="425"/>
        <w:jc w:val="both"/>
        <w:textAlignment w:val="baseline"/>
      </w:pPr>
      <w:r w:rsidRPr="00F3099A">
        <w:lastRenderedPageBreak/>
        <w:t xml:space="preserve">Di Nisio M. et al. Direct </w:t>
      </w:r>
      <w:proofErr w:type="spellStart"/>
      <w:r w:rsidRPr="00F3099A">
        <w:t>thrombin</w:t>
      </w:r>
      <w:proofErr w:type="spellEnd"/>
      <w:r w:rsidRPr="00F3099A">
        <w:t xml:space="preserve"> </w:t>
      </w:r>
      <w:proofErr w:type="spellStart"/>
      <w:r w:rsidRPr="00F3099A">
        <w:t>inhibitors</w:t>
      </w:r>
      <w:proofErr w:type="spellEnd"/>
      <w:r w:rsidRPr="00F3099A">
        <w:t xml:space="preserve">. N </w:t>
      </w:r>
      <w:proofErr w:type="spellStart"/>
      <w:r w:rsidRPr="00F3099A">
        <w:t>Engl</w:t>
      </w:r>
      <w:proofErr w:type="spellEnd"/>
      <w:r w:rsidRPr="00F3099A">
        <w:t xml:space="preserve"> J Med.2005;353:1028–40.</w:t>
      </w:r>
    </w:p>
    <w:p w:rsidR="00F3099A" w:rsidRPr="00F3099A" w:rsidRDefault="00F3099A" w:rsidP="00F3099A">
      <w:pPr>
        <w:numPr>
          <w:ilvl w:val="0"/>
          <w:numId w:val="15"/>
        </w:numPr>
        <w:spacing w:after="0" w:line="264" w:lineRule="auto"/>
        <w:ind w:left="425" w:hanging="425"/>
        <w:jc w:val="both"/>
        <w:textAlignment w:val="baseline"/>
      </w:pPr>
      <w:proofErr w:type="spellStart"/>
      <w:r w:rsidRPr="00F3099A">
        <w:t>Stangier</w:t>
      </w:r>
      <w:proofErr w:type="spellEnd"/>
      <w:r w:rsidRPr="00F3099A">
        <w:t xml:space="preserve"> J. et al. </w:t>
      </w:r>
      <w:proofErr w:type="spellStart"/>
      <w:r w:rsidRPr="00F3099A">
        <w:t>Pharmacokinetic</w:t>
      </w:r>
      <w:proofErr w:type="spellEnd"/>
      <w:r w:rsidRPr="00F3099A">
        <w:t xml:space="preserve"> </w:t>
      </w:r>
      <w:proofErr w:type="spellStart"/>
      <w:r w:rsidRPr="00F3099A">
        <w:t>Profile</w:t>
      </w:r>
      <w:proofErr w:type="spellEnd"/>
      <w:r w:rsidRPr="00F3099A">
        <w:t xml:space="preserve"> of the </w:t>
      </w:r>
      <w:proofErr w:type="spellStart"/>
      <w:r w:rsidRPr="00F3099A">
        <w:t>Oral</w:t>
      </w:r>
      <w:proofErr w:type="spellEnd"/>
      <w:r w:rsidRPr="00F3099A">
        <w:t xml:space="preserve"> Direct </w:t>
      </w:r>
      <w:proofErr w:type="spellStart"/>
      <w:r w:rsidRPr="00F3099A">
        <w:t>Thrombin</w:t>
      </w:r>
      <w:proofErr w:type="spellEnd"/>
      <w:r w:rsidRPr="00F3099A">
        <w:t xml:space="preserve"> </w:t>
      </w:r>
      <w:proofErr w:type="spellStart"/>
      <w:r w:rsidRPr="00F3099A">
        <w:t>Inhibitor</w:t>
      </w:r>
      <w:proofErr w:type="spellEnd"/>
      <w:r w:rsidRPr="00F3099A">
        <w:t xml:space="preserve"> </w:t>
      </w:r>
      <w:proofErr w:type="spellStart"/>
      <w:r w:rsidRPr="00F3099A">
        <w:t>Dabigatran</w:t>
      </w:r>
      <w:proofErr w:type="spellEnd"/>
      <w:r w:rsidRPr="00F3099A">
        <w:t xml:space="preserve"> </w:t>
      </w:r>
      <w:proofErr w:type="spellStart"/>
      <w:r w:rsidRPr="00F3099A">
        <w:t>Etexilate</w:t>
      </w:r>
      <w:proofErr w:type="spellEnd"/>
      <w:r w:rsidRPr="00F3099A">
        <w:t xml:space="preserve"> in </w:t>
      </w:r>
      <w:proofErr w:type="spellStart"/>
      <w:r w:rsidRPr="00F3099A">
        <w:t>Healthy</w:t>
      </w:r>
      <w:proofErr w:type="spellEnd"/>
      <w:r w:rsidRPr="00F3099A">
        <w:t xml:space="preserve"> </w:t>
      </w:r>
      <w:proofErr w:type="spellStart"/>
      <w:r w:rsidRPr="00F3099A">
        <w:t>Volunteers</w:t>
      </w:r>
      <w:proofErr w:type="spellEnd"/>
      <w:r w:rsidRPr="00F3099A">
        <w:t xml:space="preserve"> and </w:t>
      </w:r>
      <w:proofErr w:type="spellStart"/>
      <w:r w:rsidRPr="00F3099A">
        <w:t>Patients</w:t>
      </w:r>
      <w:proofErr w:type="spellEnd"/>
      <w:r w:rsidRPr="00F3099A">
        <w:t xml:space="preserve"> </w:t>
      </w:r>
      <w:proofErr w:type="spellStart"/>
      <w:r w:rsidRPr="00F3099A">
        <w:t>Undergoing</w:t>
      </w:r>
      <w:proofErr w:type="spellEnd"/>
      <w:r w:rsidRPr="00F3099A">
        <w:t xml:space="preserve"> Total Hip </w:t>
      </w:r>
      <w:proofErr w:type="spellStart"/>
      <w:r w:rsidRPr="00F3099A">
        <w:t>Replacement</w:t>
      </w:r>
      <w:proofErr w:type="spellEnd"/>
      <w:r w:rsidRPr="00F3099A">
        <w:t xml:space="preserve">. J </w:t>
      </w:r>
      <w:proofErr w:type="spellStart"/>
      <w:r w:rsidRPr="00F3099A">
        <w:t>Clin</w:t>
      </w:r>
      <w:proofErr w:type="spellEnd"/>
      <w:r w:rsidRPr="00F3099A">
        <w:t xml:space="preserve"> </w:t>
      </w:r>
      <w:proofErr w:type="spellStart"/>
      <w:r w:rsidRPr="00F3099A">
        <w:t>Pharmacol</w:t>
      </w:r>
      <w:proofErr w:type="spellEnd"/>
      <w:r w:rsidRPr="00F3099A">
        <w:t xml:space="preserve">. </w:t>
      </w:r>
      <w:proofErr w:type="gramStart"/>
      <w:r w:rsidRPr="00F3099A">
        <w:t>2005;45:555</w:t>
      </w:r>
      <w:proofErr w:type="gramEnd"/>
      <w:r w:rsidRPr="00F3099A">
        <w:t>–63.</w:t>
      </w:r>
    </w:p>
    <w:p w:rsidR="00F3099A" w:rsidRPr="00F3099A" w:rsidRDefault="00F3099A" w:rsidP="00F3099A">
      <w:pPr>
        <w:numPr>
          <w:ilvl w:val="0"/>
          <w:numId w:val="15"/>
        </w:numPr>
        <w:spacing w:after="0" w:line="264" w:lineRule="auto"/>
        <w:ind w:left="425" w:hanging="425"/>
        <w:jc w:val="both"/>
        <w:textAlignment w:val="baseline"/>
      </w:pPr>
      <w:proofErr w:type="spellStart"/>
      <w:r w:rsidRPr="00F3099A">
        <w:t>Praxbind</w:t>
      </w:r>
      <w:proofErr w:type="spellEnd"/>
      <w:r w:rsidRPr="00F3099A">
        <w:t xml:space="preserve">® </w:t>
      </w:r>
      <w:proofErr w:type="spellStart"/>
      <w:r w:rsidRPr="00F3099A">
        <w:t>European</w:t>
      </w:r>
      <w:proofErr w:type="spellEnd"/>
      <w:r w:rsidRPr="00F3099A">
        <w:t xml:space="preserve"> </w:t>
      </w:r>
      <w:proofErr w:type="spellStart"/>
      <w:r w:rsidRPr="00F3099A">
        <w:t>Summary</w:t>
      </w:r>
      <w:proofErr w:type="spellEnd"/>
      <w:r w:rsidRPr="00F3099A">
        <w:t xml:space="preserve"> of Product </w:t>
      </w:r>
      <w:proofErr w:type="spellStart"/>
      <w:r w:rsidRPr="00F3099A">
        <w:t>Characteristics</w:t>
      </w:r>
      <w:proofErr w:type="spellEnd"/>
      <w:r w:rsidRPr="00F3099A">
        <w:t>, 2016.</w:t>
      </w:r>
    </w:p>
    <w:p w:rsidR="00F3099A" w:rsidRPr="00F3099A" w:rsidRDefault="00F3099A" w:rsidP="00F3099A">
      <w:pPr>
        <w:numPr>
          <w:ilvl w:val="0"/>
          <w:numId w:val="15"/>
        </w:numPr>
        <w:spacing w:after="0" w:line="264" w:lineRule="auto"/>
        <w:ind w:left="425" w:hanging="425"/>
        <w:jc w:val="both"/>
        <w:textAlignment w:val="baseline"/>
      </w:pPr>
      <w:proofErr w:type="spellStart"/>
      <w:r w:rsidRPr="00F3099A">
        <w:t>Praxbind</w:t>
      </w:r>
      <w:proofErr w:type="spellEnd"/>
      <w:r w:rsidRPr="00F3099A">
        <w:t xml:space="preserve">® US </w:t>
      </w:r>
      <w:proofErr w:type="spellStart"/>
      <w:r w:rsidRPr="00F3099A">
        <w:t>Prescribing</w:t>
      </w:r>
      <w:proofErr w:type="spellEnd"/>
      <w:r w:rsidRPr="00F3099A">
        <w:t xml:space="preserve"> Information, 2015.</w:t>
      </w:r>
    </w:p>
    <w:p w:rsidR="00F3099A" w:rsidRPr="00F3099A" w:rsidRDefault="00F3099A" w:rsidP="00F3099A">
      <w:pPr>
        <w:spacing w:after="0" w:line="264" w:lineRule="auto"/>
        <w:textAlignment w:val="baseline"/>
      </w:pPr>
    </w:p>
    <w:p w:rsidR="00F3099A" w:rsidRPr="00367F4C" w:rsidRDefault="00F3099A" w:rsidP="00CB00F0">
      <w:pPr>
        <w:jc w:val="both"/>
        <w:rPr>
          <w:rFonts w:eastAsia="Times New Roman" w:cs="Courier New"/>
          <w:b/>
          <w:color w:val="212121"/>
          <w:sz w:val="24"/>
          <w:szCs w:val="24"/>
          <w:lang w:eastAsia="it-IT"/>
        </w:rPr>
      </w:pPr>
    </w:p>
    <w:sectPr w:rsidR="00F3099A" w:rsidRPr="00367F4C" w:rsidSect="005E2946">
      <w:headerReference w:type="default" r:id="rId13"/>
      <w:footerReference w:type="default" r:id="rId14"/>
      <w:headerReference w:type="first" r:id="rId15"/>
      <w:footerReference w:type="first" r:id="rId16"/>
      <w:footnotePr>
        <w:numFmt w:val="chicago"/>
      </w:footnotePr>
      <w:endnotePr>
        <w:numFmt w:val="decimal"/>
      </w:endnotePr>
      <w:pgSz w:w="11906" w:h="16838"/>
      <w:pgMar w:top="3420" w:right="3969" w:bottom="1530"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D8E" w:rsidRDefault="00410D8E" w:rsidP="00AC7343">
      <w:pPr>
        <w:spacing w:after="0" w:line="240" w:lineRule="auto"/>
      </w:pPr>
      <w:r>
        <w:separator/>
      </w:r>
    </w:p>
  </w:endnote>
  <w:endnote w:type="continuationSeparator" w:id="0">
    <w:p w:rsidR="00410D8E" w:rsidRDefault="00410D8E" w:rsidP="00AC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Sans">
    <w:altName w:val="Malgun Gothic"/>
    <w:charset w:val="00"/>
    <w:family w:val="auto"/>
    <w:pitch w:val="variable"/>
    <w:sig w:usb0="80000027" w:usb1="00000000" w:usb2="00000000" w:usb3="00000000" w:csb0="00000001"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SansNEXTCond-Bold">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F50" w:rsidRPr="00977337" w:rsidRDefault="00DE5F50">
    <w:pPr>
      <w:pStyle w:val="Pidipagina"/>
    </w:pPr>
    <w:r w:rsidRPr="00977337">
      <w:rPr>
        <w:rFonts w:cs="Arial"/>
        <w:sz w:val="16"/>
        <w:szCs w:val="16"/>
      </w:rPr>
      <w:t xml:space="preserve">Boehringer Ingelheim </w:t>
    </w:r>
    <w:r>
      <w:rPr>
        <w:rFonts w:cs="Arial"/>
        <w:sz w:val="16"/>
        <w:szCs w:val="16"/>
      </w:rPr>
      <w:t>Comunicato Stampa</w:t>
    </w:r>
    <w:r w:rsidRPr="00977337">
      <w:rPr>
        <w:rFonts w:cs="Arial"/>
        <w:sz w:val="16"/>
        <w:szCs w:val="16"/>
      </w:rPr>
      <w:t xml:space="preserve"> pag</w:t>
    </w:r>
    <w:r>
      <w:rPr>
        <w:rFonts w:cs="Arial"/>
        <w:sz w:val="16"/>
        <w:szCs w:val="16"/>
      </w:rPr>
      <w:t>ina</w:t>
    </w:r>
    <w:r w:rsidRPr="00977337">
      <w:rPr>
        <w:rFonts w:cs="Arial"/>
        <w:sz w:val="16"/>
        <w:szCs w:val="16"/>
      </w:rPr>
      <w:t xml:space="preserve"> </w:t>
    </w:r>
    <w:r w:rsidRPr="00977337">
      <w:rPr>
        <w:rFonts w:cs="Arial"/>
        <w:sz w:val="16"/>
        <w:szCs w:val="16"/>
      </w:rPr>
      <w:fldChar w:fldCharType="begin"/>
    </w:r>
    <w:r w:rsidRPr="00977337">
      <w:rPr>
        <w:rFonts w:cs="Arial"/>
        <w:sz w:val="16"/>
        <w:szCs w:val="16"/>
      </w:rPr>
      <w:instrText xml:space="preserve"> PAGE </w:instrText>
    </w:r>
    <w:r w:rsidRPr="00977337">
      <w:rPr>
        <w:rFonts w:cs="Arial"/>
        <w:sz w:val="16"/>
        <w:szCs w:val="16"/>
      </w:rPr>
      <w:fldChar w:fldCharType="separate"/>
    </w:r>
    <w:r w:rsidR="00B574A0">
      <w:rPr>
        <w:rFonts w:cs="Arial"/>
        <w:noProof/>
        <w:sz w:val="16"/>
        <w:szCs w:val="16"/>
      </w:rPr>
      <w:t>2</w:t>
    </w:r>
    <w:r w:rsidRPr="00977337">
      <w:rPr>
        <w:rFonts w:cs="Arial"/>
        <w:sz w:val="16"/>
        <w:szCs w:val="16"/>
      </w:rPr>
      <w:fldChar w:fldCharType="end"/>
    </w:r>
    <w:r w:rsidRPr="00977337">
      <w:rPr>
        <w:rFonts w:cs="Arial"/>
        <w:sz w:val="16"/>
        <w:szCs w:val="16"/>
      </w:rPr>
      <w:t xml:space="preserve"> </w:t>
    </w:r>
    <w:r>
      <w:rPr>
        <w:rFonts w:cs="Arial"/>
        <w:sz w:val="16"/>
        <w:szCs w:val="16"/>
      </w:rPr>
      <w:t>di</w:t>
    </w:r>
    <w:r w:rsidRPr="00977337">
      <w:rPr>
        <w:rFonts w:cs="Arial"/>
        <w:sz w:val="16"/>
        <w:szCs w:val="16"/>
      </w:rPr>
      <w:t xml:space="preserve"> </w:t>
    </w:r>
    <w:r w:rsidRPr="00977337">
      <w:rPr>
        <w:rFonts w:cs="Arial"/>
        <w:sz w:val="16"/>
        <w:szCs w:val="16"/>
      </w:rPr>
      <w:fldChar w:fldCharType="begin"/>
    </w:r>
    <w:r w:rsidRPr="00977337">
      <w:rPr>
        <w:rFonts w:cs="Arial"/>
        <w:sz w:val="16"/>
        <w:szCs w:val="16"/>
      </w:rPr>
      <w:instrText xml:space="preserve"> NUMPAGES  </w:instrText>
    </w:r>
    <w:r w:rsidRPr="00977337">
      <w:rPr>
        <w:rFonts w:cs="Arial"/>
        <w:sz w:val="16"/>
        <w:szCs w:val="16"/>
      </w:rPr>
      <w:fldChar w:fldCharType="separate"/>
    </w:r>
    <w:r w:rsidR="00B574A0">
      <w:rPr>
        <w:rFonts w:cs="Arial"/>
        <w:noProof/>
        <w:sz w:val="16"/>
        <w:szCs w:val="16"/>
      </w:rPr>
      <w:t>10</w:t>
    </w:r>
    <w:r w:rsidRPr="00977337">
      <w:rPr>
        <w:rFonts w:cs="Arial"/>
        <w:sz w:val="16"/>
        <w:szCs w:val="16"/>
      </w:rPr>
      <w:fldChar w:fldCharType="end"/>
    </w:r>
    <w:r w:rsidRPr="00977337">
      <w:rPr>
        <w:rFonts w:cs="Arial"/>
        <w:color w:val="FF0000"/>
        <w:sz w:val="16"/>
        <w:szCs w:val="16"/>
      </w:rPr>
      <w:t xml:space="preserve"> </w:t>
    </w:r>
    <w:r w:rsidRPr="00977337">
      <w:rPr>
        <w:rFonts w:cs="Arial"/>
        <w:color w:val="FF0000"/>
        <w:sz w:val="16"/>
        <w:szCs w:val="16"/>
      </w:rPr>
      <w:tab/>
    </w:r>
    <w:r w:rsidRPr="00977337">
      <w:rPr>
        <w:rFonts w:cs="Arial"/>
        <w:color w:val="FF000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F50" w:rsidRPr="00977337" w:rsidRDefault="00DE5F50">
    <w:pPr>
      <w:pStyle w:val="Pidipagina"/>
      <w:rPr>
        <w:rFonts w:cs="Arial"/>
        <w:sz w:val="16"/>
        <w:szCs w:val="16"/>
      </w:rPr>
    </w:pPr>
    <w:r>
      <w:rPr>
        <w:rFonts w:cs="Arial"/>
        <w:sz w:val="16"/>
        <w:szCs w:val="16"/>
      </w:rPr>
      <w:t>Boehringer Ingelheim Comunicato Stampa</w:t>
    </w:r>
    <w:r w:rsidRPr="00977337">
      <w:rPr>
        <w:rFonts w:cs="Arial"/>
        <w:sz w:val="16"/>
        <w:szCs w:val="16"/>
      </w:rPr>
      <w:t xml:space="preserve"> pag</w:t>
    </w:r>
    <w:r>
      <w:rPr>
        <w:rFonts w:cs="Arial"/>
        <w:sz w:val="16"/>
        <w:szCs w:val="16"/>
      </w:rPr>
      <w:t>ina</w:t>
    </w:r>
    <w:r w:rsidRPr="00977337">
      <w:rPr>
        <w:rFonts w:cs="Arial"/>
        <w:sz w:val="16"/>
        <w:szCs w:val="16"/>
      </w:rPr>
      <w:t xml:space="preserve"> </w:t>
    </w:r>
    <w:r w:rsidRPr="00977337">
      <w:rPr>
        <w:rFonts w:cs="Arial"/>
        <w:sz w:val="16"/>
        <w:szCs w:val="16"/>
      </w:rPr>
      <w:fldChar w:fldCharType="begin"/>
    </w:r>
    <w:r w:rsidRPr="00977337">
      <w:rPr>
        <w:rFonts w:cs="Arial"/>
        <w:sz w:val="16"/>
        <w:szCs w:val="16"/>
      </w:rPr>
      <w:instrText xml:space="preserve"> PAGE </w:instrText>
    </w:r>
    <w:r w:rsidRPr="00977337">
      <w:rPr>
        <w:rFonts w:cs="Arial"/>
        <w:sz w:val="16"/>
        <w:szCs w:val="16"/>
      </w:rPr>
      <w:fldChar w:fldCharType="separate"/>
    </w:r>
    <w:r w:rsidR="00F3099A">
      <w:rPr>
        <w:rFonts w:cs="Arial"/>
        <w:noProof/>
        <w:sz w:val="16"/>
        <w:szCs w:val="16"/>
      </w:rPr>
      <w:t>1</w:t>
    </w:r>
    <w:r w:rsidRPr="00977337">
      <w:rPr>
        <w:rFonts w:cs="Arial"/>
        <w:sz w:val="16"/>
        <w:szCs w:val="16"/>
      </w:rPr>
      <w:fldChar w:fldCharType="end"/>
    </w:r>
    <w:r w:rsidRPr="00977337">
      <w:rPr>
        <w:rFonts w:cs="Arial"/>
        <w:sz w:val="16"/>
        <w:szCs w:val="16"/>
      </w:rPr>
      <w:t xml:space="preserve"> </w:t>
    </w:r>
    <w:r>
      <w:rPr>
        <w:rFonts w:cs="Arial"/>
        <w:sz w:val="16"/>
        <w:szCs w:val="16"/>
      </w:rPr>
      <w:t>di</w:t>
    </w:r>
    <w:r w:rsidRPr="00977337">
      <w:rPr>
        <w:rFonts w:cs="Arial"/>
        <w:sz w:val="16"/>
        <w:szCs w:val="16"/>
      </w:rPr>
      <w:t xml:space="preserve"> </w:t>
    </w:r>
    <w:r w:rsidRPr="00977337">
      <w:rPr>
        <w:rFonts w:cs="Arial"/>
        <w:sz w:val="16"/>
        <w:szCs w:val="16"/>
      </w:rPr>
      <w:fldChar w:fldCharType="begin"/>
    </w:r>
    <w:r w:rsidRPr="00977337">
      <w:rPr>
        <w:rFonts w:cs="Arial"/>
        <w:sz w:val="16"/>
        <w:szCs w:val="16"/>
      </w:rPr>
      <w:instrText xml:space="preserve"> NUMPAGES  </w:instrText>
    </w:r>
    <w:r w:rsidRPr="00977337">
      <w:rPr>
        <w:rFonts w:cs="Arial"/>
        <w:sz w:val="16"/>
        <w:szCs w:val="16"/>
      </w:rPr>
      <w:fldChar w:fldCharType="separate"/>
    </w:r>
    <w:r w:rsidR="00F3099A">
      <w:rPr>
        <w:rFonts w:cs="Arial"/>
        <w:noProof/>
        <w:sz w:val="16"/>
        <w:szCs w:val="16"/>
      </w:rPr>
      <w:t>10</w:t>
    </w:r>
    <w:r w:rsidRPr="00977337">
      <w:rPr>
        <w:rFonts w:cs="Arial"/>
        <w:sz w:val="16"/>
        <w:szCs w:val="16"/>
      </w:rPr>
      <w:fldChar w:fldCharType="end"/>
    </w:r>
    <w:r w:rsidRPr="00977337">
      <w:rPr>
        <w:rFonts w:cs="Arial"/>
        <w:sz w:val="16"/>
        <w:szCs w:val="16"/>
      </w:rPr>
      <w:tab/>
    </w:r>
    <w:r w:rsidRPr="00977337">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D8E" w:rsidRDefault="00410D8E" w:rsidP="00AC7343">
      <w:pPr>
        <w:spacing w:after="0" w:line="240" w:lineRule="auto"/>
      </w:pPr>
      <w:r>
        <w:separator/>
      </w:r>
    </w:p>
  </w:footnote>
  <w:footnote w:type="continuationSeparator" w:id="0">
    <w:p w:rsidR="00410D8E" w:rsidRDefault="00410D8E" w:rsidP="00AC7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F50" w:rsidRDefault="009F6C9F">
    <w:pPr>
      <w:pStyle w:val="Intestazione"/>
    </w:pPr>
    <w:r>
      <w:rPr>
        <w:noProof/>
        <w:lang w:eastAsia="zh-CN" w:bidi="th-TH"/>
      </w:rPr>
      <mc:AlternateContent>
        <mc:Choice Requires="wps">
          <w:drawing>
            <wp:anchor distT="0" distB="0" distL="114300" distR="114300" simplePos="0" relativeHeight="251654656" behindDoc="0" locked="0" layoutInCell="1" allowOverlap="1">
              <wp:simplePos x="0" y="0"/>
              <wp:positionH relativeFrom="column">
                <wp:posOffset>-550545</wp:posOffset>
              </wp:positionH>
              <wp:positionV relativeFrom="paragraph">
                <wp:posOffset>-106680</wp:posOffset>
              </wp:positionV>
              <wp:extent cx="450215" cy="19939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19939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F50" w:rsidRPr="0055412A" w:rsidRDefault="00DE5F50" w:rsidP="005E2946">
                          <w:pPr>
                            <w:spacing w:line="240" w:lineRule="auto"/>
                            <w:jc w:val="center"/>
                            <w:rPr>
                              <w:b/>
                              <w:color w:val="FFFFFF"/>
                              <w:sz w:val="12"/>
                              <w:szCs w:val="14"/>
                            </w:rPr>
                          </w:pPr>
                          <w:r w:rsidRPr="0055412A">
                            <w:rPr>
                              <w:sz w:val="18"/>
                            </w:rPr>
                            <w:fldChar w:fldCharType="begin"/>
                          </w:r>
                          <w:r w:rsidRPr="0055412A">
                            <w:rPr>
                              <w:sz w:val="18"/>
                            </w:rPr>
                            <w:instrText xml:space="preserve"> PAGE  \* Arabic  \* MERGEFORMAT </w:instrText>
                          </w:r>
                          <w:r w:rsidRPr="0055412A">
                            <w:rPr>
                              <w:sz w:val="18"/>
                            </w:rPr>
                            <w:fldChar w:fldCharType="separate"/>
                          </w:r>
                          <w:r w:rsidR="00B574A0">
                            <w:rPr>
                              <w:noProof/>
                              <w:sz w:val="18"/>
                            </w:rPr>
                            <w:t>2</w:t>
                          </w:r>
                          <w:r w:rsidRPr="0055412A">
                            <w:rPr>
                              <w:sz w:val="18"/>
                            </w:rPr>
                            <w:fldChar w:fldCharType="end"/>
                          </w:r>
                        </w:p>
                      </w:txbxContent>
                    </wps:txbx>
                    <wps:bodyPr rot="0" vert="horz" wrap="square" lIns="54000" tIns="54000" rIns="54000" bIns="54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35pt;margin-top:-8.4pt;width:35.45pt;height:1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gfgQIAAAgFAAAOAAAAZHJzL2Uyb0RvYy54bWysVG1v0zAQ/o7Ef7D8vUvSpV0TLZ32QhHS&#10;gInBD3Adp7FwbHN2m26I/87ZabsW+IAQ+eD47PP5ee6e8+XVtlNkI8BJoyuanaWUCM1NLfWqol8+&#10;L0YzSpxnumbKaFHRJ+Ho1fz1q8velmJsWqNqAQSDaFf2tqKt97ZMEsdb0TF3ZqzQuNkY6JhHE1ZJ&#10;DazH6J1Kxmk6TXoDtQXDhXO4ejds0nmM3zSC+49N44QnqqKIzccR4rgMYzK/ZOUKmG0l38Fg/4Ci&#10;Y1LjpYdQd8wzsgb5W6hOcjDONP6Mmy4xTSO5iByQTZb+wuaxZVZELpgcZw9pcv8vLP+weQAia6wd&#10;pkezDmv0CbPG9EoJkoX89NaV6PZoHyAwdPbe8K+OaHPbope4BjB9K1iNqKJ/cnIgGA6PkmX/3tQY&#10;na29ianaNtCFgJgEso0VeTpURGw94biYT9JxNqGE41ZWFOdFrFjCyv1hC86/FaYjYVJRQOgxONvc&#10;O4/g0XXvEsEbJeuFVCoasFreKiAbFsSRnp9Pp4EvHnHHbkoHZ23CsWF7WEGMeEfYC2hjsb8X2ThP&#10;b8bFaDGdXYzyRT4ZFRfpbJRmxU0xTfMiv1v8CACzvGxlXQt9L7XYCy/L/66wuxYYJBOlR/qKFpPx&#10;JHI/Qe9OSab4/YlkJz32oZJdRWfBZ9cZoa5vdI20WemZVMM8OYUfU4Y52P9jVqIKQuEHAfntcotR&#10;ghqWpn5CPYDBeqHm8PHASWvgmZIeG7Gi7tuagaBEvdOoqUke0BB/bMCxsTw2mOYYqqLcAyWDceuH&#10;fl9bkKsW78pilrS5RiU2MqrkBReSCAa2W6SzexpCPx/b0evlAZv/BAAA//8DAFBLAwQUAAYACAAA&#10;ACEAEgVpTd0AAAAKAQAADwAAAGRycy9kb3ducmV2LnhtbEyPS0/DMBCE70j8B2uRuKVOEKQlxKkq&#10;JJDKrQ9xduJtYhHbke3m8e+7nOA2o/00O1NuZ9OzEX3QzgrIVikwtI1T2rYCzqePZAMsRGmV7J1F&#10;AQsG2Fb3d6UslJvsAcdjbBmF2FBIAV2MQ8F5aDo0MqzcgJZuF+eNjGR9y5WXE4Wbnj+lac6N1JY+&#10;dHLA9w6bn+PVCPjcv46+/r7003JYn3fTl170rIV4fJh3b8AizvEPht/6VB0q6lS7q1WB9QKSTb4m&#10;lESW0wYikuyFRE3ocw68Kvn/CdUNAAD//wMAUEsBAi0AFAAGAAgAAAAhALaDOJL+AAAA4QEAABMA&#10;AAAAAAAAAAAAAAAAAAAAAFtDb250ZW50X1R5cGVzXS54bWxQSwECLQAUAAYACAAAACEAOP0h/9YA&#10;AACUAQAACwAAAAAAAAAAAAAAAAAvAQAAX3JlbHMvLnJlbHNQSwECLQAUAAYACAAAACEAtHToH4EC&#10;AAAIBQAADgAAAAAAAAAAAAAAAAAuAgAAZHJzL2Uyb0RvYy54bWxQSwECLQAUAAYACAAAACEAEgVp&#10;Td0AAAAKAQAADwAAAAAAAAAAAAAAAADbBAAAZHJzL2Rvd25yZXYueG1sUEsFBgAAAAAEAAQA8wAA&#10;AOUFAAAAAA==&#10;" fillcolor="#036" stroked="f">
              <v:textbox inset="1.5mm,1.5mm,1.5mm,1.5mm">
                <w:txbxContent>
                  <w:p w:rsidR="00DE5F50" w:rsidRPr="0055412A" w:rsidRDefault="00DE5F50" w:rsidP="005E2946">
                    <w:pPr>
                      <w:spacing w:line="240" w:lineRule="auto"/>
                      <w:jc w:val="center"/>
                      <w:rPr>
                        <w:b/>
                        <w:color w:val="FFFFFF"/>
                        <w:sz w:val="12"/>
                        <w:szCs w:val="14"/>
                      </w:rPr>
                    </w:pPr>
                    <w:r w:rsidRPr="0055412A">
                      <w:rPr>
                        <w:sz w:val="18"/>
                      </w:rPr>
                      <w:fldChar w:fldCharType="begin"/>
                    </w:r>
                    <w:r w:rsidRPr="0055412A">
                      <w:rPr>
                        <w:sz w:val="18"/>
                      </w:rPr>
                      <w:instrText xml:space="preserve"> PAGE  \* Arabic  \* MERGEFORMAT </w:instrText>
                    </w:r>
                    <w:r w:rsidRPr="0055412A">
                      <w:rPr>
                        <w:sz w:val="18"/>
                      </w:rPr>
                      <w:fldChar w:fldCharType="separate"/>
                    </w:r>
                    <w:r w:rsidR="00B574A0">
                      <w:rPr>
                        <w:noProof/>
                        <w:sz w:val="18"/>
                      </w:rPr>
                      <w:t>2</w:t>
                    </w:r>
                    <w:r w:rsidRPr="0055412A">
                      <w:rPr>
                        <w:sz w:val="18"/>
                      </w:rPr>
                      <w:fldChar w:fldCharType="end"/>
                    </w:r>
                  </w:p>
                </w:txbxContent>
              </v:textbox>
            </v:rect>
          </w:pict>
        </mc:Fallback>
      </mc:AlternateContent>
    </w:r>
    <w:r>
      <w:rPr>
        <w:noProof/>
        <w:lang w:eastAsia="zh-CN" w:bidi="th-TH"/>
      </w:rPr>
      <mc:AlternateContent>
        <mc:Choice Requires="wps">
          <w:drawing>
            <wp:anchor distT="0" distB="0" distL="114300" distR="114300" simplePos="0" relativeHeight="251659776" behindDoc="0" locked="0" layoutInCell="1" allowOverlap="1">
              <wp:simplePos x="0" y="0"/>
              <wp:positionH relativeFrom="page">
                <wp:posOffset>5192395</wp:posOffset>
              </wp:positionH>
              <wp:positionV relativeFrom="page">
                <wp:posOffset>350520</wp:posOffset>
              </wp:positionV>
              <wp:extent cx="2521585" cy="53975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539750"/>
                      </a:xfrm>
                      <a:prstGeom prst="rect">
                        <a:avLst/>
                      </a:prstGeom>
                      <a:solidFill>
                        <a:srgbClr val="FF99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51919">
                                  <a:alpha val="50000"/>
                                </a:srgbClr>
                              </a:outerShdw>
                            </a:effectLst>
                          </a14:hiddenEffects>
                        </a:ext>
                      </a:extLst>
                    </wps:spPr>
                    <wps:txbx>
                      <w:txbxContent>
                        <w:p w:rsidR="00DE5F50" w:rsidRPr="00E90EC2" w:rsidRDefault="00DE5F50" w:rsidP="005E2946">
                          <w:pPr>
                            <w:rPr>
                              <w:rFonts w:cs="Arial"/>
                              <w:b/>
                              <w:color w:val="FFFFFF"/>
                              <w:sz w:val="30"/>
                              <w:szCs w:val="30"/>
                            </w:rPr>
                          </w:pPr>
                          <w:r>
                            <w:rPr>
                              <w:rFonts w:cs="Arial"/>
                              <w:b/>
                              <w:color w:val="FFFFFF"/>
                              <w:sz w:val="30"/>
                              <w:szCs w:val="30"/>
                            </w:rPr>
                            <w:t>Comunicato Stampa</w:t>
                          </w:r>
                        </w:p>
                      </w:txbxContent>
                    </wps:txbx>
                    <wps:bodyPr rot="0" vert="horz" wrap="square" lIns="259200" tIns="180000" rIns="45000" bIns="45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408.85pt;margin-top:27.6pt;width:198.55pt;height:4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WLFwMAAGoGAAAOAAAAZHJzL2Uyb0RvYy54bWysVe9v0zAQ/Y7E/2D5e5YfTdokWobWrkFI&#10;AyYG4rObOI1FYgfbXToQ/zvnS7u18AUBmxT5ksvlvXf3rpev9n1HHrg2QsmChhcBJVxWqhZyW9BP&#10;H0svpcRYJmvWKckL+sgNfXX18sXlOOQ8Uq3qaq4JFJEmH4eCttYOue+bquU9Mxdq4BIeNkr3zEKo&#10;t36t2QjV+86PgmDuj0rXg1YVNwbu3kwP6RXWbxpe2fdNY7glXUEBm8WrxuvGXf2rS5ZvNRtaUR1g&#10;sL9A0TMh4aNPpW6YZWSnxW+lelFpZVRjLyrV+6ppRMWRA7AJg1/Y3Lds4MgFxDHDk0zm/5Wt3j3c&#10;aSLqgmaUSNZDiz6AaExuO04iJ884mByy7oc77Qia4VZVXwyRatVCFr/WWo0tZzWACl2+f/aCCwy8&#10;SjbjW1VDdbazCpXaN7p3BUEDsseGPD41hO8tqeBmlERhkiaUVPAsmWWLBDvms/z49qCNfc1VT9yh&#10;oBqwY3X2cGusQ8PyYwqiV52oS9F1GOjtZtVp8sBgOMoyy4JjdXOa1kmXLJV7bao43eE4XtNnWA6Q&#10;4egyHXhs/fcsjOJgGWVeOU8XXlzGiZctgtQLwmyZzYM4i2/KHw5uGOetqGsub4XkxzEM4z9r88EQ&#10;0wDhIJKxoLM0BDpI85SMOeMclfCPTYPGnqb1woItO9EXNA3c32QU1+e1rEEFllsmuunsn+NH0UGE&#10;cy2uyyRYxLPUWyySmRfP1oG3TMuVd70K5/PFerlarsNzLdaor/l3ORDIsVkuUDtgd9/WI6mFm5oo&#10;nWWwp2oBi2GWBvMgW1DCui1stMpqSrSyn4Vt0Y5uRl2NMyHnSZiF2TR43dCyaaSSo3AwhId01Obp&#10;85NSz8hOhDyQf9YSahxHDB3mTDWZ0+43e3Qw2s8ZbqPqR7AcwEZfwXqGQ6v0N0pGWHUFNV93THNK&#10;ujcSbBslGaxSWI4YhdhwII1R7EhQsjkNmKygWEEtiITHlZ026m7QYtvCt0KUQqprMHsj0IfPuICT&#10;C2ChIbvD8nUb8zTGrOefiKufAAAA//8DAFBLAwQUAAYACAAAACEAMAAMjeEAAAALAQAADwAAAGRy&#10;cy9kb3ducmV2LnhtbEyPTU/CQBCG7yb+h82YeDGybQMFa7fEEDnghS8Tr0t3bBu6s7W7QP33Die5&#10;zZt58n7k88G24oy9bxwpiEcRCKTSmYYqBZ/75fMMhA+ajG4doYJf9DAv7u9ynRl3oS2ed6ESbEI+&#10;0wrqELpMSl/WaLUfuQ6Jf9+utzqw7Ctpen1hc9vKJIpSaXVDnFDrDhc1lsfdyXJu+vKxeTrKxU/w&#10;6d5+Vd16+75S6vFheHsFEXAI/zBc63N1KLjTwZ3IeNEqmMXTKaMKJpMExBVI4jGPOfA1jhKQRS5v&#10;NxR/AAAA//8DAFBLAQItABQABgAIAAAAIQC2gziS/gAAAOEBAAATAAAAAAAAAAAAAAAAAAAAAABb&#10;Q29udGVudF9UeXBlc10ueG1sUEsBAi0AFAAGAAgAAAAhADj9If/WAAAAlAEAAAsAAAAAAAAAAAAA&#10;AAAALwEAAF9yZWxzLy5yZWxzUEsBAi0AFAAGAAgAAAAhAJNW1YsXAwAAagYAAA4AAAAAAAAAAAAA&#10;AAAALgIAAGRycy9lMm9Eb2MueG1sUEsBAi0AFAAGAAgAAAAhADAADI3hAAAACwEAAA8AAAAAAAAA&#10;AAAAAAAAcQUAAGRycy9kb3ducmV2LnhtbFBLBQYAAAAABAAEAPMAAAB/BgAAAAA=&#10;" fillcolor="#f90" stroked="f" strokecolor="#f2f2f2" strokeweight="3pt">
              <v:shadow color="#651919" opacity=".5" offset="1pt"/>
              <v:textbox inset="7.2mm,5mm,1.25mm,1.25mm">
                <w:txbxContent>
                  <w:p w:rsidR="00DE5F50" w:rsidRPr="00E90EC2" w:rsidRDefault="00DE5F50" w:rsidP="005E2946">
                    <w:pPr>
                      <w:rPr>
                        <w:rFonts w:cs="Arial"/>
                        <w:b/>
                        <w:color w:val="FFFFFF"/>
                        <w:sz w:val="30"/>
                        <w:szCs w:val="30"/>
                      </w:rPr>
                    </w:pPr>
                    <w:r>
                      <w:rPr>
                        <w:rFonts w:cs="Arial"/>
                        <w:b/>
                        <w:color w:val="FFFFFF"/>
                        <w:sz w:val="30"/>
                        <w:szCs w:val="30"/>
                      </w:rPr>
                      <w:t>Comunicato Stampa</w:t>
                    </w:r>
                  </w:p>
                </w:txbxContent>
              </v:textbox>
              <w10:wrap anchorx="page" anchory="page"/>
            </v:rect>
          </w:pict>
        </mc:Fallback>
      </mc:AlternateContent>
    </w:r>
    <w:r>
      <w:rPr>
        <w:noProof/>
        <w:lang w:eastAsia="zh-CN" w:bidi="th-TH"/>
      </w:rPr>
      <mc:AlternateContent>
        <mc:Choice Requires="wps">
          <w:drawing>
            <wp:anchor distT="4294967291" distB="4294967291" distL="114300" distR="114300" simplePos="0" relativeHeight="251657728" behindDoc="0" locked="0" layoutInCell="1" allowOverlap="1">
              <wp:simplePos x="0" y="0"/>
              <wp:positionH relativeFrom="column">
                <wp:posOffset>-1093470</wp:posOffset>
              </wp:positionH>
              <wp:positionV relativeFrom="paragraph">
                <wp:posOffset>-97791</wp:posOffset>
              </wp:positionV>
              <wp:extent cx="7579995" cy="0"/>
              <wp:effectExtent l="0" t="0" r="1905"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A817D7" id="_x0000_t32" coordsize="21600,21600" o:spt="32" o:oned="t" path="m,l21600,21600e" filled="f">
              <v:path arrowok="t" fillok="f" o:connecttype="none"/>
              <o:lock v:ext="edit" shapetype="t"/>
            </v:shapetype>
            <v:shape id="AutoShape 3" o:spid="_x0000_s1026" type="#_x0000_t32" style="position:absolute;margin-left:-86.1pt;margin-top:-7.7pt;width:596.8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r8sIgIAADwEAAAOAAAAZHJzL2Uyb0RvYy54bWysU8GO2jAQvVfqP1i5QxI2LCQirFYJ9LJt&#10;kXb7AcZ2EquObdmGgKr+e8cO0NJeqqoXx87MvHkzb2b1dOoFOjJjuZJllE6TCDFJFOWyLaMvb9vJ&#10;MkLWYUmxUJKV0ZnZ6Gn9/t1q0AWbqU4JygwCEGmLQZdR55wu4tiSjvXYTpVmEoyNMj128DRtTA0e&#10;AL0X8SxJHuNBGaqNIsxa+FuPxmgd8JuGEfe5aSxzSJQRcHPhNOHc+zNer3DRGqw7Ti408D+w6DGX&#10;kPQGVWOH0cHwP6B6ToyyqnFTovpYNQ0nLNQA1aTJb9W8dlizUAs0x+pbm+z/gyWfjjuDOC0jEEri&#10;HiR6PjgVMqMH355B2wK8KrkzvkBykq/6RZGvFklVdVi2LDi/nTXEpj4ivgvxD6shyX74qCj4YMAP&#10;vTo1pveQ0AV0CpKcb5Kwk0MEfi7mizzP5xEiV1uMi2ugNtZ9YKpH/lJG1hnM285VSkoQXpk0pMHH&#10;F+s8LVxcA3xWqbZciKC/kGgA7rNFkoQIqwSn3ur9rGn3lTDoiGGEtts8B6cR7c7NqIOkAa1jmG4u&#10;d4e5GO+QXUiPB5UBn8ttnJFveZJvlptlNslmj5tJltT15HlbZZPHbbqY1w91VdXpd08tzYqOU8qk&#10;Z3ed1zT7u3m4bM44abeJvfUhvkcPDQOy128gHaT1ao5zsVf0vDO+G15lGNHgfFknvwO/voPXz6Vf&#10;/wAAAP//AwBQSwMEFAAGAAgAAAAhAKp7dc/dAAAADQEAAA8AAABkcnMvZG93bnJldi54bWxMj01L&#10;xDAQhu+C/yGM4EV200bXj9p0EcGDeMpa72kzNsVmUpp0t/57UxD0Nh8P7zxT7hc3sCNOofckId9m&#10;wJBab3rqJNTvL5t7YCFqMnrwhBK+McC+Oj8rdWH8iRQeD7FjKYRCoSXYGMeC89BadDps/YiUdp9+&#10;cjqmduq4mfQphbuBiyy75U73lC5YPeKzxfbrMDsJr+Kt/rCKCx7UQ6OulysV6lnKy4vl6RFYxCX+&#10;wbDqJ3WoklPjZzKBDRI2+Z0QiV2r3Q2wFclEvgPW/I54VfL/X1Q/AAAA//8DAFBLAQItABQABgAI&#10;AAAAIQC2gziS/gAAAOEBAAATAAAAAAAAAAAAAAAAAAAAAABbQ29udGVudF9UeXBlc10ueG1sUEsB&#10;Ai0AFAAGAAgAAAAhADj9If/WAAAAlAEAAAsAAAAAAAAAAAAAAAAALwEAAF9yZWxzLy5yZWxzUEsB&#10;Ai0AFAAGAAgAAAAhAPXuvywiAgAAPAQAAA4AAAAAAAAAAAAAAAAALgIAAGRycy9lMm9Eb2MueG1s&#10;UEsBAi0AFAAGAAgAAAAhAKp7dc/dAAAADQEAAA8AAAAAAAAAAAAAAAAAfAQAAGRycy9kb3ducmV2&#10;LnhtbFBLBQYAAAAABAAEAPMAAACGBQAAAAA=&#10;" strokecolor="#f90" strokeweight="1pt"/>
          </w:pict>
        </mc:Fallback>
      </mc:AlternateContent>
    </w:r>
    <w:r>
      <w:rPr>
        <w:noProof/>
        <w:lang w:eastAsia="zh-CN" w:bidi="th-TH"/>
      </w:rPr>
      <mc:AlternateContent>
        <mc:Choice Requires="wps">
          <w:drawing>
            <wp:anchor distT="4294967291" distB="4294967291" distL="114300" distR="114300" simplePos="0" relativeHeight="251656704" behindDoc="0" locked="0" layoutInCell="1" allowOverlap="1">
              <wp:simplePos x="0" y="0"/>
              <wp:positionH relativeFrom="column">
                <wp:posOffset>-1093470</wp:posOffset>
              </wp:positionH>
              <wp:positionV relativeFrom="paragraph">
                <wp:posOffset>92709</wp:posOffset>
              </wp:positionV>
              <wp:extent cx="7579995" cy="0"/>
              <wp:effectExtent l="0" t="0" r="1905"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5C2EC" id="AutoShape 4" o:spid="_x0000_s1026" type="#_x0000_t32" style="position:absolute;margin-left:-86.1pt;margin-top:7.3pt;width:596.85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6KzIgIAADwEAAAOAAAAZHJzL2Uyb0RvYy54bWysU8GO2jAQvVfqP1i+QxIaFhIRVqsEetl2&#10;kXb7AcZ2EquJbdmGgKr+e8cO0NJeqqoXx87MvHkz82b1eOo7dOTGCiULnExjjLikignZFPjL23ay&#10;xMg6IhnplOQFPnOLH9fv360GnfOZalXHuEEAIm0+6AK3zuk8iixteU/sVGkuwVgr0xMHT9NEzJAB&#10;0PsumsXxQzQow7RRlFsLf6vRiNcBv645dS91bblDXYGBmwunCefen9F6RfLGEN0KeqFB/oFFT4SE&#10;pDeoijiCDkb8AdULapRVtZtS1UeqrgXloQaoJol/q+a1JZqHWqA5Vt/aZP8fLP183BkkWIEXGEnS&#10;w4ieDk6FzCj17Rm0zcGrlDvjC6Qn+aqfFf1qkVRlS2TDg/PbWUNs4iOiuxD/sBqS7IdPioEPAfzQ&#10;q1Nteg8JXUCnMJLzbST85BCFn4v5IsuyOUb0aotIfg3UxrqPXPXIXwpsnSGiaV2ppITBK5OENOT4&#10;bJ2nRfJrgM8q1VZ0XZh/J9EA3GeLOA4RVnWCeav3s6bZl51BRwIS2m6zDJxGtDs3ow6SBbSWE7a5&#10;3B0R3XiH7J30eFAZ8LncRo18y+Jss9ws00k6e9hM0riqJk/bMp08bJPFvPpQlWWVfPfUkjRvBWNc&#10;enZXvSbp3+nhsjmj0m6KvfUhukcPDQOy128gHUbrpznqYq/YeWd8N/yUQaLB+bJOfgd+fQevn0u/&#10;/gEAAP//AwBQSwMEFAAGAAgAAAAhAPe99JDdAAAACwEAAA8AAABkcnMvZG93bnJldi54bWxMj8FO&#10;wzAMhu9IvENkJC5oSxtgG6XphJA4IE4Z5Z42pqlonKpJt/L2ZOIAR/v/9PtzuV/cwI44hd6ThHyd&#10;AUNqvempk1C/v6x2wELUZPTgCSV8Y4B9dXlR6sL4Eyk8HmLHUgmFQkuwMY4F56G16HRY+xEpZZ9+&#10;cjqmceq4mfQplbuBiyzbcKd7ShesHvHZYvt1mJ2EV/FWf1jFBQ/qoVG3y40K9Szl9dXy9Ags4hL/&#10;YDjrJ3WoklPjZzKBDRJW+VaIxKbkbgPsTGQivwfW/G54VfL/P1Q/AAAA//8DAFBLAQItABQABgAI&#10;AAAAIQC2gziS/gAAAOEBAAATAAAAAAAAAAAAAAAAAAAAAABbQ29udGVudF9UeXBlc10ueG1sUEsB&#10;Ai0AFAAGAAgAAAAhADj9If/WAAAAlAEAAAsAAAAAAAAAAAAAAAAALwEAAF9yZWxzLy5yZWxzUEsB&#10;Ai0AFAAGAAgAAAAhALLPorMiAgAAPAQAAA4AAAAAAAAAAAAAAAAALgIAAGRycy9lMm9Eb2MueG1s&#10;UEsBAi0AFAAGAAgAAAAhAPe99JDdAAAACwEAAA8AAAAAAAAAAAAAAAAAfAQAAGRycy9kb3ducmV2&#10;LnhtbFBLBQYAAAAABAAEAPMAAACGBQAAAAA=&#10;" strokecolor="#f90"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F50" w:rsidRPr="0036108C" w:rsidRDefault="009F6C9F">
    <w:pPr>
      <w:pStyle w:val="Intestazione"/>
      <w:rPr>
        <w:lang w:val="en-US"/>
      </w:rPr>
    </w:pPr>
    <w:r>
      <w:rPr>
        <w:noProof/>
        <w:lang w:eastAsia="zh-CN" w:bidi="th-TH"/>
      </w:rPr>
      <mc:AlternateContent>
        <mc:Choice Requires="wps">
          <w:drawing>
            <wp:anchor distT="4294967291" distB="4294967291" distL="114300" distR="114300" simplePos="0" relativeHeight="251660800" behindDoc="0" locked="0" layoutInCell="1" allowOverlap="1">
              <wp:simplePos x="0" y="0"/>
              <wp:positionH relativeFrom="column">
                <wp:posOffset>-1093470</wp:posOffset>
              </wp:positionH>
              <wp:positionV relativeFrom="paragraph">
                <wp:posOffset>1412874</wp:posOffset>
              </wp:positionV>
              <wp:extent cx="7579995" cy="0"/>
              <wp:effectExtent l="0" t="0" r="1905"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512B19" id="_x0000_t32" coordsize="21600,21600" o:spt="32" o:oned="t" path="m,l21600,21600e" filled="f">
              <v:path arrowok="t" fillok="f" o:connecttype="none"/>
              <o:lock v:ext="edit" shapetype="t"/>
            </v:shapetype>
            <v:shape id="AutoShape 6" o:spid="_x0000_s1026" type="#_x0000_t32" style="position:absolute;margin-left:-86.1pt;margin-top:111.25pt;width:596.85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HEIwIAADwEAAAOAAAAZHJzL2Uyb0RvYy54bWysU02PmzAQvVfqf7B8zwIp+QCFrFaQ9LLt&#10;RtrtD3BsA1bBtmwnJKr63zs2Sdq0l6rqxdjMzJs3M29Wj6e+Q0durFCywMlDjBGXVDEhmwJ/edtO&#10;lhhZRyQjnZK8wGdu8eP6/bvVoHM+Va3qGDcIQKTNB13g1jmdR5GlLe+JfVCaSzDWyvTEwdM0ETNk&#10;APS+i6ZxPI8GZZg2inJr4W81GvE64Nc1p+6lri13qCswcHPhNOHc+zNar0jeGKJbQS80yD+w6ImQ&#10;kPQGVRFH0MGIP6B6QY2yqnYPVPWRqmtBeagBqkni36p5bYnmoRZojtW3Ntn/B0s/H3cGCVbgFCNJ&#10;ehjR08GpkBnNfXsGbXPwKuXO+ALpSb7qZ0W/WiRV2RLZ8OD8dtYQm/iI6C7EP6yGJPvhk2LgQwA/&#10;9OpUm95DQhfQKYzkfBsJPzlE4editsiybIYRvdoikl8DtbHuI1c98pcCW2eIaFpXKilh8MokIQ05&#10;PlvnaZH8GuCzSrUVXRfm30k0APfpIo5DhFWdYN7q/axp9mVn0JGAhLbbLAOnEe3OzaiDZAGt5YRt&#10;LndHRDfeIXsnPR5UBnwut1Ej37I42yw3y3SSTuebSRpX1eRpW6aT+TZZzKoPVVlWyXdPLUnzVjDG&#10;pWd31WuS/p0eLpszKu2m2Fsfonv00DAge/0G0mG0fpqjLvaKnXfGd8NPGSQanC/r5Hfg13fw+rn0&#10;6x8AAAD//wMAUEsDBBQABgAIAAAAIQBHqSbg3QAAAA0BAAAPAAAAZHJzL2Rvd25yZXYueG1sTI/L&#10;asMwEEX3hfyDmEA3JZGt0pdrOYRAF6Urpe5etqaWqTUylpy4f18FCu1uHoc7Z8rd4gZ2win0niTk&#10;2wwYUutNT52E+v1l8wgsRE1GD55QwjcG2FWrq1IXxp9J4ekYO5ZCKBRago1xLDgPrUWnw9aPSGn3&#10;6SenY2qnjptJn1O4G7jIsnvudE/pgtUjHiy2X8fZSXgVb/WHVVzwoJ4adbvcqFDPUl6vl/0zsIhL&#10;/IPhop/UoUpOjZ/JBDZI2OQPQiRWghDiDtgFyUSequZ3xKuS//+i+gEAAP//AwBQSwECLQAUAAYA&#10;CAAAACEAtoM4kv4AAADhAQAAEwAAAAAAAAAAAAAAAAAAAAAAW0NvbnRlbnRfVHlwZXNdLnhtbFBL&#10;AQItABQABgAIAAAAIQA4/SH/1gAAAJQBAAALAAAAAAAAAAAAAAAAAC8BAABfcmVscy8ucmVsc1BL&#10;AQItABQABgAIAAAAIQDIENHEIwIAADwEAAAOAAAAAAAAAAAAAAAAAC4CAABkcnMvZTJvRG9jLnht&#10;bFBLAQItABQABgAIAAAAIQBHqSbg3QAAAA0BAAAPAAAAAAAAAAAAAAAAAH0EAABkcnMvZG93bnJl&#10;di54bWxQSwUGAAAAAAQABADzAAAAhwUAAAAA&#10;" strokecolor="#f90" strokeweight="1pt"/>
          </w:pict>
        </mc:Fallback>
      </mc:AlternateContent>
    </w:r>
    <w:r>
      <w:rPr>
        <w:noProof/>
        <w:lang w:eastAsia="zh-CN" w:bidi="th-TH"/>
      </w:rPr>
      <mc:AlternateContent>
        <mc:Choice Requires="wps">
          <w:drawing>
            <wp:anchor distT="4294967291" distB="4294967291" distL="114300" distR="114300" simplePos="0" relativeHeight="251658752" behindDoc="0" locked="0" layoutInCell="1" allowOverlap="1">
              <wp:simplePos x="0" y="0"/>
              <wp:positionH relativeFrom="column">
                <wp:posOffset>-1080135</wp:posOffset>
              </wp:positionH>
              <wp:positionV relativeFrom="paragraph">
                <wp:posOffset>142874</wp:posOffset>
              </wp:positionV>
              <wp:extent cx="7579995" cy="0"/>
              <wp:effectExtent l="0" t="0" r="1905"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D74E4" id="AutoShape 7" o:spid="_x0000_s1026" type="#_x0000_t32" style="position:absolute;margin-left:-85.05pt;margin-top:11.25pt;width:596.8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BEHwIAADwEAAAOAAAAZHJzL2Uyb0RvYy54bWysU82O2jAQvlfqO1i+QxIWFogIq1UCvWxb&#10;pN0+gLGdxKpjW7YhoKrv3rEhiG0vVdUcnLFn5ptv/lZPp06iI7dOaFXgbJxixBXVTKimwN/etqMF&#10;Rs4TxYjUihf4zB1+Wn/8sOpNzie61ZJxiwBEubw3BW69N3mSONryjrixNlyBsta2Ix6utkmYJT2g&#10;dzKZpOlj0mvLjNWUOwev1UWJ1xG/rjn1X+vacY9kgYGbj6eN5z6cyXpF8sYS0wp6pUH+gUVHhIKg&#10;N6iKeIIOVvwB1QlqtdO1H1PdJbquBeUxB8gmS3/L5rUlhsdcoDjO3Mrk/h8s/XLcWSRYgR8wUqSD&#10;Fj0fvI6R0TyUpzcuB6tS7WxIkJ7Uq3nR9LtDSpctUQ2Pxm9nA75Z8EjeuYSLMxBk33/WDGwI4Mda&#10;nWrbBUioAjrFlpxvLeEnjyg8zmfz5XI5w4gOuoTkg6Oxzn/iukNBKLDzloim9aVWChqvbRbDkOOL&#10;84EWyQeHEFXprZAy9l8q1AP3yTxNo4fTUrCgDXbONvtSWnQkMELb+MUkQXNvZvVBsYjWcsI2V9kT&#10;IS8yRJcq4EFmwOcqXWbkxzJdbhabxXQ0nTxuRtO0qkbP23I6etxm81n1UJVllf0M1LJp3grGuArs&#10;hnnNpn83D9fNuUzabWJvdUjeo8eCAdnhH0nH1oZuXuZir9l5Z4eWw4hG4+s6hR24v4N8v/TrXwAA&#10;AP//AwBQSwMEFAAGAAgAAAAhAGuxuYHeAAAACwEAAA8AAABkcnMvZG93bnJldi54bWxMj0FqwzAQ&#10;RfeF3kFMobtEsk2T4lgOIdBFFw3E7QEUa2qZWCMjKY5z+yp00S5n5vHn/Wo724FN6EPvSEK2FMCQ&#10;Wqd76iR8fb4tXoGFqEirwRFKuGGAbf34UKlSuysdcWpix1IIhVJJMDGOJeehNWhVWLoRKd2+nbcq&#10;ptF3XHt1TeF24LkQK25VT+mDUSPuDbbn5mIliGLXNIemWB/fp4P54O2Nk99L+fw07zbAIs7xD4a7&#10;flKHOjmd3IV0YIOERbYWWWIl5PkLsDsh8mIF7PS74XXF/3eofwAAAP//AwBQSwECLQAUAAYACAAA&#10;ACEAtoM4kv4AAADhAQAAEwAAAAAAAAAAAAAAAAAAAAAAW0NvbnRlbnRfVHlwZXNdLnhtbFBLAQIt&#10;ABQABgAIAAAAIQA4/SH/1gAAAJQBAAALAAAAAAAAAAAAAAAAAC8BAABfcmVscy8ucmVsc1BLAQIt&#10;ABQABgAIAAAAIQBi3nBEHwIAADwEAAAOAAAAAAAAAAAAAAAAAC4CAABkcnMvZTJvRG9jLnhtbFBL&#10;AQItABQABgAIAAAAIQBrsbmB3gAAAAsBAAAPAAAAAAAAAAAAAAAAAHkEAABkcnMvZG93bnJldi54&#10;bWxQSwUGAAAAAAQABADzAAAAhAUAAAAA&#10;" strokecolor="white" strokeweight="1pt"/>
          </w:pict>
        </mc:Fallback>
      </mc:AlternateContent>
    </w:r>
    <w:r>
      <w:rPr>
        <w:noProof/>
        <w:lang w:eastAsia="zh-CN" w:bidi="th-TH"/>
      </w:rPr>
      <mc:AlternateContent>
        <mc:Choice Requires="wps">
          <w:drawing>
            <wp:anchor distT="0" distB="0" distL="114300" distR="114300" simplePos="0" relativeHeight="251653632" behindDoc="0" locked="0" layoutInCell="1" allowOverlap="1">
              <wp:simplePos x="0" y="0"/>
              <wp:positionH relativeFrom="page">
                <wp:posOffset>5039995</wp:posOffset>
              </wp:positionH>
              <wp:positionV relativeFrom="page">
                <wp:posOffset>607695</wp:posOffset>
              </wp:positionV>
              <wp:extent cx="2521585" cy="125984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984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713BA" id="Rectangle 10" o:spid="_x0000_s1026" style="position:absolute;margin-left:396.85pt;margin-top:47.85pt;width:198.55pt;height:99.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P+gAIAAP0EAAAOAAAAZHJzL2Uyb0RvYy54bWysVNuO0zAQfUfiHyy/d3PZpNtEm672QhHS&#10;AisWPsC1ncbCsY3tNt1F/Dtjp+22wANC9MH1ZMbjc87M+PJq20u04dYJrRqcnaUYcUU1E2rV4C+f&#10;F5MZRs4TxYjUijf4iTt8NX/96nIwNc91pyXjFkES5erBNLjz3tRJ4mjHe+LOtOEKnK22PfFg2lXC&#10;LBkgey+TPE2nyaAtM1ZT7hx8vRudeB7zty2n/mPbOu6RbDBg83G1cV2GNZlfknpliekE3cEg/4Ci&#10;J0LBpYdUd8QTtLbit1S9oFY73fozqvtEt62gPHIANln6C5vHjhgeuYA4zhxkcv8vLf2webBIsAZP&#10;MVKkhxJ9AtGIWkmOsqjPYFwNYY/mwQaGztxr+tUhpW87COPX1uqh44QBqizomZwcCIaDo2g5vNcM&#10;0pO111GqbWv7kBBEQNtYkadDRfjWIwof8zLPylmJEQVflpfVrIiYElLvjxvr/FuuexQ2DbaAPqYn&#10;m3vnAxxS70MifC0FWwgpo2FXy1tp0YaE9kjPz6fTyABYHodJFYKVDsfGjOMXQAl3BF/AG8v9vcry&#10;Ir3Jq8liOruYFIuinFQX6WySZtVNNU2Lqrhb/AgAs6LuBGNc3QvF962XFX9X2t0QjE0Tmw8NDa7K&#10;vIzcT9C7U5Ip/P5EshceJlGKvsGzELObjVDZN4rFOfFEyHGfnMKPKoMG+/+oSuyDUPowjK5eavYE&#10;bWA1FAkmEd4M2HTaPmM0wPw12H1bE8sxku8UtFKVFVBq5KNRlBc5GPbYszz2EEUhVYM9RuP21o9D&#10;vjZWrDq4KYvCKH0N7deK2BgvqHZNCzMWGezegzDEx3aMenm15j8BAAD//wMAUEsDBBQABgAIAAAA&#10;IQAgliWT4wAAAAsBAAAPAAAAZHJzL2Rvd25yZXYueG1sTI/BSsNAEIbvgu+wjOBF7CZVWxMzKUXJ&#10;RahoqkJv2+yYBLOzIbtt4tu7PelpGObjn+/PVpPpxJEG11pGiGcRCOLK6pZrhPdtcX0PwnnFWnWW&#10;CeGHHKzy87NMpdqO/EbH0tcihLBLFULjfZ9K6aqGjHIz2xOH25cdjPJhHWqpBzWGcNPJeRQtpFEt&#10;hw+N6umxoeq7PBiEbfG8G1+SxWbXXn08vdbF5rNca8TLi2n9AMLT5P9gOOkHdciD094eWDvRISyT&#10;m2VAEZK7ME9AnEShzB5hntzGIPNM/u+Q/wIAAP//AwBQSwECLQAUAAYACAAAACEAtoM4kv4AAADh&#10;AQAAEwAAAAAAAAAAAAAAAAAAAAAAW0NvbnRlbnRfVHlwZXNdLnhtbFBLAQItABQABgAIAAAAIQA4&#10;/SH/1gAAAJQBAAALAAAAAAAAAAAAAAAAAC8BAABfcmVscy8ucmVsc1BLAQItABQABgAIAAAAIQCU&#10;QXP+gAIAAP0EAAAOAAAAAAAAAAAAAAAAAC4CAABkcnMvZTJvRG9jLnhtbFBLAQItABQABgAIAAAA&#10;IQAgliWT4wAAAAsBAAAPAAAAAAAAAAAAAAAAANoEAABkcnMvZG93bnJldi54bWxQSwUGAAAAAAQA&#10;BADzAAAA6gUAAAAA&#10;" fillcolor="#036" stroked="f">
              <w10:wrap anchorx="page" anchory="page"/>
            </v:rect>
          </w:pict>
        </mc:Fallback>
      </mc:AlternateContent>
    </w:r>
    <w:r>
      <w:rPr>
        <w:noProof/>
        <w:lang w:eastAsia="zh-CN" w:bidi="th-TH"/>
      </w:rPr>
      <mc:AlternateContent>
        <mc:Choice Requires="wps">
          <w:drawing>
            <wp:anchor distT="0" distB="0" distL="114300" distR="114300" simplePos="0" relativeHeight="251662848" behindDoc="0" locked="1" layoutInCell="1" allowOverlap="1">
              <wp:simplePos x="0" y="0"/>
              <wp:positionH relativeFrom="page">
                <wp:posOffset>5229225</wp:posOffset>
              </wp:positionH>
              <wp:positionV relativeFrom="page">
                <wp:posOffset>2141855</wp:posOffset>
              </wp:positionV>
              <wp:extent cx="2000250" cy="63912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39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F50" w:rsidRPr="00651BA7" w:rsidRDefault="009F6C9F" w:rsidP="005E2946">
                          <w:r>
                            <w:rPr>
                              <w:noProof/>
                              <w:lang w:eastAsia="zh-CN" w:bidi="th-TH"/>
                            </w:rPr>
                            <w:drawing>
                              <wp:inline distT="0" distB="0" distL="0" distR="0">
                                <wp:extent cx="1784350" cy="114300"/>
                                <wp:effectExtent l="0" t="0" r="0" b="0"/>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r="45009" b="48810"/>
                                        <a:stretch>
                                          <a:fillRect/>
                                        </a:stretch>
                                      </pic:blipFill>
                                      <pic:spPr bwMode="auto">
                                        <a:xfrm>
                                          <a:off x="0" y="0"/>
                                          <a:ext cx="1784350" cy="114300"/>
                                        </a:xfrm>
                                        <a:prstGeom prst="rect">
                                          <a:avLst/>
                                        </a:prstGeom>
                                        <a:noFill/>
                                        <a:ln>
                                          <a:noFill/>
                                        </a:ln>
                                      </pic:spPr>
                                    </pic:pic>
                                  </a:graphicData>
                                </a:graphic>
                              </wp:inline>
                            </w:drawing>
                          </w:r>
                        </w:p>
                        <w:p w:rsidR="00DE5F50" w:rsidRDefault="009F6C9F" w:rsidP="005E2946">
                          <w:pPr>
                            <w:ind w:left="42"/>
                            <w:rPr>
                              <w:b/>
                              <w:color w:val="003366"/>
                            </w:rPr>
                          </w:pPr>
                          <w:r w:rsidRPr="0067598B">
                            <w:rPr>
                              <w:rFonts w:eastAsia="BISans" w:cs="Angsana New"/>
                              <w:noProof/>
                              <w:lang w:eastAsia="zh-CN" w:bidi="th-TH"/>
                            </w:rPr>
                            <w:drawing>
                              <wp:inline distT="0" distB="0" distL="0" distR="0">
                                <wp:extent cx="1790700" cy="1200150"/>
                                <wp:effectExtent l="0" t="0" r="0" b="0"/>
                                <wp:docPr id="1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1200150"/>
                                        </a:xfrm>
                                        <a:prstGeom prst="rect">
                                          <a:avLst/>
                                        </a:prstGeom>
                                        <a:noFill/>
                                        <a:ln>
                                          <a:noFill/>
                                        </a:ln>
                                      </pic:spPr>
                                    </pic:pic>
                                  </a:graphicData>
                                </a:graphic>
                              </wp:inline>
                            </w:drawing>
                          </w:r>
                        </w:p>
                        <w:p w:rsidR="00DE5F50" w:rsidRPr="00956D7E" w:rsidRDefault="00DE5F50" w:rsidP="00A75E18">
                          <w:pPr>
                            <w:spacing w:after="0" w:line="240" w:lineRule="auto"/>
                            <w:rPr>
                              <w:b/>
                              <w:color w:val="003366"/>
                            </w:rPr>
                          </w:pPr>
                          <w:r w:rsidRPr="00956D7E">
                            <w:rPr>
                              <w:b/>
                              <w:color w:val="003366"/>
                            </w:rPr>
                            <w:t>Contatti:</w:t>
                          </w:r>
                        </w:p>
                        <w:p w:rsidR="00DE5F50" w:rsidRPr="00956D7E" w:rsidRDefault="00DE5F50" w:rsidP="00A75E18">
                          <w:pPr>
                            <w:spacing w:after="0" w:line="240" w:lineRule="auto"/>
                            <w:rPr>
                              <w:b/>
                              <w:color w:val="003366"/>
                            </w:rPr>
                          </w:pPr>
                          <w:r w:rsidRPr="00956D7E">
                            <w:rPr>
                              <w:b/>
                              <w:color w:val="003366"/>
                            </w:rPr>
                            <w:t>Boehringer Ingelheim</w:t>
                          </w:r>
                        </w:p>
                        <w:p w:rsidR="00DE5F50" w:rsidRPr="00197380" w:rsidRDefault="00DE5F50" w:rsidP="00A75E18">
                          <w:pPr>
                            <w:spacing w:after="0" w:line="240" w:lineRule="auto"/>
                            <w:rPr>
                              <w:b/>
                              <w:color w:val="003366"/>
                            </w:rPr>
                          </w:pPr>
                          <w:r w:rsidRPr="00197380">
                            <w:rPr>
                              <w:b/>
                              <w:color w:val="003366"/>
                            </w:rPr>
                            <w:t>Comunicazione:</w:t>
                          </w:r>
                        </w:p>
                        <w:p w:rsidR="00DE5F50" w:rsidRPr="00956D7E" w:rsidRDefault="00DE5F50" w:rsidP="00A75E18">
                          <w:pPr>
                            <w:pStyle w:val="Intestazione"/>
                            <w:rPr>
                              <w:b/>
                              <w:color w:val="1F497D"/>
                            </w:rPr>
                          </w:pPr>
                        </w:p>
                        <w:p w:rsidR="00DE5F50" w:rsidRPr="00956D7E" w:rsidRDefault="00DE5F50" w:rsidP="00A75E18">
                          <w:pPr>
                            <w:pStyle w:val="Intestazione"/>
                            <w:jc w:val="both"/>
                          </w:pPr>
                          <w:r w:rsidRPr="00956D7E">
                            <w:t>Marina Guffanti</w:t>
                          </w:r>
                        </w:p>
                        <w:p w:rsidR="00DE5F50" w:rsidRPr="00956D7E" w:rsidRDefault="00DE5F50" w:rsidP="00A75E18">
                          <w:pPr>
                            <w:pStyle w:val="Intestazione"/>
                            <w:jc w:val="both"/>
                            <w:rPr>
                              <w:lang w:val="en-US"/>
                            </w:rPr>
                          </w:pPr>
                          <w:r w:rsidRPr="00956D7E">
                            <w:rPr>
                              <w:lang w:val="en-US"/>
                            </w:rPr>
                            <w:t>Phone: + 39 – 02 5355453</w:t>
                          </w:r>
                        </w:p>
                        <w:p w:rsidR="00DE5F50" w:rsidRPr="00956D7E" w:rsidRDefault="00DE5F50" w:rsidP="00A75E18">
                          <w:pPr>
                            <w:pStyle w:val="Intestazione"/>
                            <w:jc w:val="both"/>
                            <w:rPr>
                              <w:lang w:val="en-US"/>
                            </w:rPr>
                          </w:pPr>
                          <w:r w:rsidRPr="00956D7E">
                            <w:rPr>
                              <w:lang w:val="en-US"/>
                            </w:rPr>
                            <w:t>Cell. +39 348 3995284</w:t>
                          </w:r>
                        </w:p>
                        <w:p w:rsidR="00DE5F50" w:rsidRPr="00956D7E" w:rsidRDefault="00DE5F50" w:rsidP="00A75E18">
                          <w:pPr>
                            <w:pStyle w:val="Intestazione"/>
                            <w:jc w:val="both"/>
                            <w:rPr>
                              <w:lang w:val="en-US"/>
                            </w:rPr>
                          </w:pPr>
                          <w:r w:rsidRPr="00956D7E">
                            <w:rPr>
                              <w:lang w:val="en-US"/>
                            </w:rPr>
                            <w:t>e- mail:</w:t>
                          </w:r>
                        </w:p>
                        <w:p w:rsidR="00DE5F50" w:rsidRDefault="00B574A0" w:rsidP="00A75E18">
                          <w:pPr>
                            <w:spacing w:after="0" w:line="240" w:lineRule="auto"/>
                            <w:rPr>
                              <w:lang w:val="en-US"/>
                            </w:rPr>
                          </w:pPr>
                          <w:hyperlink r:id="rId3" w:history="1">
                            <w:r w:rsidR="00DE5F50" w:rsidRPr="009D1A01">
                              <w:rPr>
                                <w:rStyle w:val="Collegamentoipertestuale"/>
                                <w:lang w:val="en-US"/>
                              </w:rPr>
                              <w:t>marina.guffanti@boehringer-ingelheim.com</w:t>
                            </w:r>
                          </w:hyperlink>
                        </w:p>
                        <w:p w:rsidR="00DE5F50" w:rsidRPr="00956D7E" w:rsidRDefault="00DE5F50" w:rsidP="00A75E18">
                          <w:pPr>
                            <w:spacing w:after="0" w:line="240" w:lineRule="auto"/>
                            <w:rPr>
                              <w:lang w:val="en-US"/>
                            </w:rPr>
                          </w:pPr>
                        </w:p>
                        <w:p w:rsidR="00DE5F50" w:rsidRDefault="009F6C9F" w:rsidP="005E2946">
                          <w:r>
                            <w:rPr>
                              <w:noProof/>
                              <w:lang w:eastAsia="zh-CN" w:bidi="th-TH"/>
                            </w:rPr>
                            <w:drawing>
                              <wp:inline distT="0" distB="0" distL="0" distR="0">
                                <wp:extent cx="1797050" cy="114300"/>
                                <wp:effectExtent l="0" t="0" r="0" b="0"/>
                                <wp:docPr id="1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r="45009" b="48810"/>
                                        <a:stretch>
                                          <a:fillRect/>
                                        </a:stretch>
                                      </pic:blipFill>
                                      <pic:spPr bwMode="auto">
                                        <a:xfrm>
                                          <a:off x="0" y="0"/>
                                          <a:ext cx="1797050" cy="114300"/>
                                        </a:xfrm>
                                        <a:prstGeom prst="rect">
                                          <a:avLst/>
                                        </a:prstGeom>
                                        <a:noFill/>
                                        <a:ln>
                                          <a:noFill/>
                                        </a:ln>
                                      </pic:spPr>
                                    </pic:pic>
                                  </a:graphicData>
                                </a:graphic>
                              </wp:inline>
                            </w:drawing>
                          </w:r>
                          <w:r>
                            <w:rPr>
                              <w:noProof/>
                              <w:lang w:eastAsia="zh-CN" w:bidi="th-TH"/>
                            </w:rPr>
                            <w:drawing>
                              <wp:inline distT="0" distB="0" distL="0" distR="0">
                                <wp:extent cx="1803400" cy="1187450"/>
                                <wp:effectExtent l="0" t="0" r="0" b="0"/>
                                <wp:docPr id="12" name="Picture 62" descr="Home-Pg-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ome-Pg-3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3400" cy="1187450"/>
                                        </a:xfrm>
                                        <a:prstGeom prst="rect">
                                          <a:avLst/>
                                        </a:prstGeom>
                                        <a:noFill/>
                                        <a:ln>
                                          <a:noFill/>
                                        </a:ln>
                                      </pic:spPr>
                                    </pic:pic>
                                  </a:graphicData>
                                </a:graphic>
                              </wp:inline>
                            </w:drawing>
                          </w:r>
                        </w:p>
                        <w:p w:rsidR="00DE5F50" w:rsidRPr="00324A83" w:rsidRDefault="00DE5F50" w:rsidP="005E2946">
                          <w:pPr>
                            <w:rPr>
                              <w:b/>
                              <w:color w:val="003366"/>
                            </w:rPr>
                          </w:pPr>
                          <w:r w:rsidRPr="00324A83">
                            <w:rPr>
                              <w:b/>
                              <w:color w:val="003366"/>
                            </w:rPr>
                            <w:t>Per maggiori informazioni</w:t>
                          </w:r>
                        </w:p>
                        <w:p w:rsidR="00DE5F50" w:rsidRPr="00324A83" w:rsidRDefault="00B574A0" w:rsidP="005E2946">
                          <w:pPr>
                            <w:spacing w:after="120"/>
                            <w:ind w:left="42"/>
                          </w:pPr>
                          <w:hyperlink r:id="rId5" w:history="1">
                            <w:r w:rsidR="00DE5F50" w:rsidRPr="00324A83">
                              <w:rPr>
                                <w:rStyle w:val="Collegamentoipertestuale"/>
                              </w:rPr>
                              <w:t>www.boehringer-ingelheim.com</w:t>
                            </w:r>
                          </w:hyperlink>
                        </w:p>
                        <w:p w:rsidR="00DE5F50" w:rsidRPr="002C4B3E" w:rsidRDefault="009F6C9F" w:rsidP="005E2946">
                          <w:r>
                            <w:rPr>
                              <w:noProof/>
                              <w:lang w:eastAsia="zh-CN" w:bidi="th-TH"/>
                            </w:rPr>
                            <w:drawing>
                              <wp:inline distT="0" distB="0" distL="0" distR="0">
                                <wp:extent cx="1784350" cy="36830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4350" cy="368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11.75pt;margin-top:168.65pt;width:157.5pt;height:503.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7zIhgIAABcFAAAOAAAAZHJzL2Uyb0RvYy54bWysVNuO0zAQfUfiHyy/d3MhaZto0xW7SxHS&#10;cpF2+QDXdhoLxza222RB/Dtjpy1lAQkh8uDYnvH4zJwzvrwae4n23DqhVYOzixQjrqhmQm0b/PFh&#10;PVti5DxRjEiteIMfucNXq+fPLgdT81x3WjJuEQRRrh5MgzvvTZ0kjna8J+5CG67A2GrbEw9Lu02Y&#10;JQNE72WSp+k8GbRlxmrKnYPd28mIVzF+23Lq37et4x7JBgM2H0cbx00Yk9UlqbeWmE7QAwzyDyh6&#10;IhRcegp1SzxBOyt+CdULarXTrb+guk902wrKYw6QTZY+yea+I4bHXKA4zpzK5P5fWPpu/8EiwRpc&#10;YqRIDxQ98NGjaz2iMlRnMK4Gp3sDbn6EbWA5ZurMnaafHFL6piNqy19aq4eOEwbosnAyOTs6xXEh&#10;yGZ4qxlcQ3Zex0Bja/tQOigGgujA0uOJmQCFwiZQneYlmCjY5i+qLF9EdAmpj8eNdf411z0KkwZb&#10;oD6GJ/s75wMcUh9dwm1OS8HWQsq4sNvNjbRoT0Am6/jFDJ64SRWclQ7HpojTDqCEO4It4I20fwWI&#10;RXqdV7P1fLmYFeuinFWLdDlLs+q6mqdFVdyuvwWAWVF3gjGu7oTiRwlmxd9RfGiGSTxRhGhocFXm&#10;5cTRH5OEesL3uyR74aEjpegbvDw5kTow+0oxSJvUngg5zZOf4ccqQw2O/1iVqINA/SQCP27GKLj8&#10;KK+NZo8gDKuBNqAYXhOYdNp+wWiAzmyw+7wjlmMk3ygQV5UVRWjluCjKRQ4Le27ZnFuIohCqwR6j&#10;aXrjp/bfGSu2Hdw0yVnplyDIVkSpBOVOqA4yhu6LOR1eitDe5+vo9eM9W30HAAD//wMAUEsDBBQA&#10;BgAIAAAAIQAJC2Me4AAAAA0BAAAPAAAAZHJzL2Rvd25yZXYueG1sTI/PboJAEIfvTfoOm2nSS1MX&#10;XRWKLKZt0qZXrQ8wwAhEdpewq+DbdzzV2/z58ptvsu1kOnGhwbfOapjPIhBkS1e1ttZw+P16TUD4&#10;gLbCzlnScCUP2/zxIcO0cqPd0WUfasEh1qeooQmhT6X0ZUMG/cz1ZHl3dIPBwO1Qy2rAkcNNJxdR&#10;tJYGW8sXGuzps6HytD8bDcef8WX1Nhbf4RDvlusPbOPCXbV+fpreNyACTeEfhps+q0POToU728qL&#10;TkOyUCtGNSgVKxA3Yq4SHhVcqaVKQOaZvP8i/wMAAP//AwBQSwECLQAUAAYACAAAACEAtoM4kv4A&#10;AADhAQAAEwAAAAAAAAAAAAAAAAAAAAAAW0NvbnRlbnRfVHlwZXNdLnhtbFBLAQItABQABgAIAAAA&#10;IQA4/SH/1gAAAJQBAAALAAAAAAAAAAAAAAAAAC8BAABfcmVscy8ucmVsc1BLAQItABQABgAIAAAA&#10;IQAFR7zIhgIAABcFAAAOAAAAAAAAAAAAAAAAAC4CAABkcnMvZTJvRG9jLnhtbFBLAQItABQABgAI&#10;AAAAIQAJC2Me4AAAAA0BAAAPAAAAAAAAAAAAAAAAAOAEAABkcnMvZG93bnJldi54bWxQSwUGAAAA&#10;AAQABADzAAAA7QUAAAAA&#10;" stroked="f">
              <v:textbox>
                <w:txbxContent>
                  <w:p w:rsidR="00DE5F50" w:rsidRPr="00651BA7" w:rsidRDefault="009F6C9F" w:rsidP="005E2946">
                    <w:r>
                      <w:rPr>
                        <w:noProof/>
                        <w:lang w:eastAsia="zh-CN" w:bidi="th-TH"/>
                      </w:rPr>
                      <w:drawing>
                        <wp:inline distT="0" distB="0" distL="0" distR="0">
                          <wp:extent cx="1784350" cy="114300"/>
                          <wp:effectExtent l="0" t="0" r="0" b="0"/>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r="45009" b="48810"/>
                                  <a:stretch>
                                    <a:fillRect/>
                                  </a:stretch>
                                </pic:blipFill>
                                <pic:spPr bwMode="auto">
                                  <a:xfrm>
                                    <a:off x="0" y="0"/>
                                    <a:ext cx="1784350" cy="114300"/>
                                  </a:xfrm>
                                  <a:prstGeom prst="rect">
                                    <a:avLst/>
                                  </a:prstGeom>
                                  <a:noFill/>
                                  <a:ln>
                                    <a:noFill/>
                                  </a:ln>
                                </pic:spPr>
                              </pic:pic>
                            </a:graphicData>
                          </a:graphic>
                        </wp:inline>
                      </w:drawing>
                    </w:r>
                  </w:p>
                  <w:p w:rsidR="00DE5F50" w:rsidRDefault="009F6C9F" w:rsidP="005E2946">
                    <w:pPr>
                      <w:ind w:left="42"/>
                      <w:rPr>
                        <w:b/>
                        <w:color w:val="003366"/>
                      </w:rPr>
                    </w:pPr>
                    <w:r w:rsidRPr="0067598B">
                      <w:rPr>
                        <w:rFonts w:eastAsia="BISans" w:cs="Angsana New"/>
                        <w:noProof/>
                        <w:lang w:eastAsia="zh-CN" w:bidi="th-TH"/>
                      </w:rPr>
                      <w:drawing>
                        <wp:inline distT="0" distB="0" distL="0" distR="0">
                          <wp:extent cx="1790700" cy="1200150"/>
                          <wp:effectExtent l="0" t="0" r="0" b="0"/>
                          <wp:docPr id="1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1200150"/>
                                  </a:xfrm>
                                  <a:prstGeom prst="rect">
                                    <a:avLst/>
                                  </a:prstGeom>
                                  <a:noFill/>
                                  <a:ln>
                                    <a:noFill/>
                                  </a:ln>
                                </pic:spPr>
                              </pic:pic>
                            </a:graphicData>
                          </a:graphic>
                        </wp:inline>
                      </w:drawing>
                    </w:r>
                  </w:p>
                  <w:p w:rsidR="00DE5F50" w:rsidRPr="00956D7E" w:rsidRDefault="00DE5F50" w:rsidP="00A75E18">
                    <w:pPr>
                      <w:spacing w:after="0" w:line="240" w:lineRule="auto"/>
                      <w:rPr>
                        <w:b/>
                        <w:color w:val="003366"/>
                      </w:rPr>
                    </w:pPr>
                    <w:r w:rsidRPr="00956D7E">
                      <w:rPr>
                        <w:b/>
                        <w:color w:val="003366"/>
                      </w:rPr>
                      <w:t>Contatti:</w:t>
                    </w:r>
                  </w:p>
                  <w:p w:rsidR="00DE5F50" w:rsidRPr="00956D7E" w:rsidRDefault="00DE5F50" w:rsidP="00A75E18">
                    <w:pPr>
                      <w:spacing w:after="0" w:line="240" w:lineRule="auto"/>
                      <w:rPr>
                        <w:b/>
                        <w:color w:val="003366"/>
                      </w:rPr>
                    </w:pPr>
                    <w:r w:rsidRPr="00956D7E">
                      <w:rPr>
                        <w:b/>
                        <w:color w:val="003366"/>
                      </w:rPr>
                      <w:t>Boehringer Ingelheim</w:t>
                    </w:r>
                  </w:p>
                  <w:p w:rsidR="00DE5F50" w:rsidRPr="00197380" w:rsidRDefault="00DE5F50" w:rsidP="00A75E18">
                    <w:pPr>
                      <w:spacing w:after="0" w:line="240" w:lineRule="auto"/>
                      <w:rPr>
                        <w:b/>
                        <w:color w:val="003366"/>
                      </w:rPr>
                    </w:pPr>
                    <w:r w:rsidRPr="00197380">
                      <w:rPr>
                        <w:b/>
                        <w:color w:val="003366"/>
                      </w:rPr>
                      <w:t>Comunicazione:</w:t>
                    </w:r>
                  </w:p>
                  <w:p w:rsidR="00DE5F50" w:rsidRPr="00956D7E" w:rsidRDefault="00DE5F50" w:rsidP="00A75E18">
                    <w:pPr>
                      <w:pStyle w:val="Intestazione"/>
                      <w:rPr>
                        <w:b/>
                        <w:color w:val="1F497D"/>
                      </w:rPr>
                    </w:pPr>
                  </w:p>
                  <w:p w:rsidR="00DE5F50" w:rsidRPr="00956D7E" w:rsidRDefault="00DE5F50" w:rsidP="00A75E18">
                    <w:pPr>
                      <w:pStyle w:val="Intestazione"/>
                      <w:jc w:val="both"/>
                    </w:pPr>
                    <w:r w:rsidRPr="00956D7E">
                      <w:t>Marina Guffanti</w:t>
                    </w:r>
                  </w:p>
                  <w:p w:rsidR="00DE5F50" w:rsidRPr="00956D7E" w:rsidRDefault="00DE5F50" w:rsidP="00A75E18">
                    <w:pPr>
                      <w:pStyle w:val="Intestazione"/>
                      <w:jc w:val="both"/>
                      <w:rPr>
                        <w:lang w:val="en-US"/>
                      </w:rPr>
                    </w:pPr>
                    <w:r w:rsidRPr="00956D7E">
                      <w:rPr>
                        <w:lang w:val="en-US"/>
                      </w:rPr>
                      <w:t>Phone: + 39 – 02 5355453</w:t>
                    </w:r>
                  </w:p>
                  <w:p w:rsidR="00DE5F50" w:rsidRPr="00956D7E" w:rsidRDefault="00DE5F50" w:rsidP="00A75E18">
                    <w:pPr>
                      <w:pStyle w:val="Intestazione"/>
                      <w:jc w:val="both"/>
                      <w:rPr>
                        <w:lang w:val="en-US"/>
                      </w:rPr>
                    </w:pPr>
                    <w:r w:rsidRPr="00956D7E">
                      <w:rPr>
                        <w:lang w:val="en-US"/>
                      </w:rPr>
                      <w:t>Cell. +39 348 3995284</w:t>
                    </w:r>
                  </w:p>
                  <w:p w:rsidR="00DE5F50" w:rsidRPr="00956D7E" w:rsidRDefault="00DE5F50" w:rsidP="00A75E18">
                    <w:pPr>
                      <w:pStyle w:val="Intestazione"/>
                      <w:jc w:val="both"/>
                      <w:rPr>
                        <w:lang w:val="en-US"/>
                      </w:rPr>
                    </w:pPr>
                    <w:r w:rsidRPr="00956D7E">
                      <w:rPr>
                        <w:lang w:val="en-US"/>
                      </w:rPr>
                      <w:t>e- mail:</w:t>
                    </w:r>
                  </w:p>
                  <w:p w:rsidR="00DE5F50" w:rsidRDefault="00B574A0" w:rsidP="00A75E18">
                    <w:pPr>
                      <w:spacing w:after="0" w:line="240" w:lineRule="auto"/>
                      <w:rPr>
                        <w:lang w:val="en-US"/>
                      </w:rPr>
                    </w:pPr>
                    <w:hyperlink r:id="rId7" w:history="1">
                      <w:r w:rsidR="00DE5F50" w:rsidRPr="009D1A01">
                        <w:rPr>
                          <w:rStyle w:val="Collegamentoipertestuale"/>
                          <w:lang w:val="en-US"/>
                        </w:rPr>
                        <w:t>marina.guffanti@boehringer-ingelheim.com</w:t>
                      </w:r>
                    </w:hyperlink>
                  </w:p>
                  <w:p w:rsidR="00DE5F50" w:rsidRPr="00956D7E" w:rsidRDefault="00DE5F50" w:rsidP="00A75E18">
                    <w:pPr>
                      <w:spacing w:after="0" w:line="240" w:lineRule="auto"/>
                      <w:rPr>
                        <w:lang w:val="en-US"/>
                      </w:rPr>
                    </w:pPr>
                  </w:p>
                  <w:p w:rsidR="00DE5F50" w:rsidRDefault="009F6C9F" w:rsidP="005E2946">
                    <w:r>
                      <w:rPr>
                        <w:noProof/>
                        <w:lang w:eastAsia="zh-CN" w:bidi="th-TH"/>
                      </w:rPr>
                      <w:drawing>
                        <wp:inline distT="0" distB="0" distL="0" distR="0">
                          <wp:extent cx="1797050" cy="114300"/>
                          <wp:effectExtent l="0" t="0" r="0" b="0"/>
                          <wp:docPr id="1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r="45009" b="48810"/>
                                  <a:stretch>
                                    <a:fillRect/>
                                  </a:stretch>
                                </pic:blipFill>
                                <pic:spPr bwMode="auto">
                                  <a:xfrm>
                                    <a:off x="0" y="0"/>
                                    <a:ext cx="1797050" cy="114300"/>
                                  </a:xfrm>
                                  <a:prstGeom prst="rect">
                                    <a:avLst/>
                                  </a:prstGeom>
                                  <a:noFill/>
                                  <a:ln>
                                    <a:noFill/>
                                  </a:ln>
                                </pic:spPr>
                              </pic:pic>
                            </a:graphicData>
                          </a:graphic>
                        </wp:inline>
                      </w:drawing>
                    </w:r>
                    <w:r>
                      <w:rPr>
                        <w:noProof/>
                        <w:lang w:eastAsia="zh-CN" w:bidi="th-TH"/>
                      </w:rPr>
                      <w:drawing>
                        <wp:inline distT="0" distB="0" distL="0" distR="0">
                          <wp:extent cx="1803400" cy="1187450"/>
                          <wp:effectExtent l="0" t="0" r="0" b="0"/>
                          <wp:docPr id="12" name="Picture 62" descr="Home-Pg-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ome-Pg-3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3400" cy="1187450"/>
                                  </a:xfrm>
                                  <a:prstGeom prst="rect">
                                    <a:avLst/>
                                  </a:prstGeom>
                                  <a:noFill/>
                                  <a:ln>
                                    <a:noFill/>
                                  </a:ln>
                                </pic:spPr>
                              </pic:pic>
                            </a:graphicData>
                          </a:graphic>
                        </wp:inline>
                      </w:drawing>
                    </w:r>
                  </w:p>
                  <w:p w:rsidR="00DE5F50" w:rsidRPr="00324A83" w:rsidRDefault="00DE5F50" w:rsidP="005E2946">
                    <w:pPr>
                      <w:rPr>
                        <w:b/>
                        <w:color w:val="003366"/>
                      </w:rPr>
                    </w:pPr>
                    <w:r w:rsidRPr="00324A83">
                      <w:rPr>
                        <w:b/>
                        <w:color w:val="003366"/>
                      </w:rPr>
                      <w:t>Per maggiori informazioni</w:t>
                    </w:r>
                  </w:p>
                  <w:p w:rsidR="00DE5F50" w:rsidRPr="00324A83" w:rsidRDefault="00B574A0" w:rsidP="005E2946">
                    <w:pPr>
                      <w:spacing w:after="120"/>
                      <w:ind w:left="42"/>
                    </w:pPr>
                    <w:hyperlink r:id="rId8" w:history="1">
                      <w:r w:rsidR="00DE5F50" w:rsidRPr="00324A83">
                        <w:rPr>
                          <w:rStyle w:val="Collegamentoipertestuale"/>
                        </w:rPr>
                        <w:t>www.boehringer-ingelheim.com</w:t>
                      </w:r>
                    </w:hyperlink>
                  </w:p>
                  <w:p w:rsidR="00DE5F50" w:rsidRPr="002C4B3E" w:rsidRDefault="009F6C9F" w:rsidP="005E2946">
                    <w:r>
                      <w:rPr>
                        <w:noProof/>
                        <w:lang w:eastAsia="zh-CN" w:bidi="th-TH"/>
                      </w:rPr>
                      <w:drawing>
                        <wp:inline distT="0" distB="0" distL="0" distR="0">
                          <wp:extent cx="1784350" cy="36830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4350" cy="368300"/>
                                  </a:xfrm>
                                  <a:prstGeom prst="rect">
                                    <a:avLst/>
                                  </a:prstGeom>
                                  <a:noFill/>
                                  <a:ln>
                                    <a:noFill/>
                                  </a:ln>
                                </pic:spPr>
                              </pic:pic>
                            </a:graphicData>
                          </a:graphic>
                        </wp:inline>
                      </w:drawing>
                    </w:r>
                  </w:p>
                </w:txbxContent>
              </v:textbox>
              <w10:wrap anchorx="page" anchory="page"/>
              <w10:anchorlock/>
            </v:shape>
          </w:pict>
        </mc:Fallback>
      </mc:AlternateContent>
    </w:r>
    <w:r>
      <w:rPr>
        <w:noProof/>
        <w:lang w:eastAsia="zh-CN" w:bidi="th-TH"/>
      </w:rPr>
      <mc:AlternateContent>
        <mc:Choice Requires="wps">
          <w:drawing>
            <wp:anchor distT="0" distB="0" distL="114300" distR="114300" simplePos="0" relativeHeight="251655680" behindDoc="0" locked="1" layoutInCell="0" allowOverlap="1">
              <wp:simplePos x="0" y="0"/>
              <wp:positionH relativeFrom="page">
                <wp:posOffset>520700</wp:posOffset>
              </wp:positionH>
              <wp:positionV relativeFrom="page">
                <wp:posOffset>1166495</wp:posOffset>
              </wp:positionV>
              <wp:extent cx="4434205" cy="63627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20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F50" w:rsidRPr="00E90EC2" w:rsidRDefault="00DE5F50" w:rsidP="005E2946">
                          <w:pPr>
                            <w:rPr>
                              <w:rFonts w:cs="Arial"/>
                              <w:b/>
                              <w:color w:val="FFFFFF"/>
                              <w:sz w:val="72"/>
                              <w:szCs w:val="72"/>
                            </w:rPr>
                          </w:pPr>
                          <w:r>
                            <w:rPr>
                              <w:rFonts w:cs="Arial"/>
                              <w:b/>
                              <w:color w:val="FFFFFF"/>
                              <w:sz w:val="72"/>
                              <w:szCs w:val="72"/>
                            </w:rPr>
                            <w:t>Comunicato Stampa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1pt;margin-top:91.85pt;width:349.15pt;height:50.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C0swIAALA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AcYcdIBRQ901OhWjCg21Rl6lYLTfQ9ueoRtYNlmqvo7UX5TiItNQ/ie3kgphoaSCqLzzU33ydUJ&#10;RxmQ3fBRVPAMOWhhgcZadqZ0UAwE6MDS45kZE0oJm2G4CANviVEJZ9EiClaWOpek8+1eKv2eig4Z&#10;I8MSmLfo5HintImGpLOLeYyLgrWtZb/lzzbAcdqBt+GqOTNRWDJ/Jl6yjbdx6IRBtHVCL8+dm2IT&#10;OlHhr5b5It9scv+XedcP04ZVFeXmmVlYfvhnxJ0kPkniLC0lWlYZOBOSkvvdppXoSEDYhf1szeHk&#10;4uY+D8MWAXJ5kZIfhN5tkDhFFK+csAiXTrLyYsfzk9sk8sIkzIvnKd0xTv89JTRkOFkGy0lMl6Bf&#10;5ObZ73VuJO2YhtHRsi7D8dmJpEaCW15ZajVh7WQ/KYUJ/1IKoHsm2grWaHRSqx53o+2MxdwHO1E9&#10;goKlAIGBTGHsgdEI+QOjAUZIhtX3A5EUo/YDhy4w82Y25GzsZoPwEq5mWGM0mRs9zaVDL9m+AeSp&#10;z7i4gU6pmRWxaakpilN/wViwuZxGmJk7T/+t12XQrn8DAAD//wMAUEsDBBQABgAIAAAAIQAK3c+U&#10;4AAAAAoBAAAPAAAAZHJzL2Rvd25yZXYueG1sTI/BTsMwEETvSPyDtUjcqN1EatM0TlUhOCEh0nDg&#10;6MRuYjVeh9htw9+znOhxdkazb4rd7AZ2MVOwHiUsFwKYwdZri52Ez/r1KQMWokKtBo9Gwo8JsCvv&#10;7wqVa3/FylwOsWNUgiFXEvoYx5zz0PbGqbDwo0Hyjn5yKpKcOq4ndaVyN/BEiBV3yiJ96NVonnvT&#10;ng5nJ2H/hdWL/X5vPqpjZet6I/BtdZLy8WHeb4FFM8f/MPzhEzqUxNT4M+rABglZQlMi3bN0DYwC&#10;60ykwBoJSZZugJcFv51Q/gIAAP//AwBQSwECLQAUAAYACAAAACEAtoM4kv4AAADhAQAAEwAAAAAA&#10;AAAAAAAAAAAAAAAAW0NvbnRlbnRfVHlwZXNdLnhtbFBLAQItABQABgAIAAAAIQA4/SH/1gAAAJQB&#10;AAALAAAAAAAAAAAAAAAAAC8BAABfcmVscy8ucmVsc1BLAQItABQABgAIAAAAIQAIeNC0swIAALAF&#10;AAAOAAAAAAAAAAAAAAAAAC4CAABkcnMvZTJvRG9jLnhtbFBLAQItABQABgAIAAAAIQAK3c+U4AAA&#10;AAoBAAAPAAAAAAAAAAAAAAAAAA0FAABkcnMvZG93bnJldi54bWxQSwUGAAAAAAQABADzAAAAGgYA&#10;AAAA&#10;" o:allowincell="f" filled="f" stroked="f">
              <v:textbox inset="0,0,0,0">
                <w:txbxContent>
                  <w:p w:rsidR="00DE5F50" w:rsidRPr="00E90EC2" w:rsidRDefault="00DE5F50" w:rsidP="005E2946">
                    <w:pPr>
                      <w:rPr>
                        <w:rFonts w:cs="Arial"/>
                        <w:b/>
                        <w:color w:val="FFFFFF"/>
                        <w:sz w:val="72"/>
                        <w:szCs w:val="72"/>
                      </w:rPr>
                    </w:pPr>
                    <w:r>
                      <w:rPr>
                        <w:rFonts w:cs="Arial"/>
                        <w:b/>
                        <w:color w:val="FFFFFF"/>
                        <w:sz w:val="72"/>
                        <w:szCs w:val="72"/>
                      </w:rPr>
                      <w:t>Comunicato Stampa</w:t>
                    </w:r>
                  </w:p>
                </w:txbxContent>
              </v:textbox>
              <w10:wrap anchorx="page" anchory="page"/>
              <w10:anchorlock/>
            </v:shape>
          </w:pict>
        </mc:Fallback>
      </mc:AlternateContent>
    </w:r>
    <w:r>
      <w:rPr>
        <w:noProof/>
        <w:lang w:eastAsia="zh-CN" w:bidi="th-TH"/>
      </w:rPr>
      <w:drawing>
        <wp:anchor distT="0" distB="0" distL="114300" distR="114300" simplePos="0" relativeHeight="251661824" behindDoc="0" locked="0" layoutInCell="1" allowOverlap="1">
          <wp:simplePos x="0" y="0"/>
          <wp:positionH relativeFrom="page">
            <wp:posOffset>5431155</wp:posOffset>
          </wp:positionH>
          <wp:positionV relativeFrom="page">
            <wp:posOffset>954405</wp:posOffset>
          </wp:positionV>
          <wp:extent cx="1543685" cy="478155"/>
          <wp:effectExtent l="0" t="0" r="0" b="0"/>
          <wp:wrapNone/>
          <wp:docPr id="21" name="Bild 1" descr="BI-Logo_36pt_blue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ogo_36pt_blue_n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685" cy="4781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bidi="th-TH"/>
      </w:rPr>
      <mc:AlternateContent>
        <mc:Choice Requires="wps">
          <w:drawing>
            <wp:anchor distT="0" distB="0" distL="114300" distR="114300" simplePos="0" relativeHeight="251652608" behindDoc="1" locked="1" layoutInCell="1" allowOverlap="1">
              <wp:simplePos x="0" y="0"/>
              <wp:positionH relativeFrom="page">
                <wp:posOffset>0</wp:posOffset>
              </wp:positionH>
              <wp:positionV relativeFrom="page">
                <wp:posOffset>601345</wp:posOffset>
              </wp:positionV>
              <wp:extent cx="5039995" cy="1259840"/>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1259840"/>
                      </a:xfrm>
                      <a:prstGeom prst="rect">
                        <a:avLst/>
                      </a:prstGeom>
                      <a:solidFill>
                        <a:srgbClr val="FF99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51919">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61727" id="Rectangle 11" o:spid="_x0000_s1026" style="position:absolute;margin-left:0;margin-top:47.35pt;width:396.85pt;height:99.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kCCwMAAFgGAAAOAAAAZHJzL2Uyb0RvYy54bWysVU2P0zAQvSPxHyzfs0napImjTVHbbRDS&#10;AisWxNlNnMYisYPtNl0Q/52x03ZbuCCglSJPPH5+8+Yjt68OXYv2TGkuRY7DmwAjJkpZcbHN8aeP&#10;hZdipA0VFW2lYDl+Yhq/mr98cTv0GZvIRrYVUwhAhM6GPseNMX3m+7psWEf1jeyZgM1aqo4aMNXW&#10;rxQdAL1r/UkQzPxBqqpXsmRaw9u7cRPPHX5ds9K8r2vNDGpzDNyMeyr33NinP7+l2VbRvuHlkQb9&#10;CxYd5QIuPUPdUUPRTvHfoDpeKqllbW5K2fmyrnnJXAwQTRj8Es1jQ3vmYgFxdH+WSf8/2PLd/kEh&#10;XkHuMBK0gxR9ANGo2LYMhaHVZ+h1Bm6P/YOyEer+XpZfNBJy1YAbWyglh4bRClg5f//qgDU0HEWb&#10;4a2sAJ7ujHRSHWrVWUAQAR1cRp7OGWEHg0p4GQdTQkiMUQl74SQmaeRy5tPsdLxX2rxmskN2kWMF&#10;7B083d9rA/TB9eTi6MuWVwVvW2eo7WbVKrSnUB5FQUhwQteXbq2wzkLaYyPi+Ia5AhuvoRlwhqX1&#10;tOxd8r+TcBIFywnxilmaeFERxR5JgtQLQrIksyAi0V3xw9INo6zhVcXEPRfsVIhh9GeJPrbEWEKu&#10;FNGQ42kaQjguzMtg9FXMkwL+Nssg01XMHTfQmC3vcpwG9je2ik30WlRwgGaG8nZc+9f8HRqIcK3F&#10;ooiDJJqmXpLEUy+argNvmRYrb7EKZ7NkvVwt1+G1Fmunr/53ORyRU7KsIXcQ3WNTDajitmom6ZTA&#10;pKo4jIZpGswCkmBE2y3MtNIojJQ0n7lpXEPaIrUYV0LO4pCEZCy8tm/oWFLxSTir7qi70+Z8/ajU&#10;M7MLIY/BP2sJGKcScy1mu2rszo2snqDDgKRrIxjHsGik+obRAKMtx/rrjiqGUftGQJeSMIIuQsYZ&#10;UZxMwFCXO5vLHSpKgMqxAUHccmXG+bnrFd82cFPowhZyAZ1dc9dztutHVsDfGjC+XCTHUWvn46Xt&#10;vJ4/CPOfAAAA//8DAFBLAwQUAAYACAAAACEAuyAr8N8AAAAHAQAADwAAAGRycy9kb3ducmV2Lnht&#10;bEyPQUvDQBCF74L/YRnBi7SbtmKbmE0RQUSkFVPpeZudJsHd2ZCdtPHfuz3pbR7v8d43+Xp0Vpyw&#10;D60nBbNpAgKp8qalWsHX7mWyAhFYk9HWEyr4wQDr4voq15nxZ/rEU8m1iCUUMq2gYe4yKUPVoNNh&#10;6juk6B197zRH2dfS9Pocy52V8yR5kE63FBca3eFzg9V3OTgF+/J4t2L2m4/yfXjdv23sdtxapW5v&#10;xqdHEIwj/4Xhgh/RoYhMBz+QCcIqiI+wgvR+CSK6y3QRj4OCebqYgSxy+Z+/+AUAAP//AwBQSwEC&#10;LQAUAAYACAAAACEAtoM4kv4AAADhAQAAEwAAAAAAAAAAAAAAAAAAAAAAW0NvbnRlbnRfVHlwZXNd&#10;LnhtbFBLAQItABQABgAIAAAAIQA4/SH/1gAAAJQBAAALAAAAAAAAAAAAAAAAAC8BAABfcmVscy8u&#10;cmVsc1BLAQItABQABgAIAAAAIQCYMKkCCwMAAFgGAAAOAAAAAAAAAAAAAAAAAC4CAABkcnMvZTJv&#10;RG9jLnhtbFBLAQItABQABgAIAAAAIQC7ICvw3wAAAAcBAAAPAAAAAAAAAAAAAAAAAGUFAABkcnMv&#10;ZG93bnJldi54bWxQSwUGAAAAAAQABADzAAAAcQYAAAAA&#10;" fillcolor="#f90" stroked="f" strokecolor="#f2f2f2" strokeweight="3pt">
              <v:shadow color="#651919" opacity=".5" offset="1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E03"/>
    <w:multiLevelType w:val="multilevel"/>
    <w:tmpl w:val="7E54E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F57BE"/>
    <w:multiLevelType w:val="hybridMultilevel"/>
    <w:tmpl w:val="A1C6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75F49"/>
    <w:multiLevelType w:val="hybridMultilevel"/>
    <w:tmpl w:val="73B46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4689D"/>
    <w:multiLevelType w:val="hybridMultilevel"/>
    <w:tmpl w:val="53EAA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C32077"/>
    <w:multiLevelType w:val="hybridMultilevel"/>
    <w:tmpl w:val="79A6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1359F"/>
    <w:multiLevelType w:val="hybridMultilevel"/>
    <w:tmpl w:val="E836DC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E74E2B"/>
    <w:multiLevelType w:val="hybridMultilevel"/>
    <w:tmpl w:val="5BF88BB2"/>
    <w:lvl w:ilvl="0" w:tplc="484612AA">
      <w:start w:val="1"/>
      <w:numFmt w:val="decimal"/>
      <w:lvlText w:val="%1."/>
      <w:lvlJc w:val="left"/>
      <w:pPr>
        <w:ind w:left="360" w:hanging="360"/>
      </w:pPr>
      <w:rPr>
        <w:rFonts w:ascii="BISans" w:hAnsi="BISan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9B1552"/>
    <w:multiLevelType w:val="hybridMultilevel"/>
    <w:tmpl w:val="46127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BB5788"/>
    <w:multiLevelType w:val="hybridMultilevel"/>
    <w:tmpl w:val="A616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1C7EEB"/>
    <w:multiLevelType w:val="hybridMultilevel"/>
    <w:tmpl w:val="B120A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AE31C5"/>
    <w:multiLevelType w:val="hybridMultilevel"/>
    <w:tmpl w:val="C6F8B8F4"/>
    <w:lvl w:ilvl="0" w:tplc="04100001">
      <w:start w:val="1"/>
      <w:numFmt w:val="bullet"/>
      <w:lvlText w:val=""/>
      <w:lvlJc w:val="left"/>
      <w:pPr>
        <w:ind w:left="360" w:hanging="360"/>
      </w:pPr>
      <w:rPr>
        <w:rFonts w:ascii="Symbol" w:hAnsi="Symbol" w:hint="default"/>
      </w:rPr>
    </w:lvl>
    <w:lvl w:ilvl="1" w:tplc="EEA82CAE">
      <w:numFmt w:val="bullet"/>
      <w:lvlText w:val="•"/>
      <w:lvlJc w:val="left"/>
      <w:pPr>
        <w:ind w:left="1080" w:hanging="360"/>
      </w:pPr>
      <w:rPr>
        <w:rFonts w:ascii="inherit" w:eastAsia="Times New Roman" w:hAnsi="inherit"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E925D8A"/>
    <w:multiLevelType w:val="hybridMultilevel"/>
    <w:tmpl w:val="8C8AF798"/>
    <w:lvl w:ilvl="0" w:tplc="04070001">
      <w:start w:val="1"/>
      <w:numFmt w:val="bullet"/>
      <w:lvlText w:val=""/>
      <w:lvlJc w:val="left"/>
      <w:pPr>
        <w:ind w:left="765" w:hanging="360"/>
      </w:pPr>
      <w:rPr>
        <w:rFonts w:ascii="Symbol" w:hAnsi="Symbol" w:hint="default"/>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abstractNum w:abstractNumId="12" w15:restartNumberingAfterBreak="0">
    <w:nsid w:val="64BA04EC"/>
    <w:multiLevelType w:val="hybridMultilevel"/>
    <w:tmpl w:val="06D0C0FA"/>
    <w:lvl w:ilvl="0" w:tplc="F0CEC4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710BCB"/>
    <w:multiLevelType w:val="hybridMultilevel"/>
    <w:tmpl w:val="CB6A4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2"/>
  </w:num>
  <w:num w:numId="4">
    <w:abstractNumId w:val="2"/>
  </w:num>
  <w:num w:numId="5">
    <w:abstractNumId w:val="8"/>
  </w:num>
  <w:num w:numId="6">
    <w:abstractNumId w:val="9"/>
  </w:num>
  <w:num w:numId="7">
    <w:abstractNumId w:val="11"/>
  </w:num>
  <w:num w:numId="8">
    <w:abstractNumId w:val="1"/>
  </w:num>
  <w:num w:numId="9">
    <w:abstractNumId w:val="0"/>
  </w:num>
  <w:num w:numId="10">
    <w:abstractNumId w:val="4"/>
  </w:num>
  <w:num w:numId="11">
    <w:abstractNumId w:val="13"/>
  </w:num>
  <w:num w:numId="12">
    <w:abstractNumId w:val="3"/>
  </w:num>
  <w:num w:numId="13">
    <w:abstractNumId w:val="10"/>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283"/>
  <w:characterSpacingControl w:val="doNotCompress"/>
  <w:hdrShapeDefaults>
    <o:shapedefaults v:ext="edit" spidmax="6145"/>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343"/>
    <w:rsid w:val="000233D3"/>
    <w:rsid w:val="00024DD8"/>
    <w:rsid w:val="00062AA1"/>
    <w:rsid w:val="00062C72"/>
    <w:rsid w:val="00085D47"/>
    <w:rsid w:val="000B5185"/>
    <w:rsid w:val="000D7014"/>
    <w:rsid w:val="0013505B"/>
    <w:rsid w:val="00137D35"/>
    <w:rsid w:val="0014331A"/>
    <w:rsid w:val="0019717F"/>
    <w:rsid w:val="001C65B1"/>
    <w:rsid w:val="001E1700"/>
    <w:rsid w:val="001E30CE"/>
    <w:rsid w:val="0020498F"/>
    <w:rsid w:val="00221DF5"/>
    <w:rsid w:val="002355A7"/>
    <w:rsid w:val="00243F9B"/>
    <w:rsid w:val="00251758"/>
    <w:rsid w:val="00271C01"/>
    <w:rsid w:val="0029629C"/>
    <w:rsid w:val="002C3CF5"/>
    <w:rsid w:val="002D79EF"/>
    <w:rsid w:val="00324A83"/>
    <w:rsid w:val="00365377"/>
    <w:rsid w:val="00367610"/>
    <w:rsid w:val="00367F4C"/>
    <w:rsid w:val="00376DC9"/>
    <w:rsid w:val="00381EDD"/>
    <w:rsid w:val="00396490"/>
    <w:rsid w:val="003A1A46"/>
    <w:rsid w:val="003D0975"/>
    <w:rsid w:val="003F5C4D"/>
    <w:rsid w:val="004044E5"/>
    <w:rsid w:val="00407D8E"/>
    <w:rsid w:val="00410D8E"/>
    <w:rsid w:val="00415BE2"/>
    <w:rsid w:val="0043247C"/>
    <w:rsid w:val="00452E42"/>
    <w:rsid w:val="004617F6"/>
    <w:rsid w:val="00472C99"/>
    <w:rsid w:val="00497E3A"/>
    <w:rsid w:val="004A0372"/>
    <w:rsid w:val="004B7F04"/>
    <w:rsid w:val="004E6AA3"/>
    <w:rsid w:val="00516BF2"/>
    <w:rsid w:val="00544157"/>
    <w:rsid w:val="00581945"/>
    <w:rsid w:val="00590103"/>
    <w:rsid w:val="005A3C83"/>
    <w:rsid w:val="005A6128"/>
    <w:rsid w:val="005B62BC"/>
    <w:rsid w:val="005C272D"/>
    <w:rsid w:val="005C7F08"/>
    <w:rsid w:val="005E0FCC"/>
    <w:rsid w:val="005E2946"/>
    <w:rsid w:val="00601BDE"/>
    <w:rsid w:val="00606EA2"/>
    <w:rsid w:val="0066719B"/>
    <w:rsid w:val="0067598B"/>
    <w:rsid w:val="00683BCC"/>
    <w:rsid w:val="00685517"/>
    <w:rsid w:val="006A26A8"/>
    <w:rsid w:val="006B7EF4"/>
    <w:rsid w:val="006C1C01"/>
    <w:rsid w:val="006C3937"/>
    <w:rsid w:val="006C7C99"/>
    <w:rsid w:val="006E13D3"/>
    <w:rsid w:val="00716577"/>
    <w:rsid w:val="00726444"/>
    <w:rsid w:val="00764DD6"/>
    <w:rsid w:val="007B04BB"/>
    <w:rsid w:val="007B0CD9"/>
    <w:rsid w:val="007C2358"/>
    <w:rsid w:val="007C65F8"/>
    <w:rsid w:val="007E36CA"/>
    <w:rsid w:val="00825F5D"/>
    <w:rsid w:val="008437DB"/>
    <w:rsid w:val="00875A4E"/>
    <w:rsid w:val="0088742C"/>
    <w:rsid w:val="00895D7A"/>
    <w:rsid w:val="008A3587"/>
    <w:rsid w:val="008D3232"/>
    <w:rsid w:val="008D3E31"/>
    <w:rsid w:val="008E0EE7"/>
    <w:rsid w:val="008E1392"/>
    <w:rsid w:val="00905933"/>
    <w:rsid w:val="0091619D"/>
    <w:rsid w:val="0094079C"/>
    <w:rsid w:val="00954330"/>
    <w:rsid w:val="00962262"/>
    <w:rsid w:val="00977337"/>
    <w:rsid w:val="00987DE1"/>
    <w:rsid w:val="009A0B13"/>
    <w:rsid w:val="009C3479"/>
    <w:rsid w:val="009E4CA9"/>
    <w:rsid w:val="009F6C9F"/>
    <w:rsid w:val="00A02962"/>
    <w:rsid w:val="00A14D70"/>
    <w:rsid w:val="00A20932"/>
    <w:rsid w:val="00A75E18"/>
    <w:rsid w:val="00A82C85"/>
    <w:rsid w:val="00A9517E"/>
    <w:rsid w:val="00AA1797"/>
    <w:rsid w:val="00AA2F97"/>
    <w:rsid w:val="00AA7BE2"/>
    <w:rsid w:val="00AC725B"/>
    <w:rsid w:val="00AC7343"/>
    <w:rsid w:val="00AF10AE"/>
    <w:rsid w:val="00B0422F"/>
    <w:rsid w:val="00B1216F"/>
    <w:rsid w:val="00B5162D"/>
    <w:rsid w:val="00B52D16"/>
    <w:rsid w:val="00B574A0"/>
    <w:rsid w:val="00B6468C"/>
    <w:rsid w:val="00B74F10"/>
    <w:rsid w:val="00B833E9"/>
    <w:rsid w:val="00B90135"/>
    <w:rsid w:val="00BE23E5"/>
    <w:rsid w:val="00BF1E7E"/>
    <w:rsid w:val="00BF3CC7"/>
    <w:rsid w:val="00C032C4"/>
    <w:rsid w:val="00C379AE"/>
    <w:rsid w:val="00C66077"/>
    <w:rsid w:val="00C71170"/>
    <w:rsid w:val="00C7536A"/>
    <w:rsid w:val="00C82138"/>
    <w:rsid w:val="00CB00F0"/>
    <w:rsid w:val="00D063C4"/>
    <w:rsid w:val="00D102B5"/>
    <w:rsid w:val="00D10986"/>
    <w:rsid w:val="00D13B32"/>
    <w:rsid w:val="00D14654"/>
    <w:rsid w:val="00D37FBB"/>
    <w:rsid w:val="00D62B5F"/>
    <w:rsid w:val="00D6651D"/>
    <w:rsid w:val="00D72B7E"/>
    <w:rsid w:val="00D8189B"/>
    <w:rsid w:val="00D91F42"/>
    <w:rsid w:val="00DE5F50"/>
    <w:rsid w:val="00E32CD3"/>
    <w:rsid w:val="00E61CC1"/>
    <w:rsid w:val="00E664C6"/>
    <w:rsid w:val="00E670D4"/>
    <w:rsid w:val="00EA4507"/>
    <w:rsid w:val="00EA6FED"/>
    <w:rsid w:val="00EB34AE"/>
    <w:rsid w:val="00ED5FD5"/>
    <w:rsid w:val="00F171F3"/>
    <w:rsid w:val="00F3099A"/>
    <w:rsid w:val="00F457D8"/>
    <w:rsid w:val="00F83E44"/>
    <w:rsid w:val="00FA1C4F"/>
    <w:rsid w:val="00FB65A3"/>
    <w:rsid w:val="00FE51B4"/>
    <w:rsid w:val="00FF5ACE"/>
  </w:rsids>
  <m:mathPr>
    <m:mathFont m:val="Cambria Math"/>
    <m:brkBin m:val="before"/>
    <m:brkBinSub m:val="--"/>
    <m:smallFrac m:val="0"/>
    <m:dispDef/>
    <m:lMargin m:val="0"/>
    <m:rMargin m:val="0"/>
    <m:defJc m:val="centerGroup"/>
    <m:wrapIndent m:val="1440"/>
    <m:intLim m:val="subSup"/>
    <m:naryLim m:val="undOvr"/>
  </m:mathPr>
  <w:themeFontLang w:val="it-I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E73932"/>
  <w15:docId w15:val="{41260588-CA5D-4B56-B163-2FAC3C79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E51B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C73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7343"/>
  </w:style>
  <w:style w:type="paragraph" w:styleId="Pidipagina">
    <w:name w:val="footer"/>
    <w:basedOn w:val="Normale"/>
    <w:link w:val="PidipaginaCarattere"/>
    <w:uiPriority w:val="99"/>
    <w:unhideWhenUsed/>
    <w:rsid w:val="00AC73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7343"/>
  </w:style>
  <w:style w:type="paragraph" w:styleId="Testonotadichiusura">
    <w:name w:val="endnote text"/>
    <w:basedOn w:val="Normale"/>
    <w:link w:val="TestonotadichiusuraCarattere"/>
    <w:uiPriority w:val="99"/>
    <w:unhideWhenUsed/>
    <w:rsid w:val="00AC7343"/>
    <w:pPr>
      <w:spacing w:after="0" w:line="240" w:lineRule="auto"/>
    </w:pPr>
    <w:rPr>
      <w:sz w:val="20"/>
      <w:szCs w:val="20"/>
      <w:lang w:val="x-none" w:eastAsia="x-none"/>
    </w:rPr>
  </w:style>
  <w:style w:type="character" w:customStyle="1" w:styleId="TestonotadichiusuraCarattere">
    <w:name w:val="Testo nota di chiusura Carattere"/>
    <w:link w:val="Testonotadichiusura"/>
    <w:uiPriority w:val="99"/>
    <w:rsid w:val="00AC7343"/>
    <w:rPr>
      <w:sz w:val="20"/>
      <w:szCs w:val="20"/>
    </w:rPr>
  </w:style>
  <w:style w:type="character" w:styleId="Collegamentoipertestuale">
    <w:name w:val="Hyperlink"/>
    <w:uiPriority w:val="99"/>
    <w:semiHidden/>
    <w:rsid w:val="00AC7343"/>
    <w:rPr>
      <w:rFonts w:cs="Times New Roman"/>
      <w:color w:val="auto"/>
      <w:u w:val="none"/>
    </w:rPr>
  </w:style>
  <w:style w:type="character" w:styleId="Rimandonotadichiusura">
    <w:name w:val="endnote reference"/>
    <w:uiPriority w:val="99"/>
    <w:unhideWhenUsed/>
    <w:rsid w:val="00AC7343"/>
    <w:rPr>
      <w:vertAlign w:val="superscript"/>
    </w:rPr>
  </w:style>
  <w:style w:type="paragraph" w:styleId="Testonotaapidipagina">
    <w:name w:val="footnote text"/>
    <w:basedOn w:val="Normale"/>
    <w:link w:val="TestonotaapidipaginaCarattere"/>
    <w:uiPriority w:val="99"/>
    <w:semiHidden/>
    <w:unhideWhenUsed/>
    <w:rsid w:val="00AC7343"/>
    <w:pPr>
      <w:spacing w:after="0" w:line="283" w:lineRule="atLeast"/>
    </w:pPr>
    <w:rPr>
      <w:rFonts w:ascii="BISans" w:eastAsia="Times New Roman" w:hAnsi="BISans"/>
      <w:sz w:val="20"/>
      <w:szCs w:val="20"/>
      <w:lang w:val="de-DE" w:eastAsia="x-none"/>
    </w:rPr>
  </w:style>
  <w:style w:type="character" w:customStyle="1" w:styleId="TestonotaapidipaginaCarattere">
    <w:name w:val="Testo nota a piè di pagina Carattere"/>
    <w:link w:val="Testonotaapidipagina"/>
    <w:uiPriority w:val="99"/>
    <w:semiHidden/>
    <w:rsid w:val="00AC7343"/>
    <w:rPr>
      <w:rFonts w:ascii="BISans" w:eastAsia="Times New Roman" w:hAnsi="BISans" w:cs="Times New Roman"/>
      <w:sz w:val="20"/>
      <w:szCs w:val="20"/>
      <w:lang w:val="de-DE"/>
    </w:rPr>
  </w:style>
  <w:style w:type="character" w:styleId="Rimandonotaapidipagina">
    <w:name w:val="footnote reference"/>
    <w:uiPriority w:val="99"/>
    <w:semiHidden/>
    <w:unhideWhenUsed/>
    <w:rsid w:val="00AC7343"/>
    <w:rPr>
      <w:rFonts w:ascii="Times New Roman" w:hAnsi="Times New Roman" w:cs="Times New Roman" w:hint="default"/>
      <w:vertAlign w:val="superscript"/>
    </w:rPr>
  </w:style>
  <w:style w:type="paragraph" w:styleId="Testofumetto">
    <w:name w:val="Balloon Text"/>
    <w:basedOn w:val="Normale"/>
    <w:link w:val="TestofumettoCarattere"/>
    <w:uiPriority w:val="99"/>
    <w:semiHidden/>
    <w:unhideWhenUsed/>
    <w:rsid w:val="008A3587"/>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8A3587"/>
    <w:rPr>
      <w:rFonts w:ascii="Tahoma" w:hAnsi="Tahoma" w:cs="Tahoma"/>
      <w:sz w:val="16"/>
      <w:szCs w:val="16"/>
      <w:lang w:eastAsia="en-US"/>
    </w:rPr>
  </w:style>
  <w:style w:type="character" w:styleId="Rimandocommento">
    <w:name w:val="annotation reference"/>
    <w:uiPriority w:val="99"/>
    <w:semiHidden/>
    <w:unhideWhenUsed/>
    <w:rsid w:val="003F5C4D"/>
    <w:rPr>
      <w:sz w:val="16"/>
      <w:szCs w:val="16"/>
    </w:rPr>
  </w:style>
  <w:style w:type="paragraph" w:styleId="Testocommento">
    <w:name w:val="annotation text"/>
    <w:basedOn w:val="Normale"/>
    <w:link w:val="TestocommentoCarattere"/>
    <w:uiPriority w:val="99"/>
    <w:unhideWhenUsed/>
    <w:rsid w:val="003F5C4D"/>
    <w:rPr>
      <w:sz w:val="20"/>
      <w:szCs w:val="20"/>
      <w:lang w:val="x-none"/>
    </w:rPr>
  </w:style>
  <w:style w:type="character" w:customStyle="1" w:styleId="TestocommentoCarattere">
    <w:name w:val="Testo commento Carattere"/>
    <w:link w:val="Testocommento"/>
    <w:uiPriority w:val="99"/>
    <w:rsid w:val="003F5C4D"/>
    <w:rPr>
      <w:lang w:eastAsia="en-US"/>
    </w:rPr>
  </w:style>
  <w:style w:type="paragraph" w:styleId="Soggettocommento">
    <w:name w:val="annotation subject"/>
    <w:basedOn w:val="Testocommento"/>
    <w:next w:val="Testocommento"/>
    <w:link w:val="SoggettocommentoCarattere"/>
    <w:uiPriority w:val="99"/>
    <w:semiHidden/>
    <w:unhideWhenUsed/>
    <w:rsid w:val="003F5C4D"/>
    <w:rPr>
      <w:b/>
      <w:bCs/>
    </w:rPr>
  </w:style>
  <w:style w:type="character" w:customStyle="1" w:styleId="SoggettocommentoCarattere">
    <w:name w:val="Soggetto commento Carattere"/>
    <w:link w:val="Soggettocommento"/>
    <w:uiPriority w:val="99"/>
    <w:semiHidden/>
    <w:rsid w:val="003F5C4D"/>
    <w:rPr>
      <w:b/>
      <w:bCs/>
      <w:lang w:eastAsia="en-US"/>
    </w:rPr>
  </w:style>
  <w:style w:type="paragraph" w:styleId="Revisione">
    <w:name w:val="Revision"/>
    <w:hidden/>
    <w:uiPriority w:val="99"/>
    <w:semiHidden/>
    <w:rsid w:val="00A9517E"/>
    <w:rPr>
      <w:sz w:val="22"/>
      <w:szCs w:val="22"/>
      <w:lang w:eastAsia="en-US"/>
    </w:rPr>
  </w:style>
  <w:style w:type="character" w:styleId="Collegamentovisitato">
    <w:name w:val="FollowedHyperlink"/>
    <w:basedOn w:val="Carpredefinitoparagrafo"/>
    <w:uiPriority w:val="99"/>
    <w:semiHidden/>
    <w:unhideWhenUsed/>
    <w:rsid w:val="00381EDD"/>
    <w:rPr>
      <w:color w:val="800080"/>
      <w:u w:val="single"/>
    </w:rPr>
  </w:style>
  <w:style w:type="paragraph" w:customStyle="1" w:styleId="Default">
    <w:name w:val="Default"/>
    <w:rsid w:val="00024DD8"/>
    <w:pPr>
      <w:autoSpaceDE w:val="0"/>
      <w:autoSpaceDN w:val="0"/>
      <w:adjustRightInd w:val="0"/>
    </w:pPr>
    <w:rPr>
      <w:rFonts w:ascii="Arial" w:eastAsiaTheme="minorHAnsi" w:hAnsi="Arial" w:cs="Arial"/>
      <w:color w:val="000000"/>
      <w:sz w:val="24"/>
      <w:szCs w:val="24"/>
      <w:lang w:val="en-GB" w:eastAsia="en-US"/>
    </w:rPr>
  </w:style>
  <w:style w:type="character" w:customStyle="1" w:styleId="Highlight">
    <w:name w:val="Highlight"/>
    <w:uiPriority w:val="99"/>
    <w:rsid w:val="00024DD8"/>
    <w:rPr>
      <w:b/>
      <w:bCs/>
      <w:color w:val="1F3F79"/>
    </w:rPr>
  </w:style>
  <w:style w:type="paragraph" w:styleId="Paragrafoelenco">
    <w:name w:val="List Paragraph"/>
    <w:basedOn w:val="Normale"/>
    <w:link w:val="ParagrafoelencoCarattere"/>
    <w:uiPriority w:val="34"/>
    <w:qFormat/>
    <w:rsid w:val="00024DD8"/>
    <w:pPr>
      <w:spacing w:after="0" w:line="240" w:lineRule="auto"/>
      <w:ind w:left="720"/>
      <w:contextualSpacing/>
    </w:pPr>
    <w:rPr>
      <w:rFonts w:ascii="Times New Roman" w:eastAsia="Times New Roman" w:hAnsi="Times New Roman"/>
      <w:sz w:val="24"/>
      <w:szCs w:val="24"/>
      <w:lang w:val="en-GB" w:eastAsia="en-GB"/>
    </w:rPr>
  </w:style>
  <w:style w:type="character" w:customStyle="1" w:styleId="Menzione1">
    <w:name w:val="Menzione1"/>
    <w:basedOn w:val="Carpredefinitoparagrafo"/>
    <w:uiPriority w:val="99"/>
    <w:semiHidden/>
    <w:unhideWhenUsed/>
    <w:rsid w:val="008437DB"/>
    <w:rPr>
      <w:color w:val="2B579A"/>
      <w:shd w:val="clear" w:color="auto" w:fill="E6E6E6"/>
    </w:rPr>
  </w:style>
  <w:style w:type="character" w:customStyle="1" w:styleId="ParagrafoelencoCarattere">
    <w:name w:val="Paragrafo elenco Carattere"/>
    <w:link w:val="Paragrafoelenco"/>
    <w:uiPriority w:val="34"/>
    <w:locked/>
    <w:rsid w:val="009A0B13"/>
    <w:rPr>
      <w:rFonts w:ascii="Times New Roman" w:eastAsia="Times New Roman" w:hAnsi="Times New Roman"/>
      <w:sz w:val="24"/>
      <w:szCs w:val="24"/>
      <w:lang w:val="en-GB" w:eastAsia="en-GB"/>
    </w:rPr>
  </w:style>
  <w:style w:type="paragraph" w:styleId="NormaleWeb">
    <w:name w:val="Normal (Web)"/>
    <w:basedOn w:val="Normale"/>
    <w:uiPriority w:val="99"/>
    <w:unhideWhenUsed/>
    <w:rsid w:val="00AC725B"/>
    <w:pPr>
      <w:spacing w:before="100" w:beforeAutospacing="1" w:after="100" w:afterAutospacing="1" w:line="240" w:lineRule="auto"/>
    </w:pPr>
    <w:rPr>
      <w:rFonts w:ascii="Times New Roman" w:eastAsia="Times New Roman" w:hAnsi="Times New Roman"/>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5443">
      <w:bodyDiv w:val="1"/>
      <w:marLeft w:val="0"/>
      <w:marRight w:val="0"/>
      <w:marTop w:val="0"/>
      <w:marBottom w:val="0"/>
      <w:divBdr>
        <w:top w:val="none" w:sz="0" w:space="0" w:color="auto"/>
        <w:left w:val="none" w:sz="0" w:space="0" w:color="auto"/>
        <w:bottom w:val="none" w:sz="0" w:space="0" w:color="auto"/>
        <w:right w:val="none" w:sz="0" w:space="0" w:color="auto"/>
      </w:divBdr>
    </w:div>
    <w:div w:id="1431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ehringer-ingelheim.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library.wiley.com/doi/10.1002/clc.22572/ful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jm.org/doi/full/10.1056/NEJMoa170845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l.paleari@vrelations.it" TargetMode="External"/><Relationship Id="rId4" Type="http://schemas.openxmlformats.org/officeDocument/2006/relationships/settings" Target="settings.xml"/><Relationship Id="rId9" Type="http://schemas.openxmlformats.org/officeDocument/2006/relationships/hyperlink" Target="mailto:marina.guffanti@boehringer-ingelheim.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hyperlink" Target="http://www.boehringer-ingelheim.com" TargetMode="External"/><Relationship Id="rId3" Type="http://schemas.openxmlformats.org/officeDocument/2006/relationships/hyperlink" Target="mailto:marina.guffanti@boehringer-ingelheim.com" TargetMode="External"/><Relationship Id="rId7" Type="http://schemas.openxmlformats.org/officeDocument/2006/relationships/hyperlink" Target="mailto:marina.guffanti@boehringer-ingelheim.com" TargetMode="External"/><Relationship Id="rId2" Type="http://schemas.openxmlformats.org/officeDocument/2006/relationships/image" Target="media/image2.jpeg"/><Relationship Id="rId1" Type="http://schemas.openxmlformats.org/officeDocument/2006/relationships/image" Target="media/image1.emf"/><Relationship Id="rId6" Type="http://schemas.openxmlformats.org/officeDocument/2006/relationships/image" Target="media/image4.png"/><Relationship Id="rId5" Type="http://schemas.openxmlformats.org/officeDocument/2006/relationships/hyperlink" Target="http://www.boehringer-ingelheim.com" TargetMode="External"/><Relationship Id="rId4" Type="http://schemas.openxmlformats.org/officeDocument/2006/relationships/image" Target="media/image3.png"/><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C749C-2293-472B-8D45-8EDF987F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2694</Words>
  <Characters>15356</Characters>
  <Application>Microsoft Office Word</Application>
  <DocSecurity>0</DocSecurity>
  <Lines>127</Lines>
  <Paragraphs>36</Paragraphs>
  <ScaleCrop>false</ScaleCrop>
  <HeadingPairs>
    <vt:vector size="2" baseType="variant">
      <vt:variant>
        <vt:lpstr>Titolo</vt:lpstr>
      </vt:variant>
      <vt:variant>
        <vt:i4>1</vt:i4>
      </vt:variant>
    </vt:vector>
  </HeadingPairs>
  <TitlesOfParts>
    <vt:vector size="1" baseType="lpstr">
      <vt:lpstr/>
    </vt:vector>
  </TitlesOfParts>
  <Company>Boehringer Ingelheim</Company>
  <LinksUpToDate>false</LinksUpToDate>
  <CharactersWithSpaces>18014</CharactersWithSpaces>
  <SharedDoc>false</SharedDoc>
  <HLinks>
    <vt:vector size="36" baseType="variant">
      <vt:variant>
        <vt:i4>524393</vt:i4>
      </vt:variant>
      <vt:variant>
        <vt:i4>39</vt:i4>
      </vt:variant>
      <vt:variant>
        <vt:i4>0</vt:i4>
      </vt:variant>
      <vt:variant>
        <vt:i4>5</vt:i4>
      </vt:variant>
      <vt:variant>
        <vt:lpwstr>mailto:ml.paleari@vrelations.it</vt:lpwstr>
      </vt:variant>
      <vt:variant>
        <vt:lpwstr/>
      </vt:variant>
      <vt:variant>
        <vt:i4>3211269</vt:i4>
      </vt:variant>
      <vt:variant>
        <vt:i4>36</vt:i4>
      </vt:variant>
      <vt:variant>
        <vt:i4>0</vt:i4>
      </vt:variant>
      <vt:variant>
        <vt:i4>5</vt:i4>
      </vt:variant>
      <vt:variant>
        <vt:lpwstr>mailto:marina.guffanti@boehringer-ingelheim.com</vt:lpwstr>
      </vt:variant>
      <vt:variant>
        <vt:lpwstr/>
      </vt:variant>
      <vt:variant>
        <vt:i4>1835087</vt:i4>
      </vt:variant>
      <vt:variant>
        <vt:i4>33</vt:i4>
      </vt:variant>
      <vt:variant>
        <vt:i4>0</vt:i4>
      </vt:variant>
      <vt:variant>
        <vt:i4>5</vt:i4>
      </vt:variant>
      <vt:variant>
        <vt:lpwstr>http://www.boehringer-ingelheim.com/</vt:lpwstr>
      </vt:variant>
      <vt:variant>
        <vt:lpwstr/>
      </vt:variant>
      <vt:variant>
        <vt:i4>5177356</vt:i4>
      </vt:variant>
      <vt:variant>
        <vt:i4>30</vt:i4>
      </vt:variant>
      <vt:variant>
        <vt:i4>0</vt:i4>
      </vt:variant>
      <vt:variant>
        <vt:i4>5</vt:i4>
      </vt:variant>
      <vt:variant>
        <vt:lpwstr>http://www.boehringer-ingelheim-congress.com/</vt:lpwstr>
      </vt:variant>
      <vt:variant>
        <vt:lpwstr/>
      </vt:variant>
      <vt:variant>
        <vt:i4>1835087</vt:i4>
      </vt:variant>
      <vt:variant>
        <vt:i4>6</vt:i4>
      </vt:variant>
      <vt:variant>
        <vt:i4>0</vt:i4>
      </vt:variant>
      <vt:variant>
        <vt:i4>5</vt:i4>
      </vt:variant>
      <vt:variant>
        <vt:lpwstr>http://www.boehringer-ingelheim.com/</vt:lpwstr>
      </vt:variant>
      <vt:variant>
        <vt:lpwstr/>
      </vt:variant>
      <vt:variant>
        <vt:i4>3211269</vt:i4>
      </vt:variant>
      <vt:variant>
        <vt:i4>3</vt:i4>
      </vt:variant>
      <vt:variant>
        <vt:i4>0</vt:i4>
      </vt:variant>
      <vt:variant>
        <vt:i4>5</vt:i4>
      </vt:variant>
      <vt:variant>
        <vt:lpwstr>mailto:marina.guffanti@boehringer-ingelheim.com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Ambrosi</dc:creator>
  <cp:lastModifiedBy>Maria Luisa Paleari</cp:lastModifiedBy>
  <cp:revision>3</cp:revision>
  <cp:lastPrinted>2017-08-28T08:27:00Z</cp:lastPrinted>
  <dcterms:created xsi:type="dcterms:W3CDTF">2017-08-28T08:44:00Z</dcterms:created>
  <dcterms:modified xsi:type="dcterms:W3CDTF">2017-08-28T08:58:00Z</dcterms:modified>
</cp:coreProperties>
</file>