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972" w14:textId="56D2E305" w:rsidR="00F110A5" w:rsidRPr="00B045A3" w:rsidRDefault="00F110A5" w:rsidP="00F110A5">
      <w:pPr>
        <w:shd w:val="clear" w:color="auto" w:fill="FFFFFF"/>
        <w:spacing w:line="240" w:lineRule="auto"/>
        <w:ind w:right="-163"/>
        <w:rPr>
          <w:rFonts w:cs="Arial"/>
          <w:b/>
          <w:bCs/>
          <w:i/>
          <w:szCs w:val="32"/>
          <w:lang w:eastAsia="zh-TW"/>
        </w:rPr>
      </w:pPr>
      <w:r w:rsidRPr="00B045A3">
        <w:rPr>
          <w:rFonts w:cs="Arial"/>
          <w:b/>
          <w:bCs/>
          <w:i/>
          <w:szCs w:val="32"/>
          <w:lang w:eastAsia="zh-TW"/>
        </w:rPr>
        <w:t>Late breaking abstract 01.4</w:t>
      </w:r>
    </w:p>
    <w:p w14:paraId="6BFB8237" w14:textId="1AEB0CD9" w:rsidR="00024DD8" w:rsidRPr="003366DD" w:rsidRDefault="00DD0058" w:rsidP="003366DD">
      <w:pPr>
        <w:shd w:val="clear" w:color="auto" w:fill="FFFFFF"/>
        <w:spacing w:line="240" w:lineRule="auto"/>
        <w:jc w:val="both"/>
        <w:rPr>
          <w:rFonts w:cs="Arial"/>
          <w:b/>
          <w:bCs/>
          <w:sz w:val="32"/>
          <w:szCs w:val="32"/>
          <w:lang w:eastAsia="zh-TW"/>
        </w:rPr>
      </w:pPr>
      <w:r w:rsidRPr="00B045A3">
        <w:rPr>
          <w:rFonts w:cs="Arial"/>
          <w:b/>
          <w:bCs/>
          <w:sz w:val="32"/>
          <w:szCs w:val="32"/>
          <w:lang w:eastAsia="zh-TW"/>
        </w:rPr>
        <w:t xml:space="preserve">I </w:t>
      </w:r>
      <w:r w:rsidR="00B4557F" w:rsidRPr="00B045A3">
        <w:rPr>
          <w:rFonts w:cs="Arial"/>
          <w:b/>
          <w:bCs/>
          <w:sz w:val="32"/>
          <w:szCs w:val="32"/>
          <w:lang w:eastAsia="zh-TW"/>
        </w:rPr>
        <w:t xml:space="preserve">Risultati finali </w:t>
      </w:r>
      <w:r w:rsidR="003F127D" w:rsidRPr="00B045A3">
        <w:rPr>
          <w:rFonts w:cs="Arial"/>
          <w:b/>
          <w:bCs/>
          <w:sz w:val="32"/>
          <w:szCs w:val="32"/>
          <w:lang w:eastAsia="zh-TW"/>
        </w:rPr>
        <w:t>dello studio</w:t>
      </w:r>
      <w:r w:rsidRPr="00B045A3">
        <w:rPr>
          <w:rFonts w:cs="Arial"/>
          <w:b/>
          <w:bCs/>
          <w:sz w:val="32"/>
          <w:szCs w:val="32"/>
          <w:lang w:eastAsia="zh-TW"/>
        </w:rPr>
        <w:t xml:space="preserve"> di Fase III</w:t>
      </w:r>
      <w:r w:rsidR="00B4557F" w:rsidRPr="00B045A3">
        <w:rPr>
          <w:rFonts w:cs="Arial"/>
          <w:b/>
          <w:bCs/>
          <w:sz w:val="32"/>
          <w:szCs w:val="32"/>
          <w:lang w:eastAsia="zh-TW"/>
        </w:rPr>
        <w:t xml:space="preserve"> </w:t>
      </w:r>
      <w:r>
        <w:rPr>
          <w:rFonts w:cs="Arial"/>
          <w:b/>
          <w:bCs/>
          <w:sz w:val="32"/>
          <w:szCs w:val="32"/>
          <w:lang w:eastAsia="zh-TW"/>
        </w:rPr>
        <w:t>RE-VERSE AD</w:t>
      </w:r>
      <w:r w:rsidR="00B045A3">
        <w:rPr>
          <w:rFonts w:cs="Arial"/>
          <w:b/>
          <w:bCs/>
          <w:sz w:val="32"/>
          <w:szCs w:val="32"/>
          <w:lang w:eastAsia="zh-TW"/>
        </w:rPr>
        <w:t xml:space="preserve"> </w:t>
      </w:r>
      <w:r w:rsidR="00B4557F">
        <w:rPr>
          <w:rFonts w:cs="Arial"/>
          <w:b/>
          <w:bCs/>
          <w:sz w:val="32"/>
          <w:szCs w:val="32"/>
          <w:lang w:eastAsia="zh-TW"/>
        </w:rPr>
        <w:t>c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>onf</w:t>
      </w:r>
      <w:r w:rsidR="00B4557F">
        <w:rPr>
          <w:rFonts w:cs="Arial"/>
          <w:b/>
          <w:bCs/>
          <w:sz w:val="32"/>
          <w:szCs w:val="32"/>
          <w:lang w:eastAsia="zh-TW"/>
        </w:rPr>
        <w:t>e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>rm</w:t>
      </w:r>
      <w:r w:rsidR="00B4557F">
        <w:rPr>
          <w:rFonts w:cs="Arial"/>
          <w:b/>
          <w:bCs/>
          <w:sz w:val="32"/>
          <w:szCs w:val="32"/>
          <w:lang w:eastAsia="zh-TW"/>
        </w:rPr>
        <w:t>a</w:t>
      </w:r>
      <w:r w:rsidR="00B045A3">
        <w:rPr>
          <w:rFonts w:cs="Arial"/>
          <w:b/>
          <w:bCs/>
          <w:sz w:val="32"/>
          <w:szCs w:val="32"/>
          <w:lang w:eastAsia="zh-TW"/>
        </w:rPr>
        <w:t>no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 xml:space="preserve"> </w:t>
      </w:r>
      <w:r w:rsidR="00B4557F">
        <w:rPr>
          <w:rFonts w:cs="Arial"/>
          <w:b/>
          <w:bCs/>
          <w:sz w:val="32"/>
          <w:szCs w:val="32"/>
          <w:lang w:eastAsia="zh-TW"/>
        </w:rPr>
        <w:t>il b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>enefi</w:t>
      </w:r>
      <w:r w:rsidR="00B4557F">
        <w:rPr>
          <w:rFonts w:cs="Arial"/>
          <w:b/>
          <w:bCs/>
          <w:sz w:val="32"/>
          <w:szCs w:val="32"/>
          <w:lang w:eastAsia="zh-TW"/>
        </w:rPr>
        <w:t>cio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 xml:space="preserve"> </w:t>
      </w:r>
      <w:r w:rsidR="00B4557F">
        <w:rPr>
          <w:rFonts w:cs="Arial"/>
          <w:b/>
          <w:bCs/>
          <w:sz w:val="32"/>
          <w:szCs w:val="32"/>
          <w:lang w:eastAsia="zh-TW"/>
        </w:rPr>
        <w:t>di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 xml:space="preserve"> </w:t>
      </w:r>
      <w:r w:rsidR="00B4557F">
        <w:rPr>
          <w:rFonts w:cs="Arial"/>
          <w:b/>
          <w:bCs/>
          <w:sz w:val="32"/>
          <w:szCs w:val="32"/>
          <w:lang w:eastAsia="zh-TW"/>
        </w:rPr>
        <w:t>idarucizumab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 xml:space="preserve"> </w:t>
      </w:r>
      <w:r w:rsidR="00B4557F">
        <w:rPr>
          <w:rFonts w:cs="Arial"/>
          <w:b/>
          <w:bCs/>
          <w:sz w:val="32"/>
          <w:szCs w:val="32"/>
          <w:lang w:eastAsia="zh-TW"/>
        </w:rPr>
        <w:t>come farmaco che inattiva l’effetto di dabigatran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 xml:space="preserve"> </w:t>
      </w:r>
      <w:r w:rsidR="00B4557F">
        <w:rPr>
          <w:rFonts w:cs="Arial"/>
          <w:b/>
          <w:bCs/>
          <w:sz w:val="32"/>
          <w:szCs w:val="32"/>
          <w:lang w:eastAsia="zh-TW"/>
        </w:rPr>
        <w:t>in situazioni d’e</w:t>
      </w:r>
      <w:r w:rsidR="00B4557F" w:rsidRPr="00737939">
        <w:rPr>
          <w:rFonts w:cs="Arial"/>
          <w:b/>
          <w:bCs/>
          <w:sz w:val="32"/>
          <w:szCs w:val="32"/>
          <w:lang w:eastAsia="zh-TW"/>
        </w:rPr>
        <w:t>mergen</w:t>
      </w:r>
      <w:r w:rsidR="00B4557F">
        <w:rPr>
          <w:rFonts w:cs="Arial"/>
          <w:b/>
          <w:bCs/>
          <w:sz w:val="32"/>
          <w:szCs w:val="32"/>
          <w:lang w:eastAsia="zh-TW"/>
        </w:rPr>
        <w:t>za</w:t>
      </w:r>
    </w:p>
    <w:p w14:paraId="2ABF6EF8" w14:textId="77777777" w:rsidR="00B4557F" w:rsidRPr="00B4557F" w:rsidRDefault="00B4557F" w:rsidP="00B4557F">
      <w:pPr>
        <w:pStyle w:val="Paragrafoelenco"/>
        <w:numPr>
          <w:ilvl w:val="0"/>
          <w:numId w:val="8"/>
        </w:numPr>
        <w:spacing w:line="264" w:lineRule="auto"/>
        <w:ind w:left="360"/>
        <w:jc w:val="both"/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</w:pPr>
      <w:bookmarkStart w:id="0" w:name="_Ref456951377"/>
      <w:r w:rsidRPr="00B4557F">
        <w:rPr>
          <w:rFonts w:asciiTheme="minorHAnsi" w:hAnsiTheme="minorHAnsi"/>
          <w:i/>
          <w:sz w:val="22"/>
          <w:szCs w:val="22"/>
          <w:lang w:val="it-IT"/>
        </w:rPr>
        <w:t xml:space="preserve">I </w:t>
      </w:r>
      <w:r w:rsidR="00D764A3">
        <w:rPr>
          <w:rFonts w:asciiTheme="minorHAnsi" w:hAnsiTheme="minorHAnsi"/>
          <w:i/>
          <w:sz w:val="22"/>
          <w:szCs w:val="22"/>
          <w:lang w:val="it-IT"/>
        </w:rPr>
        <w:t xml:space="preserve">dati completi relativi ai </w:t>
      </w:r>
      <w:r w:rsidRPr="00B4557F">
        <w:rPr>
          <w:rFonts w:asciiTheme="minorHAnsi" w:hAnsiTheme="minorHAnsi"/>
          <w:i/>
          <w:sz w:val="22"/>
          <w:szCs w:val="22"/>
          <w:lang w:val="it-IT"/>
        </w:rPr>
        <w:t xml:space="preserve">503 pazienti </w:t>
      </w:r>
      <w:r w:rsidR="00D764A3">
        <w:rPr>
          <w:rFonts w:asciiTheme="minorHAnsi" w:hAnsiTheme="minorHAnsi"/>
          <w:i/>
          <w:sz w:val="22"/>
          <w:szCs w:val="22"/>
          <w:lang w:val="it-IT"/>
        </w:rPr>
        <w:t xml:space="preserve">dello studio </w:t>
      </w:r>
      <w:r w:rsidRPr="00B4557F">
        <w:rPr>
          <w:rFonts w:asciiTheme="minorHAnsi" w:hAnsiTheme="minorHAnsi"/>
          <w:i/>
          <w:sz w:val="22"/>
          <w:szCs w:val="22"/>
          <w:lang w:val="it-IT"/>
        </w:rPr>
        <w:t xml:space="preserve">dimostrano che </w:t>
      </w:r>
      <w:r w:rsidRPr="00506A01">
        <w:rPr>
          <w:rFonts w:asciiTheme="minorHAnsi" w:hAnsiTheme="minorHAnsi"/>
          <w:b/>
          <w:bCs/>
          <w:i/>
          <w:sz w:val="22"/>
          <w:szCs w:val="22"/>
          <w:lang w:val="it-IT"/>
        </w:rPr>
        <w:t>idarucizumab inattiva l’effetto anticoagulante di dabigatran etexilato in situazioni d’emergenza/urgenza</w:t>
      </w:r>
      <w:r w:rsidRPr="00506A01">
        <w:rPr>
          <w:rFonts w:asciiTheme="minorHAnsi" w:eastAsia="Calibri" w:hAnsiTheme="minorHAnsi" w:cs="BISansNEXTCond-Bold"/>
          <w:b/>
          <w:bCs/>
          <w:i/>
          <w:sz w:val="22"/>
          <w:szCs w:val="22"/>
          <w:vertAlign w:val="superscript"/>
          <w:lang w:val="it-IT"/>
        </w:rPr>
        <w:t xml:space="preserve">1 </w:t>
      </w:r>
      <w:r w:rsidRPr="00506A01">
        <w:rPr>
          <w:rFonts w:asciiTheme="minorHAnsi" w:hAnsiTheme="minorHAnsi"/>
          <w:b/>
          <w:bCs/>
          <w:i/>
          <w:sz w:val="22"/>
          <w:szCs w:val="22"/>
          <w:lang w:val="it-IT"/>
        </w:rPr>
        <w:t xml:space="preserve">in modo immediato, completo e </w:t>
      </w:r>
      <w:r w:rsidR="003F127D" w:rsidRPr="00506A01">
        <w:rPr>
          <w:rFonts w:asciiTheme="minorHAnsi" w:hAnsiTheme="minorHAnsi"/>
          <w:b/>
          <w:bCs/>
          <w:i/>
          <w:sz w:val="22"/>
          <w:szCs w:val="22"/>
          <w:lang w:val="it-IT"/>
        </w:rPr>
        <w:t>sostenuto nel</w:t>
      </w:r>
      <w:r w:rsidRPr="00506A01">
        <w:rPr>
          <w:rFonts w:asciiTheme="minorHAnsi" w:hAnsiTheme="minorHAnsi"/>
          <w:b/>
          <w:bCs/>
          <w:i/>
          <w:sz w:val="22"/>
          <w:szCs w:val="22"/>
          <w:lang w:val="it-IT"/>
        </w:rPr>
        <w:t xml:space="preserve"> tempo</w:t>
      </w:r>
      <w:r w:rsidRPr="003366DD">
        <w:rPr>
          <w:rFonts w:asciiTheme="minorHAnsi" w:hAnsiTheme="minorHAnsi"/>
          <w:bCs/>
          <w:i/>
          <w:sz w:val="22"/>
          <w:szCs w:val="22"/>
          <w:lang w:val="it-IT"/>
        </w:rPr>
        <w:t>;</w:t>
      </w:r>
      <w:r w:rsidRPr="003366DD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p w14:paraId="0D10E4A8" w14:textId="77777777" w:rsidR="00B4557F" w:rsidRPr="00B4557F" w:rsidRDefault="00B4557F" w:rsidP="00B4557F">
      <w:pPr>
        <w:pStyle w:val="Paragrafoelenco"/>
        <w:numPr>
          <w:ilvl w:val="0"/>
          <w:numId w:val="8"/>
        </w:numPr>
        <w:spacing w:line="264" w:lineRule="auto"/>
        <w:ind w:left="360"/>
        <w:jc w:val="both"/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</w:pP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I risultati finali dello studio RE-VERSE AD™ sono stati presentati al Congresso ISTH 2017</w:t>
      </w: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vertAlign w:val="superscript"/>
          <w:lang w:val="it-IT"/>
        </w:rPr>
        <w:t>1</w:t>
      </w: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 xml:space="preserve"> e contemporaneamente pubblicati sul </w:t>
      </w:r>
      <w:r w:rsidRPr="00AE267E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New England Journal of Medicine</w:t>
      </w:r>
      <w:r w:rsidR="003C40D6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.</w:t>
      </w: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vertAlign w:val="superscript"/>
          <w:lang w:val="it-IT"/>
        </w:rPr>
        <w:t xml:space="preserve">2  </w:t>
      </w:r>
    </w:p>
    <w:p w14:paraId="5C20BC39" w14:textId="77777777" w:rsidR="00B4557F" w:rsidRPr="00506A01" w:rsidRDefault="00B4557F" w:rsidP="00B4557F">
      <w:pPr>
        <w:pStyle w:val="Paragrafoelenco"/>
        <w:numPr>
          <w:ilvl w:val="0"/>
          <w:numId w:val="8"/>
        </w:numPr>
        <w:spacing w:line="264" w:lineRule="auto"/>
        <w:ind w:left="360"/>
        <w:jc w:val="both"/>
        <w:rPr>
          <w:rFonts w:asciiTheme="minorHAnsi" w:eastAsia="Calibri" w:hAnsiTheme="minorHAnsi" w:cs="BISansNEXTCond-Bold"/>
          <w:b/>
          <w:i/>
          <w:sz w:val="22"/>
          <w:szCs w:val="22"/>
          <w:lang w:val="it-IT"/>
        </w:rPr>
      </w:pP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Idarucizumab</w:t>
      </w:r>
      <w:r w:rsidR="001B4AC3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,</w:t>
      </w: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 xml:space="preserve"> il farmaco </w:t>
      </w:r>
      <w:r w:rsidR="001B4AC3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 xml:space="preserve">che inattiva in modo specifico </w:t>
      </w: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l’effetto di dabigatran etexilato</w:t>
      </w:r>
      <w:r w:rsidR="001B4AC3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>, è</w:t>
      </w:r>
      <w:r w:rsidRPr="00B4557F">
        <w:rPr>
          <w:rFonts w:asciiTheme="minorHAnsi" w:eastAsia="Calibri" w:hAnsiTheme="minorHAnsi" w:cs="BISansNEXTCond-Bold"/>
          <w:bCs/>
          <w:i/>
          <w:sz w:val="22"/>
          <w:szCs w:val="22"/>
          <w:lang w:val="it-IT"/>
        </w:rPr>
        <w:t xml:space="preserve"> approvato </w:t>
      </w:r>
      <w:r w:rsidRPr="00506A01">
        <w:rPr>
          <w:rFonts w:asciiTheme="minorHAnsi" w:eastAsia="Calibri" w:hAnsiTheme="minorHAnsi" w:cs="BISansNEXTCond-Bold"/>
          <w:b/>
          <w:i/>
          <w:sz w:val="22"/>
          <w:szCs w:val="22"/>
          <w:lang w:val="it-IT"/>
        </w:rPr>
        <w:t>in 61 Paesi e disponibile in oltre 8.200 centri</w:t>
      </w:r>
      <w:r w:rsidR="003C40D6" w:rsidRPr="003366DD">
        <w:rPr>
          <w:rFonts w:asciiTheme="minorHAnsi" w:eastAsia="Calibri" w:hAnsiTheme="minorHAnsi" w:cs="BISansNEXTCond-Bold"/>
          <w:i/>
          <w:sz w:val="22"/>
          <w:szCs w:val="22"/>
          <w:lang w:val="it-IT"/>
        </w:rPr>
        <w:t>.</w:t>
      </w:r>
      <w:r w:rsidRPr="003366DD">
        <w:rPr>
          <w:rFonts w:asciiTheme="minorHAnsi" w:eastAsia="Calibri" w:hAnsiTheme="minorHAnsi" w:cs="BISansNEXTCond-Bold"/>
          <w:i/>
          <w:sz w:val="22"/>
          <w:szCs w:val="22"/>
          <w:vertAlign w:val="superscript"/>
          <w:lang w:val="it-IT"/>
        </w:rPr>
        <w:t xml:space="preserve">3,4 </w:t>
      </w:r>
    </w:p>
    <w:p w14:paraId="6EE1C393" w14:textId="77777777" w:rsidR="00B4557F" w:rsidRPr="00737939" w:rsidRDefault="00B4557F" w:rsidP="00B4557F">
      <w:pPr>
        <w:rPr>
          <w:rStyle w:val="Highlight"/>
          <w:rFonts w:ascii="Cambria" w:hAnsi="Cambria" w:cs="Arial"/>
          <w:color w:val="003366"/>
          <w:szCs w:val="20"/>
        </w:rPr>
      </w:pPr>
    </w:p>
    <w:p w14:paraId="6618DBAE" w14:textId="030B5A80" w:rsidR="00B4557F" w:rsidRPr="00B4557F" w:rsidRDefault="00B4557F" w:rsidP="00B4557F">
      <w:pPr>
        <w:pStyle w:val="Testocommento"/>
        <w:spacing w:line="264" w:lineRule="auto"/>
        <w:jc w:val="both"/>
        <w:rPr>
          <w:rFonts w:asciiTheme="minorHAnsi" w:eastAsia="Times New Roman" w:hAnsiTheme="minorHAnsi"/>
          <w:bCs/>
          <w:sz w:val="22"/>
          <w:szCs w:val="22"/>
          <w:lang w:val="it-IT"/>
        </w:rPr>
      </w:pPr>
      <w:r w:rsidRPr="00B4557F">
        <w:rPr>
          <w:rStyle w:val="Highlight"/>
          <w:rFonts w:asciiTheme="minorHAnsi" w:hAnsiTheme="minorHAnsi"/>
          <w:color w:val="auto"/>
          <w:sz w:val="22"/>
          <w:szCs w:val="22"/>
          <w:lang w:val="it-IT"/>
        </w:rPr>
        <w:t>Ingelheim, Germania,</w:t>
      </w:r>
      <w:r w:rsidRPr="00B4557F">
        <w:rPr>
          <w:rStyle w:val="Highlight"/>
          <w:rFonts w:asciiTheme="minorHAnsi" w:hAnsiTheme="minorHAnsi"/>
          <w:b w:val="0"/>
          <w:color w:val="auto"/>
          <w:sz w:val="22"/>
          <w:szCs w:val="22"/>
          <w:lang w:val="it-IT"/>
        </w:rPr>
        <w:t xml:space="preserve"> </w:t>
      </w:r>
      <w:r w:rsidRPr="00B4557F">
        <w:rPr>
          <w:rStyle w:val="Highlight"/>
          <w:rFonts w:asciiTheme="minorHAnsi" w:hAnsiTheme="minorHAnsi"/>
          <w:color w:val="auto"/>
          <w:sz w:val="22"/>
          <w:szCs w:val="22"/>
          <w:lang w:val="it-IT"/>
        </w:rPr>
        <w:t xml:space="preserve">11 luglio 2017 </w:t>
      </w:r>
      <w:r w:rsidRPr="00B4557F">
        <w:rPr>
          <w:rFonts w:asciiTheme="minorHAnsi" w:hAnsiTheme="minorHAnsi"/>
          <w:sz w:val="22"/>
          <w:szCs w:val="22"/>
          <w:lang w:val="it-IT"/>
        </w:rPr>
        <w:t xml:space="preserve">–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Boehringer Ingelheim ha presentato oggi </w:t>
      </w:r>
      <w:r w:rsidR="00932EF9" w:rsidRPr="00932EF9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 risultati finali dello studio RE-VERSE AD™1,2 </w:t>
      </w:r>
      <w:r w:rsidR="00932EF9">
        <w:rPr>
          <w:rFonts w:asciiTheme="minorHAnsi" w:eastAsia="Times New Roman" w:hAnsiTheme="minorHAnsi"/>
          <w:bCs/>
          <w:sz w:val="22"/>
          <w:szCs w:val="22"/>
          <w:lang w:val="it-IT"/>
        </w:rPr>
        <w:t>(</w:t>
      </w:r>
      <w:r w:rsidR="00DD0058" w:rsidRPr="00DD005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contemporaneamente pubblicati sul </w:t>
      </w:r>
      <w:r w:rsidR="00DD0058" w:rsidRPr="003366DD">
        <w:rPr>
          <w:rFonts w:asciiTheme="minorHAnsi" w:eastAsia="Times New Roman" w:hAnsiTheme="minorHAnsi"/>
          <w:bCs/>
          <w:i/>
          <w:sz w:val="22"/>
          <w:szCs w:val="22"/>
          <w:lang w:val="it-IT"/>
        </w:rPr>
        <w:t>New England Journal of Medicine</w:t>
      </w:r>
      <w:r w:rsidR="00932EF9">
        <w:rPr>
          <w:rFonts w:asciiTheme="minorHAnsi" w:eastAsia="Times New Roman" w:hAnsiTheme="minorHAnsi"/>
          <w:bCs/>
          <w:sz w:val="22"/>
          <w:szCs w:val="22"/>
          <w:lang w:val="it-IT"/>
        </w:rPr>
        <w:t>)</w:t>
      </w:r>
      <w:r w:rsidR="003C40D6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nel corso del 26° Congresso Biennale della Società Internazionale di Trombosi ed Emostasi (ISTH 2017) di Berlino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>.</w:t>
      </w:r>
      <w:r w:rsidR="004652B4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7A0DFB">
        <w:rPr>
          <w:rFonts w:asciiTheme="minorHAnsi" w:eastAsia="Times New Roman" w:hAnsiTheme="minorHAnsi"/>
          <w:bCs/>
          <w:sz w:val="22"/>
          <w:szCs w:val="22"/>
          <w:lang w:val="it-IT"/>
        </w:rPr>
        <w:t>I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darucizumab </w:t>
      </w:r>
      <w:r w:rsidR="003F127D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ha </w:t>
      </w:r>
      <w:r w:rsidR="003F127D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inattivato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l’effetto anticoagulante di dabigatran etexilato in maniera immediata</w:t>
      </w:r>
      <w:r w:rsidR="00E00354">
        <w:rPr>
          <w:rFonts w:asciiTheme="minorHAnsi" w:eastAsia="Times New Roman" w:hAnsiTheme="minorHAnsi"/>
          <w:bCs/>
          <w:sz w:val="22"/>
          <w:szCs w:val="22"/>
          <w:lang w:val="it-IT"/>
        </w:rPr>
        <w:t>,</w:t>
      </w:r>
      <w:r w:rsidR="004652B4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completa</w:t>
      </w:r>
      <w:r w:rsidR="00E00354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e sostenuta nel tempo,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in situazioni d’emergenza/</w:t>
      </w:r>
      <w:r w:rsidR="003366DD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urgenza</w:t>
      </w:r>
      <w:r w:rsidR="003366DD">
        <w:rPr>
          <w:rFonts w:asciiTheme="minorHAnsi" w:eastAsia="Times New Roman" w:hAnsiTheme="minorHAnsi"/>
          <w:bCs/>
          <w:sz w:val="22"/>
          <w:szCs w:val="22"/>
          <w:lang w:val="it-IT"/>
        </w:rPr>
        <w:t>;</w:t>
      </w:r>
      <w:r w:rsidR="003366DD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3366DD">
        <w:rPr>
          <w:rFonts w:asciiTheme="minorHAnsi" w:eastAsia="Times New Roman" w:hAnsiTheme="minorHAnsi"/>
          <w:bCs/>
          <w:sz w:val="22"/>
          <w:szCs w:val="22"/>
          <w:lang w:val="it-IT"/>
        </w:rPr>
        <w:t>i</w:t>
      </w:r>
      <w:r w:rsidR="007A0DFB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risultati </w:t>
      </w:r>
      <w:r w:rsidR="007A0DFB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sono stati </w:t>
      </w:r>
      <w:r w:rsidR="00B045A3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sovrapponibili </w:t>
      </w:r>
      <w:r w:rsidR="00B045A3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sia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nei pazienti che </w:t>
      </w:r>
      <w:r w:rsidR="007A0DFB">
        <w:rPr>
          <w:rFonts w:asciiTheme="minorHAnsi" w:eastAsia="Times New Roman" w:hAnsiTheme="minorHAnsi"/>
          <w:bCs/>
          <w:sz w:val="22"/>
          <w:szCs w:val="22"/>
          <w:lang w:val="it-IT"/>
        </w:rPr>
        <w:t>necessitavano di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intervento </w:t>
      </w:r>
      <w:r w:rsidR="001B4AC3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chirurgico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urgente, sia nei casi di sanguinamento </w:t>
      </w:r>
      <w:r w:rsidR="001B4AC3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non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controllato o con un po</w:t>
      </w:r>
      <w:r w:rsidR="003C40D6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tenziale rischio per la vita </w:t>
      </w:r>
      <w:r w:rsidR="005719CC">
        <w:rPr>
          <w:rFonts w:asciiTheme="minorHAnsi" w:eastAsia="Times New Roman" w:hAnsiTheme="minorHAnsi"/>
          <w:bCs/>
          <w:sz w:val="22"/>
          <w:szCs w:val="22"/>
          <w:lang w:val="it-IT"/>
        </w:rPr>
        <w:t>degli</w:t>
      </w:r>
      <w:r w:rsidR="005719CC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5719CC">
        <w:rPr>
          <w:rFonts w:asciiTheme="minorHAnsi" w:eastAsia="Times New Roman" w:hAnsiTheme="minorHAnsi"/>
          <w:bCs/>
          <w:sz w:val="22"/>
          <w:szCs w:val="22"/>
          <w:lang w:val="it-IT"/>
        </w:rPr>
        <w:t>stessi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. 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Grazie alla </w:t>
      </w:r>
      <w:r w:rsidR="001B4AC3">
        <w:rPr>
          <w:rFonts w:asciiTheme="minorHAnsi" w:eastAsia="Times New Roman" w:hAnsiTheme="minorHAnsi"/>
          <w:bCs/>
          <w:sz w:val="22"/>
          <w:szCs w:val="22"/>
          <w:lang w:val="it-IT"/>
        </w:rPr>
        <w:t>neutralizzazione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dell’effetto anticoagulante di dabigatran etexilato 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gli operatori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sanitari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hanno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avvia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>to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rapidamente </w:t>
      </w:r>
      <w:r w:rsidR="007A0DFB">
        <w:rPr>
          <w:rFonts w:asciiTheme="minorHAnsi" w:eastAsia="Times New Roman" w:hAnsiTheme="minorHAnsi"/>
          <w:bCs/>
          <w:sz w:val="22"/>
          <w:szCs w:val="22"/>
          <w:lang w:val="it-IT"/>
        </w:rPr>
        <w:t>le procedure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d’emergenza/urgenza.</w:t>
      </w:r>
      <w:r w:rsidRPr="00B4557F"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  <w:t>1,2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</w:p>
    <w:p w14:paraId="62B09706" w14:textId="26BB728D" w:rsidR="00B4557F" w:rsidRPr="00B4557F" w:rsidRDefault="00B4557F" w:rsidP="00B4557F">
      <w:pPr>
        <w:pStyle w:val="Testocommento"/>
        <w:spacing w:line="264" w:lineRule="auto"/>
        <w:jc w:val="both"/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</w:pP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L’endpoint primario dello studio RE-VERSE AD™ era </w:t>
      </w:r>
      <w:r w:rsidR="001B4AC3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il grado di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inattivazione dell’effetto anticoagulante di dabigatran etexilato entro quattro ore dalla somministrazione, misurato </w:t>
      </w:r>
      <w:r w:rsidRPr="00B4557F">
        <w:rPr>
          <w:rFonts w:asciiTheme="minorHAnsi" w:hAnsiTheme="minorHAnsi"/>
          <w:sz w:val="22"/>
          <w:szCs w:val="22"/>
          <w:lang w:val="it-IT"/>
        </w:rPr>
        <w:t>attraverso il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tempo di trombina diluito (dTT) e il tem</w:t>
      </w:r>
      <w:r w:rsidR="003C40D6">
        <w:rPr>
          <w:rFonts w:asciiTheme="minorHAnsi" w:eastAsia="Times New Roman" w:hAnsiTheme="minorHAnsi"/>
          <w:bCs/>
          <w:sz w:val="22"/>
          <w:szCs w:val="22"/>
          <w:lang w:val="it-IT"/>
        </w:rPr>
        <w:t>po di ecarina (ECT), che è stato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3C40D6">
        <w:rPr>
          <w:rFonts w:asciiTheme="minorHAnsi" w:eastAsia="Times New Roman" w:hAnsiTheme="minorHAnsi"/>
          <w:bCs/>
          <w:sz w:val="22"/>
          <w:szCs w:val="22"/>
          <w:lang w:val="it-IT"/>
        </w:rPr>
        <w:t>raggiunto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1B4AC3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nel 100% dei pazienti (IC al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95</w:t>
      </w:r>
      <w:r w:rsidR="004D6F37">
        <w:rPr>
          <w:rFonts w:asciiTheme="minorHAnsi" w:eastAsia="Times New Roman" w:hAnsiTheme="minorHAnsi"/>
          <w:bCs/>
          <w:sz w:val="22"/>
          <w:szCs w:val="22"/>
          <w:lang w:val="it-IT"/>
        </w:rPr>
        <w:t>%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, 100-100).</w:t>
      </w:r>
      <w:r w:rsidRPr="00B4557F" w:rsidDel="0018760D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L’inattivazione è </w:t>
      </w:r>
      <w:r w:rsid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risultata 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evidente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immediatamente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dopo la somministrazione di idarucizumab e mantenuta per 24 ore nella</w:t>
      </w:r>
      <w:r w:rsidR="004D6F37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maggior parte dei pazienti. </w:t>
      </w:r>
      <w:r w:rsidR="00BA37F8">
        <w:rPr>
          <w:rFonts w:asciiTheme="minorHAnsi" w:eastAsia="Times New Roman" w:hAnsiTheme="minorHAnsi"/>
          <w:bCs/>
          <w:sz w:val="22"/>
          <w:szCs w:val="22"/>
          <w:lang w:val="it-IT"/>
        </w:rPr>
        <w:t>È</w:t>
      </w:r>
      <w:r w:rsidR="004D6F37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stata,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lastRenderedPageBreak/>
        <w:t>inoltre, indipendente da età, sesso, funzionalità renale e concentrazione di dabigatran al basale.</w:t>
      </w:r>
      <w:r w:rsidRPr="00B4557F"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  <w:t>1,2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Nel 98% dei pazienti è stat</w:t>
      </w:r>
      <w:r w:rsidR="00641E32">
        <w:rPr>
          <w:rFonts w:asciiTheme="minorHAnsi" w:eastAsia="Times New Roman" w:hAnsiTheme="minorHAnsi"/>
          <w:bCs/>
          <w:sz w:val="22"/>
          <w:szCs w:val="22"/>
          <w:lang w:val="it-IT"/>
        </w:rPr>
        <w:t>o utilizzato il dosaggio standard di 5g già approvato dagli Enti Regolatori.</w:t>
      </w:r>
      <w:r w:rsidR="004652B4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Gli esiti clinici rilevati dagli endpoint secondari hanno </w:t>
      </w:r>
      <w:r w:rsidR="00932EF9">
        <w:rPr>
          <w:rFonts w:asciiTheme="minorHAnsi" w:eastAsia="Times New Roman" w:hAnsiTheme="minorHAnsi"/>
          <w:bCs/>
          <w:sz w:val="22"/>
          <w:szCs w:val="22"/>
          <w:lang w:val="it-IT"/>
        </w:rPr>
        <w:t>messo in luce l’importanza di avere a disposizione un antidoto per i pazienti in terapia anticoagulante</w:t>
      </w:r>
      <w:r w:rsidR="002B2557">
        <w:rPr>
          <w:rFonts w:asciiTheme="minorHAnsi" w:eastAsia="Times New Roman" w:hAnsiTheme="minorHAnsi"/>
          <w:bCs/>
          <w:sz w:val="22"/>
          <w:szCs w:val="22"/>
          <w:lang w:val="it-IT"/>
        </w:rPr>
        <w:t>:</w:t>
      </w:r>
      <w:r w:rsidRPr="00B4557F"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  <w:t>1,2</w:t>
      </w:r>
      <w:r w:rsidR="00932EF9"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  <w:t>.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nei 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pazienti del</w:t>
      </w:r>
      <w:r w:rsidR="00932EF9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Gruppo A (sanguinamento acuto)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l’emorragia 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è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cessat</w:t>
      </w:r>
      <w:r w:rsidR="00932EF9">
        <w:rPr>
          <w:rFonts w:asciiTheme="minorHAnsi" w:eastAsia="Times New Roman" w:hAnsiTheme="minorHAnsi"/>
          <w:bCs/>
          <w:sz w:val="22"/>
          <w:szCs w:val="22"/>
          <w:lang w:val="it-IT"/>
        </w:rPr>
        <w:t>a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in un tempo mediano di due ore e mezza; in quelli che hanno avuto bisogno di un</w:t>
      </w:r>
      <w:r w:rsidR="001271F2">
        <w:rPr>
          <w:rFonts w:asciiTheme="minorHAnsi" w:eastAsia="Times New Roman" w:hAnsiTheme="minorHAnsi"/>
          <w:bCs/>
          <w:sz w:val="22"/>
          <w:szCs w:val="22"/>
          <w:lang w:val="it-IT"/>
        </w:rPr>
        <w:t>a procedura/intervento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="005234F1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di emergenza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(Gruppo B), si è 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potut</w:t>
      </w:r>
      <w:r w:rsidR="00BA37F8">
        <w:rPr>
          <w:rFonts w:asciiTheme="minorHAnsi" w:eastAsia="Times New Roman" w:hAnsiTheme="minorHAnsi"/>
          <w:bCs/>
          <w:sz w:val="22"/>
          <w:szCs w:val="22"/>
          <w:lang w:val="it-IT"/>
        </w:rPr>
        <w:t>o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procedere</w:t>
      </w:r>
      <w:r w:rsidR="001271F2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dopo un tempo mediano di poco più di un’ora e mezza (1,6 ore). Nel 93,4% dei pazienti che hanno avuto necessità di un intervento, l’emostasi nel corso dell’intervento stesso è stata descritta come normale.</w:t>
      </w:r>
      <w:r w:rsidRPr="00B4557F"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  <w:t>1,2</w:t>
      </w:r>
    </w:p>
    <w:p w14:paraId="2B9EA1D7" w14:textId="2E4C1C40" w:rsidR="00B4557F" w:rsidRPr="00B4557F" w:rsidRDefault="00B4557F" w:rsidP="00B4557F">
      <w:pPr>
        <w:pStyle w:val="Testocommento"/>
        <w:spacing w:line="264" w:lineRule="auto"/>
        <w:jc w:val="both"/>
        <w:rPr>
          <w:rFonts w:asciiTheme="minorHAnsi" w:eastAsia="Times New Roman" w:hAnsiTheme="minorHAnsi"/>
          <w:bCs/>
          <w:sz w:val="22"/>
          <w:szCs w:val="22"/>
          <w:lang w:val="it-IT"/>
        </w:rPr>
      </w:pP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“A chiunque può capitare un’emergenza o un incidente e chi soffre di </w:t>
      </w:r>
      <w:r w:rsidR="005234F1">
        <w:rPr>
          <w:rFonts w:asciiTheme="minorHAnsi" w:eastAsia="Times New Roman" w:hAnsiTheme="minorHAnsi"/>
          <w:bCs/>
          <w:sz w:val="22"/>
          <w:szCs w:val="22"/>
          <w:lang w:val="it-IT"/>
        </w:rPr>
        <w:t>fibrillazione a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triale ed è in terapia anticoagulante può essere particolarmente preoccupato di questo” </w:t>
      </w:r>
      <w:r w:rsidR="00A2124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-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ha commentato Charles Pollack, </w:t>
      </w:r>
      <w:r w:rsidR="005234F1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Lead </w:t>
      </w:r>
      <w:r w:rsid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Investigator 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di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RE-VERSE AD™, Professore di Medicina d’Emergenza-Urgenza, Sidney Kimmel Medical College, Università Thomas Jefferson di Filadelfia, USA. “RE-VERSE AD™ ha dimostrato che idarucizumab </w:t>
      </w:r>
      <w:r w:rsidR="005234F1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neutralizza 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l’effetto anticoagulante di dabigatran entro pochi minuti e realizza un’inattivazione immediata, completa e </w:t>
      </w:r>
      <w:r w:rsid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sostenuta </w:t>
      </w:r>
      <w:r w:rsidR="00BA37F8"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nel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tempo, consentendo ai medici di concentrarsi sul</w:t>
      </w:r>
      <w:r w:rsidR="00EB06B9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la gestione </w:t>
      </w:r>
      <w:r w:rsidR="00F66E6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clinica </w:t>
      </w:r>
      <w:r w:rsidR="00EB06B9">
        <w:rPr>
          <w:rFonts w:asciiTheme="minorHAnsi" w:eastAsia="Times New Roman" w:hAnsiTheme="minorHAnsi"/>
          <w:bCs/>
          <w:sz w:val="22"/>
          <w:szCs w:val="22"/>
          <w:lang w:val="it-IT"/>
        </w:rPr>
        <w:t>dell’</w:t>
      </w: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>emergenza”.</w:t>
      </w:r>
    </w:p>
    <w:p w14:paraId="7FB374B7" w14:textId="4BDCEBF1" w:rsidR="00B4557F" w:rsidRPr="00B4557F" w:rsidRDefault="00B4557F" w:rsidP="00B4557F">
      <w:pPr>
        <w:jc w:val="both"/>
        <w:outlineLvl w:val="0"/>
        <w:rPr>
          <w:rFonts w:asciiTheme="minorHAnsi" w:eastAsia="Times New Roman" w:hAnsiTheme="minorHAnsi"/>
          <w:bCs/>
        </w:rPr>
      </w:pPr>
      <w:r w:rsidRPr="00B4557F">
        <w:rPr>
          <w:rFonts w:asciiTheme="minorHAnsi" w:eastAsia="Times New Roman" w:hAnsiTheme="minorHAnsi"/>
          <w:bCs/>
        </w:rPr>
        <w:t>Nello studio non sono stati osservati eventi avversi gravi</w:t>
      </w:r>
      <w:r w:rsidR="00EB06B9">
        <w:rPr>
          <w:rFonts w:asciiTheme="minorHAnsi" w:eastAsia="Times New Roman" w:hAnsiTheme="minorHAnsi"/>
          <w:bCs/>
        </w:rPr>
        <w:t xml:space="preserve"> </w:t>
      </w:r>
      <w:r w:rsidR="00BA37F8">
        <w:rPr>
          <w:rFonts w:asciiTheme="minorHAnsi" w:eastAsia="Times New Roman" w:hAnsiTheme="minorHAnsi"/>
          <w:bCs/>
        </w:rPr>
        <w:t xml:space="preserve">correlabili </w:t>
      </w:r>
      <w:r w:rsidR="00BA37F8" w:rsidRPr="00B4557F">
        <w:rPr>
          <w:rFonts w:asciiTheme="minorHAnsi" w:eastAsia="Times New Roman" w:hAnsiTheme="minorHAnsi"/>
          <w:bCs/>
        </w:rPr>
        <w:t>a</w:t>
      </w:r>
      <w:r w:rsidRPr="00B4557F">
        <w:rPr>
          <w:rFonts w:asciiTheme="minorHAnsi" w:eastAsia="Times New Roman" w:hAnsiTheme="minorHAnsi"/>
          <w:bCs/>
        </w:rPr>
        <w:t xml:space="preserve"> idarucizumab. I pazienti arruolati erano anziani e con numerose co-morbilità</w:t>
      </w:r>
      <w:r w:rsidR="00EB06B9">
        <w:rPr>
          <w:rFonts w:asciiTheme="minorHAnsi" w:eastAsia="Times New Roman" w:hAnsiTheme="minorHAnsi"/>
          <w:bCs/>
        </w:rPr>
        <w:t>,</w:t>
      </w:r>
      <w:r w:rsidR="00641E32" w:rsidRPr="00641E32">
        <w:t xml:space="preserve"> </w:t>
      </w:r>
      <w:r w:rsidR="004B30B1">
        <w:rPr>
          <w:rFonts w:asciiTheme="minorHAnsi" w:eastAsia="Times New Roman" w:hAnsiTheme="minorHAnsi"/>
          <w:bCs/>
        </w:rPr>
        <w:t>l</w:t>
      </w:r>
      <w:r w:rsidR="00641E32" w:rsidRPr="00641E32">
        <w:rPr>
          <w:rFonts w:asciiTheme="minorHAnsi" w:eastAsia="Times New Roman" w:hAnsiTheme="minorHAnsi"/>
          <w:bCs/>
        </w:rPr>
        <w:t>e condizioni cliniche dei pazienti al momento dell’arruolamento nello studio</w:t>
      </w:r>
      <w:r w:rsidRPr="00B4557F">
        <w:rPr>
          <w:rFonts w:asciiTheme="minorHAnsi" w:eastAsia="Times New Roman" w:hAnsiTheme="minorHAnsi"/>
          <w:bCs/>
        </w:rPr>
        <w:t xml:space="preserve"> erano </w:t>
      </w:r>
      <w:r w:rsidR="00EB06B9">
        <w:rPr>
          <w:rFonts w:asciiTheme="minorHAnsi" w:eastAsia="Times New Roman" w:hAnsiTheme="minorHAnsi"/>
          <w:bCs/>
        </w:rPr>
        <w:t>gravi</w:t>
      </w:r>
      <w:r w:rsidR="004B30B1">
        <w:rPr>
          <w:rFonts w:asciiTheme="minorHAnsi" w:eastAsia="Times New Roman" w:hAnsiTheme="minorHAnsi"/>
          <w:bCs/>
        </w:rPr>
        <w:t xml:space="preserve">, </w:t>
      </w:r>
      <w:r w:rsidR="00641E32">
        <w:rPr>
          <w:rFonts w:asciiTheme="minorHAnsi" w:eastAsia="Times New Roman" w:hAnsiTheme="minorHAnsi"/>
          <w:bCs/>
        </w:rPr>
        <w:t>ad esempio</w:t>
      </w:r>
      <w:r w:rsidR="00BA37F8">
        <w:rPr>
          <w:rFonts w:asciiTheme="minorHAnsi" w:eastAsia="Times New Roman" w:hAnsiTheme="minorHAnsi"/>
          <w:bCs/>
        </w:rPr>
        <w:t>,</w:t>
      </w:r>
      <w:r w:rsidR="00641E32">
        <w:rPr>
          <w:rFonts w:asciiTheme="minorHAnsi" w:eastAsia="Times New Roman" w:hAnsiTheme="minorHAnsi"/>
          <w:bCs/>
        </w:rPr>
        <w:t xml:space="preserve"> </w:t>
      </w:r>
      <w:r w:rsidRPr="00B4557F">
        <w:rPr>
          <w:rFonts w:asciiTheme="minorHAnsi" w:eastAsia="Times New Roman" w:hAnsiTheme="minorHAnsi"/>
          <w:bCs/>
        </w:rPr>
        <w:t>emorragia intracranica, trauma multiplo e sepsi. La mortalità a 90 giorni è stata del 18,8% nel Gruppo A e del 18,9% nel Gruppo B. A 90 giorni, si erano verificati eventi trombotici nel 6,3% dei pazienti del Gruppo A e nel 7,4% dei pazienti del Gruppo B, percentuali in linea con quelle registrate dopo i</w:t>
      </w:r>
      <w:r w:rsidR="00BA37F8">
        <w:rPr>
          <w:rFonts w:asciiTheme="minorHAnsi" w:eastAsia="Times New Roman" w:hAnsiTheme="minorHAnsi"/>
          <w:bCs/>
        </w:rPr>
        <w:t>nterventi chirurgici maggiori o</w:t>
      </w:r>
      <w:r w:rsidRPr="00B4557F">
        <w:rPr>
          <w:rFonts w:asciiTheme="minorHAnsi" w:eastAsia="Times New Roman" w:hAnsiTheme="minorHAnsi"/>
          <w:bCs/>
        </w:rPr>
        <w:t xml:space="preserve"> ospedalizzazioni per sanguinamento </w:t>
      </w:r>
      <w:r w:rsidR="00A21E2A">
        <w:rPr>
          <w:rFonts w:asciiTheme="minorHAnsi" w:eastAsia="Times New Roman" w:hAnsiTheme="minorHAnsi"/>
          <w:bCs/>
        </w:rPr>
        <w:t xml:space="preserve">non </w:t>
      </w:r>
      <w:r w:rsidRPr="00B4557F">
        <w:rPr>
          <w:rFonts w:asciiTheme="minorHAnsi" w:eastAsia="Times New Roman" w:hAnsiTheme="minorHAnsi"/>
          <w:bCs/>
        </w:rPr>
        <w:t>controllato</w:t>
      </w:r>
      <w:r w:rsidR="00A21E2A">
        <w:rPr>
          <w:rFonts w:asciiTheme="minorHAnsi" w:eastAsia="Times New Roman" w:hAnsiTheme="minorHAnsi"/>
          <w:bCs/>
        </w:rPr>
        <w:t xml:space="preserve"> in pazienti che assumono antagonisti della Vit. k</w:t>
      </w:r>
      <w:r w:rsidRPr="00B4557F">
        <w:rPr>
          <w:rFonts w:asciiTheme="minorHAnsi" w:eastAsia="Times New Roman" w:hAnsiTheme="minorHAnsi"/>
          <w:bCs/>
        </w:rPr>
        <w:t>.</w:t>
      </w:r>
      <w:r w:rsidRPr="00B4557F">
        <w:rPr>
          <w:rFonts w:asciiTheme="minorHAnsi" w:eastAsia="Times New Roman" w:hAnsiTheme="minorHAnsi"/>
          <w:bCs/>
          <w:vertAlign w:val="superscript"/>
        </w:rPr>
        <w:t>1,2</w:t>
      </w:r>
    </w:p>
    <w:p w14:paraId="229198DA" w14:textId="77777777" w:rsidR="00B4557F" w:rsidRPr="00B4557F" w:rsidRDefault="00B4557F" w:rsidP="00B4557F">
      <w:pPr>
        <w:jc w:val="both"/>
        <w:outlineLvl w:val="0"/>
        <w:rPr>
          <w:rFonts w:asciiTheme="minorHAnsi" w:hAnsiTheme="minorHAnsi" w:cs="Arial"/>
          <w:bCs/>
          <w:kern w:val="36"/>
        </w:rPr>
      </w:pPr>
      <w:r w:rsidRPr="00B4557F">
        <w:rPr>
          <w:rFonts w:asciiTheme="minorHAnsi" w:hAnsiTheme="minorHAnsi" w:cs="Arial"/>
          <w:bCs/>
          <w:kern w:val="36"/>
        </w:rPr>
        <w:t>“Questi risultati finali dello studio RE-VERSE AD™ confermano pienamente quelli intermedi</w:t>
      </w:r>
      <w:r w:rsidRPr="00B4557F">
        <w:rPr>
          <w:rFonts w:asciiTheme="minorHAnsi" w:eastAsia="Times New Roman" w:hAnsiTheme="minorHAnsi"/>
          <w:bCs/>
        </w:rPr>
        <w:t xml:space="preserve">” </w:t>
      </w:r>
      <w:r w:rsidR="00A21245">
        <w:rPr>
          <w:rFonts w:asciiTheme="minorHAnsi" w:eastAsia="Times New Roman" w:hAnsiTheme="minorHAnsi"/>
          <w:bCs/>
        </w:rPr>
        <w:t xml:space="preserve">- </w:t>
      </w:r>
      <w:r w:rsidRPr="00B4557F">
        <w:rPr>
          <w:rFonts w:asciiTheme="minorHAnsi" w:eastAsia="Times New Roman" w:hAnsiTheme="minorHAnsi"/>
          <w:bCs/>
        </w:rPr>
        <w:t xml:space="preserve">ha dichiarato il </w:t>
      </w:r>
      <w:r w:rsidRPr="00B4557F">
        <w:rPr>
          <w:rFonts w:asciiTheme="minorHAnsi" w:hAnsiTheme="minorHAnsi" w:cs="Arial"/>
          <w:bCs/>
          <w:kern w:val="36"/>
        </w:rPr>
        <w:t>Professor Jörg Kreuzer, Vice Presidente Medicine, Area Terapeutica Cardiovascolare, Boehringer Ingelheim</w:t>
      </w:r>
      <w:r w:rsidR="00A21245">
        <w:rPr>
          <w:rFonts w:asciiTheme="minorHAnsi" w:hAnsiTheme="minorHAnsi" w:cs="Arial"/>
          <w:bCs/>
          <w:kern w:val="36"/>
        </w:rPr>
        <w:t xml:space="preserve"> -</w:t>
      </w:r>
      <w:r w:rsidRPr="00B4557F">
        <w:rPr>
          <w:rFonts w:asciiTheme="minorHAnsi" w:hAnsiTheme="minorHAnsi" w:cs="Arial"/>
          <w:bCs/>
          <w:kern w:val="36"/>
        </w:rPr>
        <w:t xml:space="preserve"> “La buona notizia per pazienti e medici è che </w:t>
      </w:r>
      <w:r w:rsidRPr="00B4557F">
        <w:rPr>
          <w:rFonts w:asciiTheme="minorHAnsi" w:hAnsiTheme="minorHAnsi" w:cs="Arial"/>
          <w:bCs/>
          <w:kern w:val="36"/>
        </w:rPr>
        <w:lastRenderedPageBreak/>
        <w:t xml:space="preserve">idarucizumab è già approvato in 61 Paesi e disponibile in oltre 8.200 centri in tutto il mondo, pronto per essere impiegato in quei casi in cui ce ne sia bisogno, per interventi </w:t>
      </w:r>
      <w:r w:rsidR="005234F1">
        <w:rPr>
          <w:rFonts w:asciiTheme="minorHAnsi" w:hAnsiTheme="minorHAnsi" w:cs="Arial"/>
          <w:bCs/>
          <w:kern w:val="36"/>
        </w:rPr>
        <w:t>chirurgici urgenti</w:t>
      </w:r>
      <w:r w:rsidRPr="00B4557F">
        <w:rPr>
          <w:rFonts w:asciiTheme="minorHAnsi" w:hAnsiTheme="minorHAnsi" w:cs="Arial"/>
          <w:bCs/>
          <w:kern w:val="36"/>
        </w:rPr>
        <w:t>/</w:t>
      </w:r>
      <w:r w:rsidR="005234F1">
        <w:rPr>
          <w:rFonts w:asciiTheme="minorHAnsi" w:hAnsiTheme="minorHAnsi" w:cs="Arial"/>
          <w:bCs/>
          <w:kern w:val="36"/>
        </w:rPr>
        <w:t>procedure d’emergenza</w:t>
      </w:r>
      <w:r w:rsidRPr="00B4557F">
        <w:rPr>
          <w:rFonts w:asciiTheme="minorHAnsi" w:hAnsiTheme="minorHAnsi" w:cs="Arial"/>
          <w:bCs/>
          <w:kern w:val="36"/>
        </w:rPr>
        <w:t xml:space="preserve">”. </w:t>
      </w:r>
    </w:p>
    <w:p w14:paraId="437C6F5C" w14:textId="0B4CFC39" w:rsidR="00B4557F" w:rsidRPr="00BA37F8" w:rsidRDefault="00B4557F" w:rsidP="00BA37F8">
      <w:pPr>
        <w:jc w:val="both"/>
        <w:outlineLvl w:val="0"/>
        <w:rPr>
          <w:rFonts w:asciiTheme="minorHAnsi" w:hAnsiTheme="minorHAnsi"/>
          <w:vertAlign w:val="superscript"/>
        </w:rPr>
      </w:pPr>
      <w:r w:rsidRPr="00B4557F">
        <w:rPr>
          <w:rFonts w:asciiTheme="minorHAnsi" w:hAnsiTheme="minorHAnsi" w:cs="Arial"/>
          <w:bCs/>
          <w:kern w:val="36"/>
        </w:rPr>
        <w:t xml:space="preserve">Idarucizumab è il primo e unico farmaco approvato e disponibile che inattiva in maniera specifica l’effetto di un anticoagulante orale non-antagonista della vitamina K. </w:t>
      </w:r>
      <w:r w:rsidRPr="00B4557F">
        <w:rPr>
          <w:rFonts w:asciiTheme="minorHAnsi" w:hAnsiTheme="minorHAnsi"/>
        </w:rPr>
        <w:t xml:space="preserve">Boehringer Ingelheim continua a </w:t>
      </w:r>
      <w:r w:rsidR="005234F1">
        <w:rPr>
          <w:rFonts w:asciiTheme="minorHAnsi" w:hAnsiTheme="minorHAnsi"/>
        </w:rPr>
        <w:t>studiare</w:t>
      </w:r>
      <w:r w:rsidRPr="00B4557F">
        <w:rPr>
          <w:rFonts w:asciiTheme="minorHAnsi" w:hAnsiTheme="minorHAnsi"/>
        </w:rPr>
        <w:t xml:space="preserve"> idarucizumab nel programma RE-VECTO™, che valuta l’utilizzo nella pratica clinica quotidiana. Il completamento del programma RE-VECTO™ è previsto per la fine del 2018.</w:t>
      </w:r>
      <w:r w:rsidRPr="00B4557F">
        <w:rPr>
          <w:rFonts w:asciiTheme="minorHAnsi" w:hAnsiTheme="minorHAnsi"/>
          <w:vertAlign w:val="superscript"/>
        </w:rPr>
        <w:t>5</w:t>
      </w:r>
    </w:p>
    <w:p w14:paraId="17C8ED1F" w14:textId="77777777" w:rsidR="00B4557F" w:rsidRPr="00B4557F" w:rsidRDefault="00B4557F" w:rsidP="00B4557F">
      <w:pPr>
        <w:pStyle w:val="Default"/>
        <w:spacing w:line="264" w:lineRule="auto"/>
        <w:ind w:right="-46"/>
        <w:rPr>
          <w:rStyle w:val="Highlight"/>
          <w:rFonts w:asciiTheme="minorHAnsi" w:hAnsiTheme="minorHAnsi" w:cs="Times New Roman"/>
          <w:color w:val="003366"/>
          <w:sz w:val="22"/>
          <w:szCs w:val="22"/>
          <w:lang w:val="it-IT" w:eastAsia="de-DE"/>
        </w:rPr>
      </w:pPr>
      <w:r w:rsidRPr="00B4557F">
        <w:rPr>
          <w:rStyle w:val="Highlight"/>
          <w:rFonts w:asciiTheme="minorHAnsi" w:hAnsiTheme="minorHAnsi" w:cs="Times New Roman"/>
          <w:color w:val="003366"/>
          <w:sz w:val="22"/>
          <w:szCs w:val="22"/>
          <w:lang w:val="it-IT" w:eastAsia="de-DE"/>
        </w:rPr>
        <w:t>Lo Studio RE-VERSE AD™</w:t>
      </w:r>
    </w:p>
    <w:p w14:paraId="123D89CB" w14:textId="7DA356EB" w:rsidR="00B4557F" w:rsidRPr="00B4557F" w:rsidRDefault="00B4557F" w:rsidP="00B4557F">
      <w:pPr>
        <w:pStyle w:val="Default"/>
        <w:spacing w:line="264" w:lineRule="auto"/>
        <w:ind w:right="-4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RE-VERSE AD™ è uno Studio internazionale di Fase III in pazienti in terapia con dabigatran che necessitano di un intervento d’emergenza/urgenza o in caso </w:t>
      </w:r>
      <w:r w:rsidR="003C40D6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sanguinamento </w:t>
      </w:r>
      <w:r w:rsidR="005234F1">
        <w:rPr>
          <w:rFonts w:asciiTheme="minorHAnsi" w:hAnsiTheme="minorHAnsi" w:cstheme="minorHAnsi"/>
          <w:sz w:val="22"/>
          <w:szCs w:val="22"/>
          <w:lang w:val="it-IT"/>
        </w:rPr>
        <w:t xml:space="preserve">non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>controllato.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1,2,6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L’analisi finale dello studio RE-VERSE AD™ ha compreso i risultati di pazienti che hanno avuto necessità</w:t>
      </w:r>
      <w:r w:rsidR="00A21245"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>procedure/intervento</w:t>
      </w:r>
      <w:r w:rsidR="00775979">
        <w:rPr>
          <w:rFonts w:asciiTheme="minorHAnsi" w:hAnsiTheme="minorHAnsi" w:cstheme="minorHAnsi"/>
          <w:sz w:val="22"/>
          <w:szCs w:val="22"/>
          <w:lang w:val="it-IT"/>
        </w:rPr>
        <w:t xml:space="preserve"> urgente</w:t>
      </w:r>
      <w:r w:rsidR="00BA37F8">
        <w:rPr>
          <w:rFonts w:asciiTheme="minorHAnsi" w:hAnsiTheme="minorHAnsi" w:cstheme="minorHAnsi"/>
          <w:sz w:val="22"/>
          <w:szCs w:val="22"/>
          <w:lang w:val="it-IT"/>
        </w:rPr>
        <w:t xml:space="preserve"> come,</w:t>
      </w:r>
      <w:r w:rsidR="00A2124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41E3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>d esempio</w:t>
      </w:r>
      <w:r w:rsidR="00BA37F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intervento chirurgico per frattura esposta a seguito di una caduta, o con complicanze emorragiche incontrollate</w:t>
      </w:r>
      <w:r w:rsidR="00A2124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che ne </w:t>
      </w:r>
      <w:r w:rsidR="00A21245">
        <w:rPr>
          <w:rFonts w:asciiTheme="minorHAnsi" w:hAnsiTheme="minorHAnsi" w:cstheme="minorHAnsi"/>
          <w:sz w:val="22"/>
          <w:szCs w:val="22"/>
          <w:lang w:val="it-IT"/>
        </w:rPr>
        <w:t>abbiano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messo a rischio la vita</w:t>
      </w:r>
      <w:r w:rsidR="00A21245">
        <w:rPr>
          <w:rFonts w:asciiTheme="minorHAnsi" w:hAnsiTheme="minorHAnsi" w:cstheme="minorHAnsi"/>
          <w:sz w:val="22"/>
          <w:szCs w:val="22"/>
          <w:lang w:val="it-IT"/>
        </w:rPr>
        <w:t>, oppure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emorragia intracranica o trauma grave a seguito di un incidente automobilistico.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 xml:space="preserve">1,2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L’endpoint primario, ovvero il grado di </w:t>
      </w:r>
      <w:r w:rsidR="00775979">
        <w:rPr>
          <w:rFonts w:asciiTheme="minorHAnsi" w:hAnsiTheme="minorHAnsi" w:cstheme="minorHAnsi"/>
          <w:sz w:val="22"/>
          <w:szCs w:val="22"/>
          <w:lang w:val="it-IT"/>
        </w:rPr>
        <w:t xml:space="preserve">neutralizzazione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>dell’effetto anticoagulante di dabigatran ottenuto da idarucizumab entro quattro ore dalla somministrazione, è stato misurato attraverso il tempo di trombina diluito (dTT) e il tempo di ecarina (ECT).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1,2</w:t>
      </w:r>
    </w:p>
    <w:p w14:paraId="5DDBE7D1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8592A2C" w14:textId="2D4B3AE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vertAlign w:val="superscript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>Lo studio è iniziato a maggio 201</w:t>
      </w:r>
      <w:r w:rsidR="00A21E2A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ed è il </w:t>
      </w:r>
      <w:r w:rsidR="00775979">
        <w:rPr>
          <w:rFonts w:asciiTheme="minorHAnsi" w:hAnsiTheme="minorHAnsi" w:cstheme="minorHAnsi"/>
          <w:sz w:val="22"/>
          <w:szCs w:val="22"/>
          <w:lang w:val="it-IT"/>
        </w:rPr>
        <w:t xml:space="preserve">più </w:t>
      </w:r>
      <w:r w:rsidR="00BA37F8">
        <w:rPr>
          <w:rFonts w:asciiTheme="minorHAnsi" w:hAnsiTheme="minorHAnsi" w:cstheme="minorHAnsi"/>
          <w:sz w:val="22"/>
          <w:szCs w:val="22"/>
          <w:lang w:val="it-IT"/>
        </w:rPr>
        <w:t xml:space="preserve">ampio </w:t>
      </w:r>
      <w:r w:rsidR="00BA37F8" w:rsidRPr="00B4557F">
        <w:rPr>
          <w:rFonts w:asciiTheme="minorHAnsi" w:hAnsiTheme="minorHAnsi" w:cstheme="minorHAnsi"/>
          <w:sz w:val="22"/>
          <w:szCs w:val="22"/>
          <w:lang w:val="it-IT"/>
        </w:rPr>
        <w:t>studio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di valutazione di un farmaco che inattiva in maniera specifica l’effetto di un anticoagulante orale non-antagonista della vitamina</w:t>
      </w:r>
      <w:r w:rsidRPr="00B4557F"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K (NOAC) in situazioni reali di gestione clinica d’emergenza/urgenza. </w:t>
      </w:r>
      <w:r w:rsidR="00C86E94">
        <w:rPr>
          <w:rFonts w:asciiTheme="minorHAnsi" w:hAnsiTheme="minorHAnsi" w:cstheme="minorHAnsi"/>
          <w:sz w:val="22"/>
          <w:szCs w:val="22"/>
          <w:lang w:val="it-IT"/>
        </w:rPr>
        <w:t>I pazienti arruolati sono stati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503</w:t>
      </w:r>
      <w:r w:rsidR="00C86E9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presso 173 centri in 39 Paesi</w:t>
      </w:r>
      <w:r w:rsidR="00C86E94">
        <w:rPr>
          <w:rFonts w:asciiTheme="minorHAnsi" w:hAnsiTheme="minorHAnsi" w:cstheme="minorHAnsi"/>
          <w:sz w:val="22"/>
          <w:szCs w:val="22"/>
          <w:lang w:val="it-IT"/>
        </w:rPr>
        <w:t xml:space="preserve"> e suddivisi in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>due gruppi: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1,2,6</w:t>
      </w:r>
    </w:p>
    <w:p w14:paraId="6FB3AD61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DEBFB0B" w14:textId="77777777" w:rsidR="00BA37F8" w:rsidRDefault="00B4557F" w:rsidP="00BA37F8">
      <w:pPr>
        <w:pStyle w:val="Testocommento"/>
        <w:numPr>
          <w:ilvl w:val="0"/>
          <w:numId w:val="11"/>
        </w:numPr>
        <w:spacing w:after="0" w:line="264" w:lineRule="auto"/>
        <w:jc w:val="both"/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</w:pPr>
      <w:r w:rsidRPr="00B4557F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Gruppo A: 301 pazienti (60%) che presentavano sanguinamento incontrollato o che ne metteva a rischio la vita (ad esempio emorragia gastrointestinale, emorragia intracranica); </w:t>
      </w:r>
    </w:p>
    <w:p w14:paraId="7374F1F1" w14:textId="4DE38ED9" w:rsidR="00B4557F" w:rsidRPr="00BA37F8" w:rsidRDefault="00B4557F" w:rsidP="00BA37F8">
      <w:pPr>
        <w:pStyle w:val="Testocommento"/>
        <w:numPr>
          <w:ilvl w:val="0"/>
          <w:numId w:val="11"/>
        </w:numPr>
        <w:spacing w:after="0" w:line="264" w:lineRule="auto"/>
        <w:jc w:val="both"/>
        <w:rPr>
          <w:rFonts w:asciiTheme="minorHAnsi" w:eastAsia="Times New Roman" w:hAnsiTheme="minorHAnsi"/>
          <w:bCs/>
          <w:sz w:val="22"/>
          <w:szCs w:val="22"/>
          <w:vertAlign w:val="superscript"/>
          <w:lang w:val="it-IT"/>
        </w:rPr>
      </w:pPr>
      <w:r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lastRenderedPageBreak/>
        <w:t xml:space="preserve">Gruppo B: 202 pazienti (40%) che necessitavano di essere sottoposti a </w:t>
      </w:r>
      <w:r w:rsidR="00775979"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t>procedura</w:t>
      </w:r>
      <w:r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invasiv</w:t>
      </w:r>
      <w:r w:rsidR="00775979"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t>a</w:t>
      </w:r>
      <w:r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o </w:t>
      </w:r>
      <w:r w:rsidR="00775979"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intervento </w:t>
      </w:r>
      <w:r w:rsidRPr="00BA37F8">
        <w:rPr>
          <w:rFonts w:asciiTheme="minorHAnsi" w:eastAsia="Times New Roman" w:hAnsiTheme="minorHAnsi"/>
          <w:bCs/>
          <w:sz w:val="22"/>
          <w:szCs w:val="22"/>
          <w:lang w:val="it-IT"/>
        </w:rPr>
        <w:t>d’urgenza (ad esempio per frattura dell’anca).</w:t>
      </w:r>
    </w:p>
    <w:p w14:paraId="113BA961" w14:textId="3D272223" w:rsidR="00A467BE" w:rsidRPr="00A467BE" w:rsidRDefault="00A467BE" w:rsidP="00A467BE">
      <w:pPr>
        <w:pStyle w:val="Testocommento"/>
        <w:spacing w:after="0" w:line="264" w:lineRule="auto"/>
        <w:jc w:val="both"/>
        <w:rPr>
          <w:rStyle w:val="Highlight"/>
          <w:rFonts w:asciiTheme="minorHAnsi" w:hAnsiTheme="minorHAnsi"/>
          <w:color w:val="003366"/>
          <w:sz w:val="22"/>
          <w:szCs w:val="22"/>
          <w:lang w:val="it-IT"/>
        </w:rPr>
      </w:pPr>
    </w:p>
    <w:p w14:paraId="38DDA922" w14:textId="77777777" w:rsidR="00B4557F" w:rsidRPr="00B4557F" w:rsidRDefault="00B4557F" w:rsidP="00BB349B">
      <w:pPr>
        <w:spacing w:after="0" w:line="264" w:lineRule="auto"/>
        <w:rPr>
          <w:rStyle w:val="Highlight"/>
          <w:rFonts w:asciiTheme="minorHAnsi" w:hAnsiTheme="minorHAnsi"/>
          <w:color w:val="003366"/>
        </w:rPr>
      </w:pPr>
      <w:r w:rsidRPr="00B4557F">
        <w:rPr>
          <w:rStyle w:val="Highlight"/>
          <w:rFonts w:asciiTheme="minorHAnsi" w:hAnsiTheme="minorHAnsi"/>
          <w:color w:val="003366"/>
        </w:rPr>
        <w:t>Idarucizumab</w:t>
      </w:r>
    </w:p>
    <w:p w14:paraId="2AAE4E5A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>Idarucizumab è un frammento di anticorpo umanizzato, o Fab, sviluppato come farmaco specifico per inattivare l’effetto di dabigatran.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7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Idarucizumab si lega in maniera specifica esclusivamente alle molecole di dabigatran, neutralizzandone l’effetto anticoagulante senza interferire con la cascata della coagulazione.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6,7</w:t>
      </w:r>
    </w:p>
    <w:p w14:paraId="7C0093BB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D306040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>Idarucizumab è un farmaco approvato in 61 Paesi del mondo e indicato per pazienti in terapia con dabigatran per i quali si renda necessario neutralizzare l’effetto anticoagulante di dabigatran: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3,4</w:t>
      </w:r>
    </w:p>
    <w:p w14:paraId="03E93FB6" w14:textId="77777777" w:rsidR="00B4557F" w:rsidRPr="00B4557F" w:rsidRDefault="00B4557F" w:rsidP="00B4557F">
      <w:pPr>
        <w:pStyle w:val="Default"/>
        <w:widowControl w:val="0"/>
        <w:numPr>
          <w:ilvl w:val="0"/>
          <w:numId w:val="9"/>
        </w:numPr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>per procedure d’urgenza/interventi di emergenza;</w:t>
      </w:r>
    </w:p>
    <w:p w14:paraId="263DCF08" w14:textId="77777777" w:rsidR="00B4557F" w:rsidRPr="00B4557F" w:rsidRDefault="00B4557F" w:rsidP="00B4557F">
      <w:pPr>
        <w:pStyle w:val="Default"/>
        <w:widowControl w:val="0"/>
        <w:numPr>
          <w:ilvl w:val="0"/>
          <w:numId w:val="9"/>
        </w:numPr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in caso di sanguinamento </w:t>
      </w:r>
      <w:r w:rsidR="00045561">
        <w:rPr>
          <w:rFonts w:asciiTheme="minorHAnsi" w:hAnsiTheme="minorHAnsi" w:cstheme="minorHAnsi"/>
          <w:sz w:val="22"/>
          <w:szCs w:val="22"/>
          <w:lang w:val="it-IT"/>
        </w:rPr>
        <w:t xml:space="preserve">non 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>controllato o che metta a rischio la vita del paziente</w:t>
      </w:r>
      <w:r w:rsidR="00F17CB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B4557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DE21A03" w14:textId="0BBBB6C4" w:rsidR="00B4557F" w:rsidRPr="00B4557F" w:rsidRDefault="00B4557F" w:rsidP="00B4557F">
      <w:pPr>
        <w:pStyle w:val="Normale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060C95DF" w14:textId="77777777" w:rsidR="00B4557F" w:rsidRPr="00B4557F" w:rsidRDefault="00B4557F" w:rsidP="00B4557F">
      <w:pPr>
        <w:pStyle w:val="Normale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b/>
          <w:bCs/>
          <w:sz w:val="22"/>
          <w:szCs w:val="22"/>
          <w:lang w:val="it-IT"/>
        </w:rPr>
      </w:pPr>
      <w:r w:rsidRPr="00B4557F">
        <w:rPr>
          <w:rStyle w:val="Highlight"/>
          <w:rFonts w:asciiTheme="minorHAnsi" w:hAnsiTheme="minorHAnsi" w:cs="Arial"/>
          <w:bCs w:val="0"/>
          <w:color w:val="003366"/>
          <w:sz w:val="22"/>
          <w:szCs w:val="22"/>
          <w:lang w:val="it-IT"/>
        </w:rPr>
        <w:t>Dabigatran etexilato</w:t>
      </w:r>
    </w:p>
    <w:p w14:paraId="2BDE4901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>L’esperienza clinica con dabigatran etexilato supera i 6,9 milioni di anni/paziente per tutte le indicazioni per cui il farmaco è stato approvato nel mondo. Dabigatran è sul mercato da oltre 8 anni ed è approvato in più di 100 Paesi.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8</w:t>
      </w:r>
    </w:p>
    <w:p w14:paraId="09A37FA9" w14:textId="77777777" w:rsidR="00B4557F" w:rsidRPr="00B4557F" w:rsidRDefault="00B4557F" w:rsidP="00B4557F">
      <w:pPr>
        <w:pStyle w:val="Default"/>
        <w:spacing w:line="264" w:lineRule="auto"/>
        <w:ind w:right="-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557F">
        <w:rPr>
          <w:rFonts w:asciiTheme="minorHAnsi" w:hAnsiTheme="minorHAnsi" w:cstheme="minorHAnsi"/>
          <w:sz w:val="22"/>
          <w:szCs w:val="22"/>
          <w:lang w:val="it-IT"/>
        </w:rPr>
        <w:t>Le indicazioni per cui dabigatran è attualmente approvato sono le seguenti:</w:t>
      </w:r>
      <w:r w:rsidRPr="00B4557F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9,10</w:t>
      </w:r>
    </w:p>
    <w:p w14:paraId="60653722" w14:textId="50C69AF1" w:rsidR="00B4557F" w:rsidRPr="00B4557F" w:rsidRDefault="00B4557F" w:rsidP="00B4557F">
      <w:pPr>
        <w:pStyle w:val="Paragrafoelenco"/>
        <w:keepNext/>
        <w:keepLines/>
        <w:widowControl w:val="0"/>
        <w:numPr>
          <w:ilvl w:val="0"/>
          <w:numId w:val="7"/>
        </w:numPr>
        <w:spacing w:line="264" w:lineRule="auto"/>
        <w:ind w:left="284" w:hanging="284"/>
        <w:jc w:val="both"/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</w:pP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 xml:space="preserve">Prevenzione dell’ictus e </w:t>
      </w:r>
      <w:r w:rsidR="00BA37F8"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dell</w:t>
      </w:r>
      <w:r w:rsidR="00BA37F8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’</w:t>
      </w:r>
      <w:r w:rsidR="00BA37F8"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embolia</w:t>
      </w: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 xml:space="preserve"> sistemic</w:t>
      </w:r>
      <w:r w:rsidR="00775979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a</w:t>
      </w: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 xml:space="preserve"> in pazienti con </w:t>
      </w:r>
      <w:r w:rsidR="00265666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F</w:t>
      </w: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 xml:space="preserve">ibrillazione </w:t>
      </w:r>
      <w:r w:rsidR="00265666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A</w:t>
      </w: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triale non-valvolare e almeno un fattore di rischio per l’ictus;</w:t>
      </w:r>
    </w:p>
    <w:p w14:paraId="2600EACB" w14:textId="77777777" w:rsidR="00B4557F" w:rsidRPr="00B4557F" w:rsidRDefault="00B4557F" w:rsidP="00B4557F">
      <w:pPr>
        <w:pStyle w:val="Paragrafoelenco"/>
        <w:keepNext/>
        <w:keepLines/>
        <w:widowControl w:val="0"/>
        <w:numPr>
          <w:ilvl w:val="0"/>
          <w:numId w:val="7"/>
        </w:numPr>
        <w:spacing w:line="264" w:lineRule="auto"/>
        <w:ind w:left="284" w:hanging="284"/>
        <w:jc w:val="both"/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</w:pP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Prevenzione primaria di eventi di tromboembolismo venoso in pazienti che si sottopongono a chirurgia elettiva di sostituzione totale dell’anca o del ginocchio;</w:t>
      </w:r>
    </w:p>
    <w:p w14:paraId="7F6DB8D7" w14:textId="5C07734B" w:rsidR="00DA41D8" w:rsidRDefault="00B4557F" w:rsidP="00B4557F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</w:pPr>
      <w:r w:rsidRPr="00B4557F"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  <w:t>Trattamento di trombosi venosa profonda (TVP) ed embolia polmonare (EP) e prevenzione delle recidive di TVP ed EP negli adulti.</w:t>
      </w:r>
    </w:p>
    <w:p w14:paraId="24DEDFE3" w14:textId="77777777" w:rsidR="00BA37F8" w:rsidRPr="00BA37F8" w:rsidRDefault="00BA37F8" w:rsidP="00BA37F8">
      <w:pPr>
        <w:pStyle w:val="Paragrafoelenco"/>
        <w:spacing w:line="264" w:lineRule="auto"/>
        <w:ind w:left="284"/>
        <w:jc w:val="both"/>
        <w:rPr>
          <w:rFonts w:asciiTheme="minorHAnsi" w:eastAsia="BISans" w:hAnsiTheme="minorHAnsi" w:cstheme="minorHAnsi"/>
          <w:color w:val="000000"/>
          <w:sz w:val="22"/>
          <w:szCs w:val="22"/>
          <w:lang w:val="it-IT"/>
        </w:rPr>
      </w:pPr>
    </w:p>
    <w:p w14:paraId="2F591F12" w14:textId="77777777" w:rsidR="00B4557F" w:rsidRPr="00B4557F" w:rsidRDefault="00B4557F" w:rsidP="00B4557F">
      <w:pPr>
        <w:spacing w:line="264" w:lineRule="auto"/>
        <w:jc w:val="both"/>
        <w:rPr>
          <w:rFonts w:asciiTheme="minorHAnsi" w:eastAsia="BISans" w:hAnsiTheme="minorHAnsi" w:cstheme="minorHAnsi"/>
          <w:color w:val="000000"/>
        </w:rPr>
      </w:pPr>
      <w:r w:rsidRPr="00B4557F">
        <w:rPr>
          <w:rFonts w:asciiTheme="minorHAnsi" w:eastAsia="BISans" w:hAnsiTheme="minorHAnsi" w:cstheme="minorHAnsi"/>
          <w:color w:val="000000"/>
        </w:rPr>
        <w:t xml:space="preserve">Dabigatran, che è un inibitore diretto della trombina (IDT), è stato il primo farmaco di una nuova generazione di anticoagulanti orali ad azione diretta ad essere ampiamente approvato e disponibile sul mercato, per rispondere a un forte bisogno insoddisfatto di terapie per la prevenzione e il trattamento delle malattie tromboemboliche acute </w:t>
      </w:r>
      <w:r w:rsidRPr="00B4557F">
        <w:rPr>
          <w:rFonts w:asciiTheme="minorHAnsi" w:eastAsia="BISans" w:hAnsiTheme="minorHAnsi" w:cstheme="minorHAnsi"/>
          <w:color w:val="000000"/>
        </w:rPr>
        <w:lastRenderedPageBreak/>
        <w:t>e croniche.</w:t>
      </w:r>
      <w:r w:rsidRPr="00B4557F">
        <w:rPr>
          <w:rFonts w:asciiTheme="minorHAnsi" w:eastAsia="BISans" w:hAnsiTheme="minorHAnsi" w:cstheme="minorHAnsi"/>
          <w:color w:val="000000"/>
          <w:vertAlign w:val="superscript"/>
        </w:rPr>
        <w:t>9-11</w:t>
      </w:r>
      <w:r w:rsidR="00DA41D8">
        <w:rPr>
          <w:rFonts w:asciiTheme="minorHAnsi" w:eastAsia="BISans" w:hAnsiTheme="minorHAnsi" w:cstheme="minorHAnsi"/>
          <w:color w:val="000000"/>
        </w:rPr>
        <w:t xml:space="preserve"> </w:t>
      </w:r>
      <w:r w:rsidRPr="00B4557F">
        <w:rPr>
          <w:rFonts w:asciiTheme="minorHAnsi" w:eastAsia="BISans" w:hAnsiTheme="minorHAnsi" w:cstheme="minorHAnsi"/>
          <w:color w:val="000000"/>
        </w:rPr>
        <w:t>Gli inibitori diretti della trombina ottengono potenti effetti antitrombotici, bloccando in maniera specifica l’attività della trombina, l’enzima centrale nel processo di formazione d</w:t>
      </w:r>
      <w:r w:rsidR="00693210">
        <w:rPr>
          <w:rFonts w:asciiTheme="minorHAnsi" w:eastAsia="BISans" w:hAnsiTheme="minorHAnsi" w:cstheme="minorHAnsi"/>
          <w:color w:val="000000"/>
        </w:rPr>
        <w:t>el</w:t>
      </w:r>
      <w:r w:rsidRPr="00B4557F">
        <w:rPr>
          <w:rFonts w:asciiTheme="minorHAnsi" w:eastAsia="BISans" w:hAnsiTheme="minorHAnsi" w:cstheme="minorHAnsi"/>
          <w:color w:val="000000"/>
        </w:rPr>
        <w:t>tromb</w:t>
      </w:r>
      <w:r w:rsidR="00693210">
        <w:rPr>
          <w:rFonts w:asciiTheme="minorHAnsi" w:eastAsia="BISans" w:hAnsiTheme="minorHAnsi" w:cstheme="minorHAnsi"/>
          <w:color w:val="000000"/>
        </w:rPr>
        <w:t>o</w:t>
      </w:r>
      <w:r w:rsidRPr="00B4557F">
        <w:rPr>
          <w:rFonts w:asciiTheme="minorHAnsi" w:eastAsia="BISans" w:hAnsiTheme="minorHAnsi" w:cstheme="minorHAnsi"/>
          <w:color w:val="000000"/>
        </w:rPr>
        <w:t>.</w:t>
      </w:r>
      <w:r w:rsidRPr="00B4557F">
        <w:rPr>
          <w:rFonts w:asciiTheme="minorHAnsi" w:eastAsia="BISans" w:hAnsiTheme="minorHAnsi" w:cstheme="minorHAnsi"/>
          <w:color w:val="000000"/>
          <w:vertAlign w:val="superscript"/>
        </w:rPr>
        <w:t>12</w:t>
      </w:r>
      <w:r w:rsidRPr="00B4557F">
        <w:rPr>
          <w:rFonts w:asciiTheme="minorHAnsi" w:eastAsia="BISans" w:hAnsiTheme="minorHAnsi" w:cstheme="minorHAnsi"/>
          <w:color w:val="000000"/>
        </w:rPr>
        <w:t xml:space="preserve"> A differenza degli antagonisti della vitamina K, che</w:t>
      </w:r>
      <w:r w:rsidR="003C40D6">
        <w:rPr>
          <w:rFonts w:asciiTheme="minorHAnsi" w:eastAsia="BISans" w:hAnsiTheme="minorHAnsi" w:cstheme="minorHAnsi"/>
          <w:color w:val="000000"/>
        </w:rPr>
        <w:t xml:space="preserve"> </w:t>
      </w:r>
      <w:r w:rsidR="00693210">
        <w:rPr>
          <w:rFonts w:asciiTheme="minorHAnsi" w:eastAsia="BISans" w:hAnsiTheme="minorHAnsi" w:cstheme="minorHAnsi"/>
          <w:color w:val="000000"/>
        </w:rPr>
        <w:t>hanno un effetto</w:t>
      </w:r>
      <w:r w:rsidR="003C40D6">
        <w:rPr>
          <w:rFonts w:asciiTheme="minorHAnsi" w:eastAsia="BISans" w:hAnsiTheme="minorHAnsi" w:cstheme="minorHAnsi"/>
          <w:color w:val="000000"/>
        </w:rPr>
        <w:t xml:space="preserve"> </w:t>
      </w:r>
      <w:r w:rsidRPr="00B4557F">
        <w:rPr>
          <w:rFonts w:asciiTheme="minorHAnsi" w:eastAsia="BISans" w:hAnsiTheme="minorHAnsi" w:cstheme="minorHAnsi"/>
          <w:color w:val="000000"/>
        </w:rPr>
        <w:t xml:space="preserve">variabile </w:t>
      </w:r>
      <w:r w:rsidR="00693210">
        <w:rPr>
          <w:rFonts w:asciiTheme="minorHAnsi" w:eastAsia="BISans" w:hAnsiTheme="minorHAnsi" w:cstheme="minorHAnsi"/>
          <w:color w:val="000000"/>
        </w:rPr>
        <w:t>e che bloccano</w:t>
      </w:r>
      <w:r w:rsidRPr="00B4557F">
        <w:rPr>
          <w:rFonts w:asciiTheme="minorHAnsi" w:eastAsia="BISans" w:hAnsiTheme="minorHAnsi" w:cstheme="minorHAnsi"/>
          <w:color w:val="000000"/>
        </w:rPr>
        <w:t xml:space="preserve"> diversi fattori della coagulazione, dabigatran realizza un’anticoagulazione efficace, prevedibile e riproducibile con basso potenziale di interazione con altri farmaci e nessuna interazione con il cibo, senza richiedere il monitoraggio regolare della coagulazione</w:t>
      </w:r>
      <w:r w:rsidR="00265666">
        <w:rPr>
          <w:rFonts w:asciiTheme="minorHAnsi" w:eastAsia="BISans" w:hAnsiTheme="minorHAnsi" w:cstheme="minorHAnsi"/>
          <w:color w:val="000000"/>
        </w:rPr>
        <w:t>,</w:t>
      </w:r>
      <w:r w:rsidRPr="00B4557F">
        <w:rPr>
          <w:rFonts w:asciiTheme="minorHAnsi" w:eastAsia="BISans" w:hAnsiTheme="minorHAnsi" w:cstheme="minorHAnsi"/>
          <w:color w:val="000000"/>
        </w:rPr>
        <w:t xml:space="preserve"> né aggiustamenti di dosaggio.</w:t>
      </w:r>
      <w:r w:rsidRPr="00B4557F">
        <w:rPr>
          <w:rFonts w:asciiTheme="minorHAnsi" w:eastAsia="BISans" w:hAnsiTheme="minorHAnsi" w:cstheme="minorHAnsi"/>
          <w:color w:val="000000"/>
          <w:vertAlign w:val="superscript"/>
        </w:rPr>
        <w:t>11,13</w:t>
      </w:r>
    </w:p>
    <w:p w14:paraId="0909BEE6" w14:textId="77777777" w:rsidR="00B4557F" w:rsidRPr="00B4557F" w:rsidRDefault="00B4557F" w:rsidP="00B4557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  <w:vertAlign w:val="superscript"/>
          <w:lang w:val="it-IT"/>
        </w:rPr>
      </w:pPr>
      <w:r w:rsidRPr="00B4557F">
        <w:rPr>
          <w:rFonts w:asciiTheme="minorHAnsi" w:hAnsiTheme="minorHAnsi"/>
          <w:sz w:val="22"/>
          <w:szCs w:val="22"/>
          <w:lang w:val="it-IT"/>
        </w:rPr>
        <w:t>Dabigatran etexilato è l’unico nuovo anticoagulante orale per cui esista un farmaco approvato che ne inattivi in maniera specifica l’effetto. Questo farmaco è idarucizumab, approvato nell’Unione Europea e negli Stati Uniti per l’impiego in pazienti adulti trattati con dabigatran etexilato, che necessitano di una rapida inattivazione del suo effetto anticoagulante prima di interventi chirurgici d’urgenza o emergenza, o in caso di sanguinamento incontrollato che possa mettere a rischio la vita del paziente.</w:t>
      </w:r>
      <w:r w:rsidRPr="00B4557F">
        <w:rPr>
          <w:rFonts w:asciiTheme="minorHAnsi" w:hAnsiTheme="minorHAnsi"/>
          <w:sz w:val="22"/>
          <w:szCs w:val="22"/>
          <w:vertAlign w:val="superscript"/>
          <w:lang w:val="it-IT"/>
        </w:rPr>
        <w:t>3,4</w:t>
      </w:r>
    </w:p>
    <w:p w14:paraId="55ED2A5C" w14:textId="77777777" w:rsidR="00B4557F" w:rsidRPr="00B4557F" w:rsidRDefault="00B4557F" w:rsidP="003D2FB8">
      <w:pPr>
        <w:pStyle w:val="Default"/>
        <w:jc w:val="both"/>
        <w:rPr>
          <w:rFonts w:asciiTheme="minorHAnsi" w:hAnsiTheme="minorHAnsi"/>
          <w:sz w:val="22"/>
          <w:szCs w:val="22"/>
          <w:vertAlign w:val="superscript"/>
          <w:lang w:val="it-IT"/>
        </w:rPr>
      </w:pPr>
    </w:p>
    <w:p w14:paraId="067EFD18" w14:textId="77777777" w:rsidR="00B4557F" w:rsidRPr="00B4557F" w:rsidRDefault="00B4557F" w:rsidP="00BB349B">
      <w:pPr>
        <w:spacing w:after="0" w:line="240" w:lineRule="auto"/>
        <w:ind w:right="28"/>
        <w:rPr>
          <w:rStyle w:val="Highlight"/>
          <w:rFonts w:asciiTheme="minorHAnsi" w:hAnsiTheme="minorHAnsi"/>
          <w:color w:val="44546A" w:themeColor="text2"/>
        </w:rPr>
      </w:pPr>
      <w:r w:rsidRPr="00B4557F">
        <w:rPr>
          <w:rStyle w:val="Highlight"/>
          <w:rFonts w:asciiTheme="minorHAnsi" w:hAnsiTheme="minorHAnsi"/>
          <w:color w:val="44546A" w:themeColor="text2"/>
        </w:rPr>
        <w:t>Boehringer Ingelheim</w:t>
      </w:r>
    </w:p>
    <w:p w14:paraId="0AE6F36D" w14:textId="77777777" w:rsidR="00982D27" w:rsidRPr="00982D27" w:rsidRDefault="00982D27" w:rsidP="00982D27">
      <w:pPr>
        <w:ind w:right="29"/>
        <w:jc w:val="both"/>
        <w:rPr>
          <w:rFonts w:asciiTheme="minorHAnsi" w:eastAsia="BISans" w:hAnsiTheme="minorHAnsi"/>
        </w:rPr>
      </w:pPr>
      <w:r w:rsidRPr="00982D27">
        <w:rPr>
          <w:rFonts w:asciiTheme="minorHAnsi" w:eastAsia="BISans" w:hAnsiTheme="minorHAnsi"/>
        </w:rPr>
        <w:t>Farmaci innovativi per l’uomo e gli animali: per questo è conosciuta, da oltre 130 anni Boehringer Ingelheim, azienda fortemente guidata dalla ricerca. Boehringer Ingelheim, di proprietà familiare, è tra le 20 aziende leader nel settore a livello mondiale. Ogni giorno, circa 50.000 collaboratori creano valore attraverso l’innovazione nelle tre aree di business: farmaci per uso umano, settore veterinario e nella produzione biofarmaceutica conto terzi. Nel 2016, i ricavi delle vendite del gruppo Boehringer Ingelheim ammontavano a circa 15,9 miliardi di euro. L’azienda ha investito più di tre miliardi di euro, pari al 19,6% dell’intero fatturato, in Ricerca e nello Sviluppo.</w:t>
      </w:r>
    </w:p>
    <w:p w14:paraId="59156234" w14:textId="77777777" w:rsidR="00982D27" w:rsidRPr="00982D27" w:rsidRDefault="00982D27" w:rsidP="00982D27">
      <w:pPr>
        <w:ind w:right="29"/>
        <w:jc w:val="both"/>
        <w:rPr>
          <w:rFonts w:asciiTheme="minorHAnsi" w:eastAsia="BISans" w:hAnsiTheme="minorHAnsi"/>
        </w:rPr>
      </w:pPr>
      <w:r w:rsidRPr="00982D27">
        <w:rPr>
          <w:rFonts w:asciiTheme="minorHAnsi" w:eastAsia="BISans" w:hAnsiTheme="minorHAnsi"/>
        </w:rPr>
        <w:t xml:space="preserve">La responsabilità sociale è un elemento innato per Boehringer Ingelheim. A questo proposito, l’azienda è impegnata nel sociale, con progetti come l’iniziativa “Making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 </w:t>
      </w:r>
    </w:p>
    <w:p w14:paraId="56CA4405" w14:textId="7440A14A" w:rsidR="00B4557F" w:rsidRDefault="00982D27" w:rsidP="00982D27">
      <w:pPr>
        <w:ind w:right="29"/>
        <w:jc w:val="both"/>
        <w:rPr>
          <w:rFonts w:asciiTheme="minorHAnsi" w:eastAsia="BISans" w:hAnsiTheme="minorHAnsi"/>
        </w:rPr>
      </w:pPr>
      <w:r w:rsidRPr="00982D27">
        <w:rPr>
          <w:rFonts w:asciiTheme="minorHAnsi" w:eastAsia="BISans" w:hAnsiTheme="minorHAnsi"/>
        </w:rPr>
        <w:lastRenderedPageBreak/>
        <w:t>Per maggiori informazioni visitate il sito www.boehringer-ingelheim.com.</w:t>
      </w:r>
    </w:p>
    <w:p w14:paraId="6E788360" w14:textId="77777777" w:rsidR="00982D27" w:rsidRDefault="00982D27" w:rsidP="00982D27">
      <w:pPr>
        <w:ind w:right="29"/>
        <w:rPr>
          <w:rStyle w:val="Highlight"/>
          <w:rFonts w:asciiTheme="minorHAnsi" w:hAnsiTheme="minorHAnsi"/>
          <w:color w:val="44546A" w:themeColor="text2"/>
        </w:rPr>
      </w:pPr>
    </w:p>
    <w:p w14:paraId="28A060B0" w14:textId="77777777" w:rsidR="00B4557F" w:rsidRPr="00B4557F" w:rsidRDefault="00B4557F" w:rsidP="00B4557F">
      <w:pPr>
        <w:ind w:right="29"/>
        <w:rPr>
          <w:rFonts w:asciiTheme="minorHAnsi" w:eastAsia="BISans" w:hAnsiTheme="minorHAnsi"/>
        </w:rPr>
      </w:pPr>
      <w:r w:rsidRPr="00B4557F">
        <w:rPr>
          <w:rStyle w:val="Highlight"/>
          <w:rFonts w:asciiTheme="minorHAnsi" w:hAnsiTheme="minorHAnsi"/>
          <w:color w:val="44546A" w:themeColor="text2"/>
        </w:rPr>
        <w:t>Per ulteriori informazioni:</w:t>
      </w:r>
    </w:p>
    <w:p w14:paraId="2BAA16DB" w14:textId="77777777" w:rsidR="00B4557F" w:rsidRPr="00B4557F" w:rsidRDefault="00B4557F" w:rsidP="00B4557F">
      <w:pPr>
        <w:spacing w:after="0" w:line="240" w:lineRule="auto"/>
        <w:ind w:right="28"/>
        <w:rPr>
          <w:rFonts w:asciiTheme="minorHAnsi" w:hAnsiTheme="minorHAnsi"/>
        </w:rPr>
      </w:pPr>
      <w:r w:rsidRPr="00B4557F">
        <w:rPr>
          <w:rFonts w:asciiTheme="minorHAnsi" w:hAnsiTheme="minorHAnsi"/>
        </w:rPr>
        <w:t>Marina Guffanti</w:t>
      </w:r>
    </w:p>
    <w:p w14:paraId="373B9E02" w14:textId="77777777" w:rsidR="00B4557F" w:rsidRPr="00B4557F" w:rsidRDefault="00B4557F" w:rsidP="00B4557F">
      <w:pPr>
        <w:spacing w:after="0" w:line="240" w:lineRule="auto"/>
        <w:ind w:right="28"/>
        <w:rPr>
          <w:rFonts w:asciiTheme="minorHAnsi" w:hAnsiTheme="minorHAnsi"/>
        </w:rPr>
      </w:pPr>
      <w:r w:rsidRPr="00B4557F">
        <w:rPr>
          <w:rFonts w:asciiTheme="minorHAnsi" w:hAnsiTheme="minorHAnsi"/>
        </w:rPr>
        <w:t>Comunicazione</w:t>
      </w:r>
    </w:p>
    <w:p w14:paraId="05299363" w14:textId="77777777" w:rsidR="00B4557F" w:rsidRPr="00B4557F" w:rsidRDefault="00B4557F" w:rsidP="00B4557F">
      <w:pPr>
        <w:spacing w:after="0" w:line="240" w:lineRule="auto"/>
        <w:ind w:right="28"/>
        <w:rPr>
          <w:rFonts w:asciiTheme="minorHAnsi" w:hAnsiTheme="minorHAnsi"/>
          <w:b/>
        </w:rPr>
      </w:pPr>
      <w:r w:rsidRPr="00B4557F">
        <w:rPr>
          <w:rFonts w:asciiTheme="minorHAnsi" w:hAnsiTheme="minorHAnsi"/>
          <w:b/>
        </w:rPr>
        <w:t>Boehringer Ingelheim Italia SpA</w:t>
      </w:r>
    </w:p>
    <w:p w14:paraId="2707FC95" w14:textId="77777777" w:rsidR="00B4557F" w:rsidRPr="00B4557F" w:rsidRDefault="00B4557F" w:rsidP="00B4557F">
      <w:pPr>
        <w:spacing w:after="0" w:line="240" w:lineRule="auto"/>
        <w:ind w:right="28"/>
        <w:rPr>
          <w:rFonts w:asciiTheme="minorHAnsi" w:hAnsiTheme="minorHAnsi"/>
        </w:rPr>
      </w:pPr>
      <w:r w:rsidRPr="00B4557F">
        <w:rPr>
          <w:rFonts w:asciiTheme="minorHAnsi" w:hAnsiTheme="minorHAnsi"/>
        </w:rPr>
        <w:t>Telefono: 02 5355453</w:t>
      </w:r>
    </w:p>
    <w:p w14:paraId="78719BC5" w14:textId="77777777" w:rsidR="00B4557F" w:rsidRPr="003F127D" w:rsidRDefault="00B4557F" w:rsidP="00B4557F">
      <w:pPr>
        <w:spacing w:after="0" w:line="240" w:lineRule="auto"/>
        <w:ind w:right="28"/>
        <w:rPr>
          <w:rFonts w:asciiTheme="minorHAnsi" w:hAnsiTheme="minorHAnsi"/>
          <w:lang w:val="en-GB"/>
        </w:rPr>
      </w:pPr>
      <w:r w:rsidRPr="003F127D">
        <w:rPr>
          <w:rFonts w:asciiTheme="minorHAnsi" w:hAnsiTheme="minorHAnsi"/>
          <w:lang w:val="en-GB"/>
        </w:rPr>
        <w:t>Cell: 348 3995284</w:t>
      </w:r>
    </w:p>
    <w:p w14:paraId="3971C4E2" w14:textId="77777777" w:rsidR="00B4557F" w:rsidRPr="003F127D" w:rsidRDefault="00B4557F" w:rsidP="00B4557F">
      <w:pPr>
        <w:spacing w:after="0" w:line="240" w:lineRule="auto"/>
        <w:ind w:right="28"/>
        <w:rPr>
          <w:rFonts w:asciiTheme="minorHAnsi" w:hAnsiTheme="minorHAnsi"/>
          <w:lang w:val="en-GB"/>
        </w:rPr>
      </w:pPr>
      <w:r w:rsidRPr="003F127D">
        <w:rPr>
          <w:rFonts w:asciiTheme="minorHAnsi" w:hAnsiTheme="minorHAnsi"/>
          <w:lang w:val="en-GB"/>
        </w:rPr>
        <w:t xml:space="preserve">Mail: </w:t>
      </w:r>
      <w:hyperlink r:id="rId8" w:history="1">
        <w:r w:rsidRPr="003F127D">
          <w:rPr>
            <w:rStyle w:val="Collegamentoipertestuale"/>
            <w:rFonts w:asciiTheme="minorHAnsi" w:hAnsiTheme="minorHAnsi"/>
            <w:lang w:val="en-GB"/>
          </w:rPr>
          <w:t>marina.guffanti@boehringer-ingelheim.com</w:t>
        </w:r>
      </w:hyperlink>
    </w:p>
    <w:p w14:paraId="5C9AF6BB" w14:textId="77777777" w:rsidR="00B4557F" w:rsidRPr="003F127D" w:rsidRDefault="00B4557F" w:rsidP="00B4557F">
      <w:pPr>
        <w:spacing w:after="0" w:line="240" w:lineRule="auto"/>
        <w:ind w:right="28"/>
        <w:rPr>
          <w:rFonts w:asciiTheme="minorHAnsi" w:hAnsiTheme="minorHAnsi"/>
          <w:lang w:val="en-GB"/>
        </w:rPr>
      </w:pPr>
    </w:p>
    <w:p w14:paraId="3FF83B9A" w14:textId="77777777" w:rsidR="00B4557F" w:rsidRPr="00B4557F" w:rsidRDefault="00B4557F" w:rsidP="00B4557F">
      <w:pPr>
        <w:spacing w:after="0" w:line="240" w:lineRule="auto"/>
        <w:ind w:right="28"/>
        <w:rPr>
          <w:rFonts w:asciiTheme="minorHAnsi" w:hAnsiTheme="minorHAnsi"/>
        </w:rPr>
      </w:pPr>
      <w:r w:rsidRPr="00B4557F">
        <w:rPr>
          <w:rFonts w:asciiTheme="minorHAnsi" w:hAnsiTheme="minorHAnsi"/>
        </w:rPr>
        <w:t>Maria Luisa Paleari</w:t>
      </w:r>
    </w:p>
    <w:p w14:paraId="31134A5A" w14:textId="77777777" w:rsidR="00B4557F" w:rsidRPr="003F127D" w:rsidRDefault="00B4557F" w:rsidP="00B4557F">
      <w:pPr>
        <w:spacing w:after="0" w:line="240" w:lineRule="auto"/>
        <w:ind w:right="28"/>
        <w:rPr>
          <w:rFonts w:asciiTheme="minorHAnsi" w:hAnsiTheme="minorHAnsi"/>
          <w:b/>
        </w:rPr>
      </w:pPr>
      <w:r w:rsidRPr="003F127D">
        <w:rPr>
          <w:rFonts w:asciiTheme="minorHAnsi" w:hAnsiTheme="minorHAnsi"/>
          <w:b/>
        </w:rPr>
        <w:t>Value Relations Srl</w:t>
      </w:r>
    </w:p>
    <w:p w14:paraId="4C183C81" w14:textId="77777777" w:rsidR="00B4557F" w:rsidRPr="003F127D" w:rsidRDefault="00B4557F" w:rsidP="00B4557F">
      <w:pPr>
        <w:spacing w:after="0" w:line="240" w:lineRule="auto"/>
        <w:ind w:right="28"/>
        <w:rPr>
          <w:rFonts w:asciiTheme="minorHAnsi" w:hAnsiTheme="minorHAnsi"/>
        </w:rPr>
      </w:pPr>
      <w:r w:rsidRPr="003F127D">
        <w:rPr>
          <w:rFonts w:asciiTheme="minorHAnsi" w:hAnsiTheme="minorHAnsi"/>
        </w:rPr>
        <w:t>Telefono: 02 20424941</w:t>
      </w:r>
    </w:p>
    <w:p w14:paraId="58D60A96" w14:textId="77777777" w:rsidR="00B4557F" w:rsidRPr="003F127D" w:rsidRDefault="00B4557F" w:rsidP="00B4557F">
      <w:pPr>
        <w:spacing w:after="0" w:line="240" w:lineRule="auto"/>
        <w:ind w:right="28"/>
        <w:rPr>
          <w:rFonts w:asciiTheme="minorHAnsi" w:hAnsiTheme="minorHAnsi"/>
        </w:rPr>
      </w:pPr>
      <w:r w:rsidRPr="003F127D">
        <w:rPr>
          <w:rFonts w:asciiTheme="minorHAnsi" w:hAnsiTheme="minorHAnsi"/>
        </w:rPr>
        <w:t>Cell: 331 6718518</w:t>
      </w:r>
    </w:p>
    <w:p w14:paraId="266101A6" w14:textId="77777777" w:rsidR="00B4557F" w:rsidRPr="00AE267E" w:rsidRDefault="00B4557F" w:rsidP="00B4557F">
      <w:pPr>
        <w:spacing w:after="0" w:line="240" w:lineRule="auto"/>
        <w:ind w:right="28"/>
        <w:rPr>
          <w:rFonts w:asciiTheme="minorHAnsi" w:eastAsia="BISans" w:hAnsiTheme="minorHAnsi"/>
          <w:lang w:val="fr-FR"/>
        </w:rPr>
      </w:pPr>
      <w:r w:rsidRPr="00AE267E">
        <w:rPr>
          <w:rFonts w:asciiTheme="minorHAnsi" w:hAnsiTheme="minorHAnsi"/>
          <w:lang w:val="fr-FR"/>
        </w:rPr>
        <w:t xml:space="preserve">Mail: </w:t>
      </w:r>
      <w:r w:rsidR="006C28E1">
        <w:fldChar w:fldCharType="begin"/>
      </w:r>
      <w:r w:rsidR="006C28E1" w:rsidRPr="004652B4">
        <w:rPr>
          <w:lang w:val="fr-FR"/>
          <w:rPrChange w:id="1" w:author="Gentili,Dr.,Annalisa (PM EU RC) BI-IT-M" w:date="2017-07-10T15:47:00Z">
            <w:rPr/>
          </w:rPrChange>
        </w:rPr>
        <w:instrText xml:space="preserve"> HYPERLINK "mailto:ml.paleari@vrelations.it" </w:instrText>
      </w:r>
      <w:r w:rsidR="006C28E1">
        <w:fldChar w:fldCharType="separate"/>
      </w:r>
      <w:r w:rsidRPr="00AE267E">
        <w:rPr>
          <w:rStyle w:val="Collegamentoipertestuale"/>
          <w:rFonts w:asciiTheme="minorHAnsi" w:hAnsiTheme="minorHAnsi"/>
          <w:lang w:val="fr-FR"/>
        </w:rPr>
        <w:t>ml.paleari@vrelations.it</w:t>
      </w:r>
      <w:r w:rsidR="006C28E1">
        <w:rPr>
          <w:rStyle w:val="Collegamentoipertestuale"/>
          <w:rFonts w:asciiTheme="minorHAnsi" w:hAnsiTheme="minorHAnsi"/>
          <w:lang w:val="fr-FR"/>
        </w:rPr>
        <w:fldChar w:fldCharType="end"/>
      </w:r>
    </w:p>
    <w:p w14:paraId="4E98A5CF" w14:textId="3D1E9C05" w:rsidR="00D41DDE" w:rsidRPr="00AE267E" w:rsidRDefault="00D41DDE" w:rsidP="00B4557F">
      <w:pPr>
        <w:spacing w:after="0" w:line="240" w:lineRule="auto"/>
        <w:rPr>
          <w:rStyle w:val="Highlight"/>
          <w:rFonts w:asciiTheme="minorHAnsi" w:hAnsiTheme="minorHAnsi"/>
          <w:color w:val="003366"/>
          <w:lang w:val="fr-FR"/>
        </w:rPr>
      </w:pPr>
    </w:p>
    <w:p w14:paraId="511DE491" w14:textId="77777777" w:rsidR="007E76A3" w:rsidRPr="00AE267E" w:rsidRDefault="007E76A3" w:rsidP="00B4557F">
      <w:pPr>
        <w:spacing w:after="0" w:line="240" w:lineRule="auto"/>
        <w:rPr>
          <w:rStyle w:val="Highlight"/>
          <w:rFonts w:asciiTheme="minorHAnsi" w:hAnsiTheme="minorHAnsi"/>
          <w:color w:val="003366"/>
          <w:lang w:val="fr-FR"/>
        </w:rPr>
      </w:pPr>
    </w:p>
    <w:p w14:paraId="02D67DE0" w14:textId="416A03DB" w:rsidR="00B4557F" w:rsidRDefault="00B4557F" w:rsidP="00B4557F">
      <w:pPr>
        <w:spacing w:after="0" w:line="240" w:lineRule="auto"/>
        <w:rPr>
          <w:rStyle w:val="Highlight"/>
          <w:rFonts w:asciiTheme="minorHAnsi" w:hAnsiTheme="minorHAnsi"/>
          <w:color w:val="003366"/>
          <w:sz w:val="20"/>
          <w:szCs w:val="20"/>
          <w:lang w:val="fr-FR"/>
        </w:rPr>
      </w:pPr>
      <w:r w:rsidRPr="00BA37F8">
        <w:rPr>
          <w:rStyle w:val="Highlight"/>
          <w:rFonts w:asciiTheme="minorHAnsi" w:hAnsiTheme="minorHAnsi"/>
          <w:color w:val="003366"/>
          <w:sz w:val="20"/>
          <w:szCs w:val="20"/>
          <w:lang w:val="fr-FR"/>
        </w:rPr>
        <w:t>Bibliografia</w:t>
      </w:r>
      <w:r w:rsidR="00BA37F8">
        <w:rPr>
          <w:rStyle w:val="Highlight"/>
          <w:rFonts w:asciiTheme="minorHAnsi" w:hAnsiTheme="minorHAnsi"/>
          <w:color w:val="003366"/>
          <w:sz w:val="20"/>
          <w:szCs w:val="20"/>
          <w:lang w:val="fr-FR"/>
        </w:rPr>
        <w:t> :</w:t>
      </w:r>
    </w:p>
    <w:p w14:paraId="1B22BB48" w14:textId="77777777" w:rsidR="00BA37F8" w:rsidRPr="00BA37F8" w:rsidRDefault="00BA37F8" w:rsidP="00B4557F">
      <w:pPr>
        <w:spacing w:after="0" w:line="240" w:lineRule="auto"/>
        <w:rPr>
          <w:rStyle w:val="Highlight"/>
          <w:rFonts w:asciiTheme="minorHAnsi" w:hAnsiTheme="minorHAnsi"/>
          <w:color w:val="003366"/>
          <w:sz w:val="20"/>
          <w:szCs w:val="20"/>
          <w:lang w:val="fr-FR"/>
        </w:rPr>
      </w:pPr>
      <w:bookmarkStart w:id="2" w:name="_GoBack"/>
      <w:bookmarkEnd w:id="2"/>
    </w:p>
    <w:p w14:paraId="79A79CC4" w14:textId="77777777" w:rsidR="008E2626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bCs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bCs/>
          <w:sz w:val="20"/>
          <w:szCs w:val="20"/>
          <w:lang w:val="da-DK" w:eastAsia="en-GB"/>
        </w:rPr>
        <w:t xml:space="preserve">Pollack, C.V. </w:t>
      </w:r>
      <w:r w:rsidRPr="00BA37F8">
        <w:rPr>
          <w:rFonts w:asciiTheme="minorHAnsi" w:eastAsia="Times New Roman" w:hAnsiTheme="minorHAnsi" w:cs="Arial"/>
          <w:bCs/>
          <w:i/>
          <w:sz w:val="20"/>
          <w:szCs w:val="20"/>
          <w:lang w:val="da-DK" w:eastAsia="en-GB"/>
        </w:rPr>
        <w:t>et al</w:t>
      </w:r>
      <w:r w:rsidRPr="00BA37F8">
        <w:rPr>
          <w:rFonts w:asciiTheme="minorHAnsi" w:eastAsia="Times New Roman" w:hAnsiTheme="minorHAnsi" w:cs="Arial"/>
          <w:bCs/>
          <w:sz w:val="20"/>
          <w:szCs w:val="20"/>
          <w:lang w:val="da-DK" w:eastAsia="en-GB"/>
        </w:rPr>
        <w:t xml:space="preserve">. 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Final Results of RE-VERSE AD Study: Reversal of Dabigatran by its Specific Reversal Agent Idarucizumab in Patients with Uncontrolled Bleeding or Requiring Urgent Surgery/Procedures. International Society on Thrombosis and Haemostasis (ISTH) 26th Biennial Congress and 63rd Annual Scientific and Standardization Committee (SSC), Berlin, July 2017, Late-breaking abstract 503.</w:t>
      </w:r>
    </w:p>
    <w:p w14:paraId="66C5C70B" w14:textId="077805F4" w:rsidR="008E2626" w:rsidRPr="00982D27" w:rsidRDefault="008E2626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bCs/>
          <w:sz w:val="20"/>
          <w:szCs w:val="20"/>
          <w:lang w:val="en-GB" w:eastAsia="en-GB"/>
        </w:rPr>
      </w:pPr>
      <w:r w:rsidRPr="00BA37F8">
        <w:rPr>
          <w:rFonts w:asciiTheme="minorHAnsi" w:hAnsiTheme="minorHAnsi" w:cs="Arial"/>
          <w:sz w:val="20"/>
          <w:szCs w:val="20"/>
          <w:lang w:val="en-GB"/>
        </w:rPr>
        <w:t>Pollack et al. Idaruc</w:t>
      </w:r>
      <w:r w:rsidR="00982D27">
        <w:rPr>
          <w:rFonts w:asciiTheme="minorHAnsi" w:hAnsiTheme="minorHAnsi" w:cs="Arial"/>
          <w:sz w:val="20"/>
          <w:szCs w:val="20"/>
          <w:lang w:val="en-GB"/>
        </w:rPr>
        <w:t xml:space="preserve">izumab for Dabigatran Reversal - </w:t>
      </w:r>
      <w:r w:rsidRPr="00982D27">
        <w:rPr>
          <w:rFonts w:asciiTheme="minorHAnsi" w:eastAsia="Times New Roman" w:hAnsiTheme="minorHAnsi" w:cs="Arial"/>
          <w:sz w:val="20"/>
          <w:szCs w:val="20"/>
          <w:lang w:val="en-GB" w:eastAsia="en-GB"/>
        </w:rPr>
        <w:t>Full Cohort Analysis NEJM 2017; DOI: 10.1056/NEJMoa1707278</w:t>
      </w:r>
    </w:p>
    <w:p w14:paraId="4C71DACB" w14:textId="77777777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Idarucizumab European Summary of Product Characteristics, 2016.</w:t>
      </w:r>
    </w:p>
    <w:p w14:paraId="30714314" w14:textId="77777777" w:rsidR="00982D27" w:rsidRDefault="00B4557F" w:rsidP="00982D2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Idarucizumab US Prescribing Information 2015.</w:t>
      </w:r>
    </w:p>
    <w:p w14:paraId="222CE79C" w14:textId="31A510D8" w:rsidR="00B4557F" w:rsidRPr="00982D27" w:rsidRDefault="00B4557F" w:rsidP="00982D2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982D27">
        <w:rPr>
          <w:rFonts w:asciiTheme="minorHAnsi" w:eastAsia="BISans" w:hAnsiTheme="minorHAnsi" w:cstheme="minorHAnsi"/>
          <w:sz w:val="20"/>
          <w:szCs w:val="20"/>
        </w:rPr>
        <w:t>RE-VECTO reference</w:t>
      </w:r>
      <w:r w:rsidR="00982D27" w:rsidRPr="00982D27">
        <w:rPr>
          <w:rFonts w:asciiTheme="minorHAnsi" w:eastAsia="BISans" w:hAnsiTheme="minorHAnsi" w:cstheme="minorHAnsi"/>
          <w:sz w:val="20"/>
          <w:szCs w:val="20"/>
        </w:rPr>
        <w:t xml:space="preserve">: </w:t>
      </w:r>
      <w:hyperlink r:id="rId9" w:history="1">
        <w:r w:rsidR="00982D27" w:rsidRPr="00A2088E">
          <w:rPr>
            <w:rStyle w:val="Collegamentoipertestuale"/>
            <w:rFonts w:asciiTheme="minorHAnsi" w:eastAsia="BISans" w:hAnsiTheme="minorHAnsi" w:cstheme="minorHAnsi"/>
            <w:sz w:val="20"/>
            <w:szCs w:val="20"/>
          </w:rPr>
          <w:t>https://www.boehringer-ingelheim.com/press-release/boehringer-ingelheim-launches-re-vecto-global-program</w:t>
        </w:r>
      </w:hyperlink>
      <w:r w:rsidR="00982D27">
        <w:rPr>
          <w:rFonts w:asciiTheme="minorHAnsi" w:eastAsia="BISans" w:hAnsiTheme="minorHAnsi" w:cstheme="minorHAnsi"/>
          <w:sz w:val="20"/>
          <w:szCs w:val="20"/>
        </w:rPr>
        <w:t xml:space="preserve"> </w:t>
      </w:r>
    </w:p>
    <w:p w14:paraId="2FBE1CF8" w14:textId="334CD3FA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da-DK" w:eastAsia="en-GB"/>
        </w:rPr>
        <w:t xml:space="preserve">Pollack C.V.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da-DK" w:eastAsia="en-GB"/>
        </w:rPr>
        <w:t>et al</w:t>
      </w:r>
      <w:r w:rsidRPr="00BA37F8">
        <w:rPr>
          <w:rFonts w:asciiTheme="minorHAnsi" w:eastAsia="Times New Roman" w:hAnsiTheme="minorHAnsi" w:cs="Arial"/>
          <w:sz w:val="20"/>
          <w:szCs w:val="20"/>
          <w:lang w:val="da-DK" w:eastAsia="en-GB"/>
        </w:rPr>
        <w:t xml:space="preserve">. 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Design and rationale for RE-VERSE AD: A phase 3 study of idarucizumab, a specific reversal agent for dabigatran.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Thromb Haemost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. 2015;</w:t>
      </w:r>
      <w:r w:rsidR="00982D27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 </w:t>
      </w:r>
      <w:r w:rsidRPr="00BA37F8">
        <w:rPr>
          <w:rFonts w:asciiTheme="minorHAnsi" w:eastAsia="Times New Roman" w:hAnsiTheme="minorHAnsi" w:cs="Arial"/>
          <w:b/>
          <w:sz w:val="20"/>
          <w:szCs w:val="20"/>
          <w:lang w:val="en-GB" w:eastAsia="en-GB"/>
        </w:rPr>
        <w:t>114</w:t>
      </w:r>
      <w:r w:rsidR="00982D27">
        <w:rPr>
          <w:rFonts w:asciiTheme="minorHAnsi" w:eastAsia="Times New Roman" w:hAnsiTheme="minorHAnsi" w:cs="Arial"/>
          <w:b/>
          <w:sz w:val="20"/>
          <w:szCs w:val="20"/>
          <w:lang w:val="en-GB" w:eastAsia="en-GB"/>
        </w:rPr>
        <w:t xml:space="preserve"> 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(1):198-205.</w:t>
      </w:r>
    </w:p>
    <w:p w14:paraId="2B6A3302" w14:textId="77777777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Schiele, F.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et al.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 A specific antidote for dabigatran: functional and structural characterization.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Blood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. 2013;</w:t>
      </w:r>
      <w:r w:rsidRPr="00BA37F8">
        <w:rPr>
          <w:rFonts w:asciiTheme="minorHAnsi" w:eastAsia="Times New Roman" w:hAnsiTheme="minorHAnsi" w:cs="Arial"/>
          <w:b/>
          <w:sz w:val="20"/>
          <w:szCs w:val="20"/>
          <w:lang w:val="en-GB" w:eastAsia="en-GB"/>
        </w:rPr>
        <w:t>121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(18):3554-62.</w:t>
      </w:r>
    </w:p>
    <w:p w14:paraId="24339032" w14:textId="77777777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nb-NO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nb-NO" w:eastAsia="en-GB"/>
        </w:rPr>
        <w:t>Boehringer Ingelheim. Data on File.</w:t>
      </w:r>
    </w:p>
    <w:p w14:paraId="692F980B" w14:textId="77777777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Pradaxa</w:t>
      </w:r>
      <w:r w:rsidRPr="00BA37F8">
        <w:rPr>
          <w:rFonts w:asciiTheme="minorHAnsi" w:eastAsia="Times New Roman" w:hAnsiTheme="minorHAnsi" w:cs="Calibri"/>
          <w:sz w:val="20"/>
          <w:szCs w:val="20"/>
          <w:lang w:val="en-GB" w:eastAsia="en-GB"/>
        </w:rPr>
        <w:t>®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 US Prescribing Information, 2015.</w:t>
      </w:r>
    </w:p>
    <w:p w14:paraId="61E8BB94" w14:textId="77777777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Pradaxa</w:t>
      </w:r>
      <w:r w:rsidRPr="00BA37F8">
        <w:rPr>
          <w:rFonts w:asciiTheme="minorHAnsi" w:eastAsia="Times New Roman" w:hAnsiTheme="minorHAnsi" w:cs="Calibri"/>
          <w:sz w:val="20"/>
          <w:szCs w:val="20"/>
          <w:lang w:val="en-GB" w:eastAsia="en-GB"/>
        </w:rPr>
        <w:t>®</w:t>
      </w:r>
      <w:r w:rsidRPr="00BA37F8">
        <w:rPr>
          <w:rFonts w:asciiTheme="minorHAnsi" w:eastAsia="Times New Roman" w:hAnsiTheme="minorHAnsi" w:cs="Arial"/>
          <w:sz w:val="20"/>
          <w:szCs w:val="20"/>
          <w:bdr w:val="none" w:sz="0" w:space="0" w:color="auto" w:frame="1"/>
          <w:vertAlign w:val="superscript"/>
          <w:lang w:val="en-GB" w:eastAsia="en-GB"/>
        </w:rPr>
        <w:t xml:space="preserve"> 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European Summary of Product Characteristics, 2016.</w:t>
      </w:r>
    </w:p>
    <w:p w14:paraId="387117F3" w14:textId="77777777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Stangier, J. Clinical pharmacokinetics and pharmacodynamics of the oral direct thrombin inhibitor dabigatran etexilate.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Clin Pharmacokinet.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 2008;</w:t>
      </w:r>
      <w:r w:rsidRPr="00BA37F8">
        <w:rPr>
          <w:rFonts w:asciiTheme="minorHAnsi" w:eastAsia="Times New Roman" w:hAnsiTheme="minorHAnsi" w:cs="Arial"/>
          <w:b/>
          <w:sz w:val="20"/>
          <w:szCs w:val="20"/>
          <w:lang w:val="en-GB" w:eastAsia="en-GB"/>
        </w:rPr>
        <w:t>47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(5):285–95.</w:t>
      </w:r>
    </w:p>
    <w:p w14:paraId="65B0906E" w14:textId="550EFB29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eastAsia="en-GB"/>
        </w:rPr>
        <w:lastRenderedPageBreak/>
        <w:t xml:space="preserve">Di Nisio, M.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>et al</w:t>
      </w:r>
      <w:r w:rsidRPr="00BA37F8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. 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Direct thrombin inhibitors.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N Engl J Med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.</w:t>
      </w:r>
      <w:r w:rsidR="00BA37F8"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2005;</w:t>
      </w:r>
      <w:r w:rsidR="00BA37F8" w:rsidRPr="00BA37F8">
        <w:rPr>
          <w:rFonts w:asciiTheme="minorHAnsi" w:eastAsia="Times New Roman" w:hAnsiTheme="minorHAnsi" w:cs="Arial"/>
          <w:b/>
          <w:sz w:val="20"/>
          <w:szCs w:val="20"/>
          <w:lang w:val="en-GB" w:eastAsia="en-GB"/>
        </w:rPr>
        <w:t xml:space="preserve"> 353:1028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–40.</w:t>
      </w:r>
    </w:p>
    <w:p w14:paraId="41A1ACEB" w14:textId="426478F8" w:rsidR="00B4557F" w:rsidRPr="00BA37F8" w:rsidRDefault="00B4557F" w:rsidP="00BA37F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Stangier, J.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et al.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 Pharmacokinetic Profile of the Oral Direct Thrombin Inhibitor Dabigatran Etexilate in Healthy Volunteers and Patients Undergoing Total Hip Replacement. </w:t>
      </w:r>
      <w:r w:rsidRPr="00BA37F8">
        <w:rPr>
          <w:rFonts w:asciiTheme="minorHAnsi" w:eastAsia="Times New Roman" w:hAnsiTheme="minorHAnsi" w:cs="Arial"/>
          <w:i/>
          <w:sz w:val="20"/>
          <w:szCs w:val="20"/>
          <w:lang w:val="en-GB" w:eastAsia="en-GB"/>
        </w:rPr>
        <w:t>J Clin Pharmacol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 xml:space="preserve">. </w:t>
      </w:r>
      <w:r w:rsidR="00BA37F8"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2005;</w:t>
      </w:r>
      <w:r w:rsidR="00BA37F8" w:rsidRPr="00BA37F8">
        <w:rPr>
          <w:rFonts w:asciiTheme="minorHAnsi" w:eastAsia="Times New Roman" w:hAnsiTheme="minorHAnsi" w:cs="Arial"/>
          <w:b/>
          <w:sz w:val="20"/>
          <w:szCs w:val="20"/>
          <w:lang w:val="en-GB" w:eastAsia="en-GB"/>
        </w:rPr>
        <w:t xml:space="preserve"> 45:555</w:t>
      </w:r>
      <w:r w:rsidRPr="00BA37F8">
        <w:rPr>
          <w:rFonts w:asciiTheme="minorHAnsi" w:eastAsia="Times New Roman" w:hAnsiTheme="minorHAnsi" w:cs="Arial"/>
          <w:sz w:val="20"/>
          <w:szCs w:val="20"/>
          <w:lang w:val="en-GB" w:eastAsia="en-GB"/>
        </w:rPr>
        <w:t>–63.</w:t>
      </w:r>
    </w:p>
    <w:p w14:paraId="72738EDB" w14:textId="77777777" w:rsidR="00B4557F" w:rsidRPr="00BA37F8" w:rsidRDefault="00B4557F" w:rsidP="00BA37F8">
      <w:pPr>
        <w:ind w:left="426"/>
        <w:jc w:val="both"/>
        <w:textAlignment w:val="baseline"/>
        <w:rPr>
          <w:rFonts w:asciiTheme="majorHAnsi" w:eastAsia="Times New Roman" w:hAnsiTheme="majorHAnsi" w:cs="Arial"/>
          <w:szCs w:val="20"/>
          <w:lang w:val="en-GB" w:eastAsia="en-GB"/>
        </w:rPr>
      </w:pPr>
    </w:p>
    <w:p w14:paraId="563C5F71" w14:textId="77777777" w:rsidR="00B4557F" w:rsidRPr="00BA37F8" w:rsidRDefault="00B4557F" w:rsidP="00BA37F8">
      <w:pPr>
        <w:ind w:left="720"/>
        <w:jc w:val="both"/>
        <w:textAlignment w:val="baseline"/>
        <w:rPr>
          <w:rFonts w:asciiTheme="majorHAnsi" w:eastAsia="Times New Roman" w:hAnsiTheme="majorHAnsi" w:cs="Arial"/>
          <w:szCs w:val="20"/>
          <w:lang w:val="en-GB" w:eastAsia="en-GB"/>
        </w:rPr>
      </w:pPr>
    </w:p>
    <w:p w14:paraId="652663DD" w14:textId="77777777" w:rsidR="00B4557F" w:rsidRPr="00BA37F8" w:rsidRDefault="00B4557F" w:rsidP="00BA37F8">
      <w:pPr>
        <w:spacing w:line="240" w:lineRule="auto"/>
        <w:ind w:left="425"/>
        <w:jc w:val="both"/>
        <w:textAlignment w:val="baseline"/>
        <w:rPr>
          <w:rStyle w:val="Highlight"/>
          <w:rFonts w:asciiTheme="majorHAnsi" w:hAnsiTheme="majorHAnsi"/>
          <w:color w:val="auto"/>
          <w:lang w:val="en-US"/>
        </w:rPr>
      </w:pPr>
    </w:p>
    <w:bookmarkEnd w:id="0"/>
    <w:p w14:paraId="0CD2121E" w14:textId="77777777" w:rsidR="00024DD8" w:rsidRPr="00982D27" w:rsidRDefault="00024DD8" w:rsidP="00024DD8">
      <w:pPr>
        <w:pStyle w:val="Default"/>
        <w:rPr>
          <w:rFonts w:ascii="BISans" w:hAnsi="BISans"/>
          <w:b/>
          <w:bCs/>
          <w:sz w:val="22"/>
          <w:szCs w:val="22"/>
        </w:rPr>
      </w:pPr>
    </w:p>
    <w:sectPr w:rsidR="00024DD8" w:rsidRPr="00982D27" w:rsidSect="005E2946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DA24" w14:textId="77777777" w:rsidR="00411302" w:rsidRDefault="00411302" w:rsidP="00AC7343">
      <w:pPr>
        <w:spacing w:after="0" w:line="240" w:lineRule="auto"/>
      </w:pPr>
      <w:r>
        <w:separator/>
      </w:r>
    </w:p>
  </w:endnote>
  <w:endnote w:type="continuationSeparator" w:id="0">
    <w:p w14:paraId="277FE385" w14:textId="77777777" w:rsidR="00411302" w:rsidRDefault="00411302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Sans">
    <w:altName w:val="Corbe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SansNEXTCo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C703" w14:textId="120DF431"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BB349B">
      <w:rPr>
        <w:rFonts w:cs="Arial"/>
        <w:noProof/>
        <w:sz w:val="16"/>
        <w:szCs w:val="16"/>
      </w:rPr>
      <w:t>7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BB349B">
      <w:rPr>
        <w:rFonts w:cs="Arial"/>
        <w:noProof/>
        <w:sz w:val="16"/>
        <w:szCs w:val="16"/>
      </w:rPr>
      <w:t>7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8FE6" w14:textId="5B18E54A"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5719CC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5719CC">
      <w:rPr>
        <w:rFonts w:cs="Arial"/>
        <w:noProof/>
        <w:sz w:val="16"/>
        <w:szCs w:val="16"/>
      </w:rPr>
      <w:t>7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1E1F" w14:textId="77777777" w:rsidR="00411302" w:rsidRDefault="00411302" w:rsidP="00AC7343">
      <w:pPr>
        <w:spacing w:after="0" w:line="240" w:lineRule="auto"/>
      </w:pPr>
      <w:r>
        <w:separator/>
      </w:r>
    </w:p>
  </w:footnote>
  <w:footnote w:type="continuationSeparator" w:id="0">
    <w:p w14:paraId="3EF11951" w14:textId="77777777" w:rsidR="00411302" w:rsidRDefault="00411302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A7C5" w14:textId="77777777"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BD23C4" wp14:editId="6B120AA4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_Hlk482981987"/>
                        <w:bookmarkEnd w:id="3"/>
                        <w:p w14:paraId="7043C66D" w14:textId="520FCF31"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BB349B">
                            <w:rPr>
                              <w:noProof/>
                              <w:sz w:val="18"/>
                            </w:rPr>
                            <w:t>7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D23C4"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bookmarkStart w:id="4" w:name="_Hlk482981987"/>
                  <w:bookmarkEnd w:id="4"/>
                  <w:p w14:paraId="7043C66D" w14:textId="520FCF31"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BB349B">
                      <w:rPr>
                        <w:noProof/>
                        <w:sz w:val="18"/>
                      </w:rPr>
                      <w:t>7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2F19C2" wp14:editId="5FFBFBC5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A5B189" w14:textId="77777777"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F19C2"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14:paraId="33A5B189" w14:textId="77777777"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60F69BAB" wp14:editId="6FBEC68F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5C7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04D45B2E" wp14:editId="61BAB7AB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B0EC9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8F1C" w14:textId="77777777"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532511A8" wp14:editId="50234182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CDB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394EC25" wp14:editId="3334321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3A2F4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4717BEE" wp14:editId="40AC5DC9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668FF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F96B978" wp14:editId="4455F514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8EA0" w14:textId="77777777" w:rsidR="00DE5F50" w:rsidRPr="00651BA7" w:rsidRDefault="00DE5F50" w:rsidP="005E2946"/>
                        <w:p w14:paraId="7D9861DE" w14:textId="77777777" w:rsidR="00DE5F50" w:rsidRDefault="009A52FE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2B6DD064" wp14:editId="2EE0440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F6C9F"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6C9D8C43" wp14:editId="731AE57E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EF885E" w14:textId="77777777"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14:paraId="554F6EC4" w14:textId="77777777"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14:paraId="63592F44" w14:textId="77777777"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14:paraId="6F772A47" w14:textId="77777777"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14:paraId="499DD92F" w14:textId="77777777"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14:paraId="47A1AF6C" w14:textId="77777777"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14:paraId="20D3A9CA" w14:textId="77777777"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14:paraId="73255EE8" w14:textId="77777777"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14:paraId="7BB6D0C8" w14:textId="77777777" w:rsidR="00DE5F50" w:rsidRDefault="00BB349B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14:paraId="2F747514" w14:textId="77777777"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14:paraId="21BC53D0" w14:textId="77777777"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69E2F60D" wp14:editId="4306447D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627E3B3C" wp14:editId="1FB3661C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E81A58" w14:textId="77777777" w:rsidR="00DE5F50" w:rsidRPr="00A43A96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A43A96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14:paraId="73477C41" w14:textId="77777777" w:rsidR="00DE5F50" w:rsidRPr="00A43A96" w:rsidRDefault="00BB349B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A43A96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14:paraId="1876C519" w14:textId="77777777"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4060F692" wp14:editId="62E013EE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6B9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14:paraId="571C8EA0" w14:textId="77777777" w:rsidR="00DE5F50" w:rsidRPr="00651BA7" w:rsidRDefault="00DE5F50" w:rsidP="005E2946"/>
                  <w:p w14:paraId="7D9861DE" w14:textId="77777777" w:rsidR="00DE5F50" w:rsidRDefault="009A52FE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2B6DD064" wp14:editId="2EE0440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F6C9F"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 wp14:anchorId="6C9D8C43" wp14:editId="731AE57E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EF885E" w14:textId="77777777"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14:paraId="554F6EC4" w14:textId="77777777"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14:paraId="63592F44" w14:textId="77777777"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14:paraId="6F772A47" w14:textId="77777777"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14:paraId="499DD92F" w14:textId="77777777"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14:paraId="47A1AF6C" w14:textId="77777777"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14:paraId="20D3A9CA" w14:textId="77777777"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14:paraId="73255EE8" w14:textId="77777777"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14:paraId="7BB6D0C8" w14:textId="77777777" w:rsidR="00DE5F50" w:rsidRDefault="00BB349B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14:paraId="2F747514" w14:textId="77777777"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14:paraId="21BC53D0" w14:textId="77777777"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69E2F60D" wp14:editId="4306447D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627E3B3C" wp14:editId="1FB3661C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E81A58" w14:textId="77777777" w:rsidR="00DE5F50" w:rsidRPr="00A43A96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A43A96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14:paraId="73477C41" w14:textId="77777777" w:rsidR="00DE5F50" w:rsidRPr="00A43A96" w:rsidRDefault="00BB349B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A43A96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14:paraId="1876C519" w14:textId="77777777"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4060F692" wp14:editId="62E013EE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30A7DADB" wp14:editId="3283CE30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33FDC" w14:textId="77777777"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7DADB"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14:paraId="42B33FDC" w14:textId="77777777"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 wp14:anchorId="0589DDFC" wp14:editId="1515B828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7D46A56D" wp14:editId="1A45511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0CFC1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04"/>
    <w:multiLevelType w:val="hybridMultilevel"/>
    <w:tmpl w:val="652A56BA"/>
    <w:lvl w:ilvl="0" w:tplc="95F66386">
      <w:start w:val="1"/>
      <w:numFmt w:val="bullet"/>
      <w:lvlText w:val="•"/>
      <w:lvlJc w:val="left"/>
      <w:pPr>
        <w:ind w:left="360" w:hanging="360"/>
      </w:pPr>
      <w:rPr>
        <w:rFonts w:ascii="BISans" w:hAnsi="B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76F"/>
    <w:multiLevelType w:val="hybridMultilevel"/>
    <w:tmpl w:val="51E0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6DBD"/>
    <w:multiLevelType w:val="hybridMultilevel"/>
    <w:tmpl w:val="122EE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3413"/>
    <w:multiLevelType w:val="multilevel"/>
    <w:tmpl w:val="160E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03893"/>
    <w:multiLevelType w:val="hybridMultilevel"/>
    <w:tmpl w:val="2288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233D3"/>
    <w:rsid w:val="00024DD8"/>
    <w:rsid w:val="00045561"/>
    <w:rsid w:val="00115D96"/>
    <w:rsid w:val="001271F2"/>
    <w:rsid w:val="00166798"/>
    <w:rsid w:val="001B4AC3"/>
    <w:rsid w:val="001C65B1"/>
    <w:rsid w:val="001E1700"/>
    <w:rsid w:val="001E30CE"/>
    <w:rsid w:val="00221DF5"/>
    <w:rsid w:val="0024279A"/>
    <w:rsid w:val="00251758"/>
    <w:rsid w:val="00263BAE"/>
    <w:rsid w:val="00265666"/>
    <w:rsid w:val="0029629C"/>
    <w:rsid w:val="002B2557"/>
    <w:rsid w:val="002C3CF5"/>
    <w:rsid w:val="002D79EF"/>
    <w:rsid w:val="003366DD"/>
    <w:rsid w:val="00364F7F"/>
    <w:rsid w:val="00376DC9"/>
    <w:rsid w:val="00381EDD"/>
    <w:rsid w:val="003A1A46"/>
    <w:rsid w:val="003C40D6"/>
    <w:rsid w:val="003D0975"/>
    <w:rsid w:val="003D2FB8"/>
    <w:rsid w:val="003F127D"/>
    <w:rsid w:val="003F5C4D"/>
    <w:rsid w:val="00411302"/>
    <w:rsid w:val="00415BE2"/>
    <w:rsid w:val="0043247C"/>
    <w:rsid w:val="00452E42"/>
    <w:rsid w:val="004652B4"/>
    <w:rsid w:val="00497E3A"/>
    <w:rsid w:val="004A0372"/>
    <w:rsid w:val="004B30B1"/>
    <w:rsid w:val="004B7F04"/>
    <w:rsid w:val="004D6F37"/>
    <w:rsid w:val="004E6AA3"/>
    <w:rsid w:val="00506A01"/>
    <w:rsid w:val="00516BF2"/>
    <w:rsid w:val="005234F1"/>
    <w:rsid w:val="00564A23"/>
    <w:rsid w:val="005719CC"/>
    <w:rsid w:val="00590103"/>
    <w:rsid w:val="005E0FCC"/>
    <w:rsid w:val="005E2946"/>
    <w:rsid w:val="00601BDE"/>
    <w:rsid w:val="00603C1C"/>
    <w:rsid w:val="006316FC"/>
    <w:rsid w:val="00641E32"/>
    <w:rsid w:val="0066719B"/>
    <w:rsid w:val="0067598B"/>
    <w:rsid w:val="00693210"/>
    <w:rsid w:val="006C28E1"/>
    <w:rsid w:val="006C7C99"/>
    <w:rsid w:val="00761233"/>
    <w:rsid w:val="00765235"/>
    <w:rsid w:val="00775979"/>
    <w:rsid w:val="00780FCC"/>
    <w:rsid w:val="007A0DFB"/>
    <w:rsid w:val="007B04BB"/>
    <w:rsid w:val="007B0CD9"/>
    <w:rsid w:val="007E76A3"/>
    <w:rsid w:val="007F32D1"/>
    <w:rsid w:val="008113FB"/>
    <w:rsid w:val="00816745"/>
    <w:rsid w:val="00825F5D"/>
    <w:rsid w:val="00893511"/>
    <w:rsid w:val="00895D7A"/>
    <w:rsid w:val="008A3587"/>
    <w:rsid w:val="008D3E31"/>
    <w:rsid w:val="008E1392"/>
    <w:rsid w:val="008E2626"/>
    <w:rsid w:val="0091619D"/>
    <w:rsid w:val="00932EF9"/>
    <w:rsid w:val="00954330"/>
    <w:rsid w:val="00977337"/>
    <w:rsid w:val="00982D27"/>
    <w:rsid w:val="009A52FE"/>
    <w:rsid w:val="009C16A8"/>
    <w:rsid w:val="009D237B"/>
    <w:rsid w:val="009F6C9F"/>
    <w:rsid w:val="00A02962"/>
    <w:rsid w:val="00A06BEC"/>
    <w:rsid w:val="00A14D70"/>
    <w:rsid w:val="00A21245"/>
    <w:rsid w:val="00A21E2A"/>
    <w:rsid w:val="00A43A96"/>
    <w:rsid w:val="00A467BE"/>
    <w:rsid w:val="00A75E18"/>
    <w:rsid w:val="00A9517E"/>
    <w:rsid w:val="00AA2F97"/>
    <w:rsid w:val="00AC7343"/>
    <w:rsid w:val="00AE267E"/>
    <w:rsid w:val="00AF10AE"/>
    <w:rsid w:val="00B045A3"/>
    <w:rsid w:val="00B4557F"/>
    <w:rsid w:val="00B74F10"/>
    <w:rsid w:val="00B833E9"/>
    <w:rsid w:val="00BA37F8"/>
    <w:rsid w:val="00BB349B"/>
    <w:rsid w:val="00BC4CF6"/>
    <w:rsid w:val="00BF2BC6"/>
    <w:rsid w:val="00C032C4"/>
    <w:rsid w:val="00C379AE"/>
    <w:rsid w:val="00C66077"/>
    <w:rsid w:val="00C7536A"/>
    <w:rsid w:val="00C82138"/>
    <w:rsid w:val="00C86E94"/>
    <w:rsid w:val="00CD621A"/>
    <w:rsid w:val="00D02733"/>
    <w:rsid w:val="00D13B32"/>
    <w:rsid w:val="00D14654"/>
    <w:rsid w:val="00D37FBB"/>
    <w:rsid w:val="00D41DDE"/>
    <w:rsid w:val="00D472C8"/>
    <w:rsid w:val="00D71600"/>
    <w:rsid w:val="00D764A3"/>
    <w:rsid w:val="00D91F42"/>
    <w:rsid w:val="00D95FF7"/>
    <w:rsid w:val="00DA41D8"/>
    <w:rsid w:val="00DD0058"/>
    <w:rsid w:val="00DD2236"/>
    <w:rsid w:val="00DD40A0"/>
    <w:rsid w:val="00DE5F50"/>
    <w:rsid w:val="00E00354"/>
    <w:rsid w:val="00E0311A"/>
    <w:rsid w:val="00E3083B"/>
    <w:rsid w:val="00E61CC1"/>
    <w:rsid w:val="00E628EF"/>
    <w:rsid w:val="00EA4507"/>
    <w:rsid w:val="00EA52E2"/>
    <w:rsid w:val="00EA6FED"/>
    <w:rsid w:val="00EB06B9"/>
    <w:rsid w:val="00ED5FD5"/>
    <w:rsid w:val="00F110A5"/>
    <w:rsid w:val="00F17CBB"/>
    <w:rsid w:val="00F457D8"/>
    <w:rsid w:val="00F66E6F"/>
    <w:rsid w:val="00FA1C4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DE5BF"/>
  <w15:docId w15:val="{3C633551-CEFF-4A53-96CD-D32D2332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link w:val="ParagrafoelencoCaratter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B45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4557F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2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ffanti@boehringer-ingelhei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hringer-ingelheim.com/press-release/boehringer-ingelheim-launches-re-vecto-global-progr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17E9-E7F3-44C5-8DA0-210CFFE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12901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7</cp:revision>
  <cp:lastPrinted>2016-03-07T16:50:00Z</cp:lastPrinted>
  <dcterms:created xsi:type="dcterms:W3CDTF">2017-07-11T12:37:00Z</dcterms:created>
  <dcterms:modified xsi:type="dcterms:W3CDTF">2017-07-11T13:29:00Z</dcterms:modified>
</cp:coreProperties>
</file>