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D6" w:rsidRPr="00B1553A" w:rsidRDefault="004C6AFD" w:rsidP="001B3525">
      <w:pPr>
        <w:jc w:val="both"/>
        <w:rPr>
          <w:b/>
          <w:sz w:val="32"/>
          <w:szCs w:val="36"/>
        </w:rPr>
      </w:pPr>
      <w:r w:rsidRPr="00B1553A">
        <w:rPr>
          <w:b/>
          <w:sz w:val="32"/>
          <w:szCs w:val="36"/>
        </w:rPr>
        <w:t xml:space="preserve">Boehringer Ingelheim celebra dieci anni di benessere per gli animali d’allevamento </w:t>
      </w:r>
    </w:p>
    <w:p w:rsidR="004C6AFD" w:rsidRPr="00F350FC" w:rsidRDefault="00D536C8" w:rsidP="004C6AFD">
      <w:pPr>
        <w:jc w:val="both"/>
      </w:pPr>
      <w:r w:rsidRPr="00B230A1">
        <w:rPr>
          <w:b/>
        </w:rPr>
        <w:t xml:space="preserve">Ingelheim, Germania, </w:t>
      </w:r>
      <w:r w:rsidR="004C6AFD" w:rsidRPr="00B230A1">
        <w:rPr>
          <w:b/>
        </w:rPr>
        <w:t>13</w:t>
      </w:r>
      <w:r w:rsidR="001B3525" w:rsidRPr="00B230A1">
        <w:rPr>
          <w:b/>
        </w:rPr>
        <w:t xml:space="preserve"> giugno</w:t>
      </w:r>
      <w:r w:rsidR="00F3477F" w:rsidRPr="00B230A1">
        <w:rPr>
          <w:b/>
        </w:rPr>
        <w:t xml:space="preserve"> 2017 -</w:t>
      </w:r>
      <w:r w:rsidR="00F3477F" w:rsidRPr="00F52727">
        <w:t xml:space="preserve"> </w:t>
      </w:r>
      <w:r w:rsidR="0084356F">
        <w:t>Lo sviluppo scientifico e tecnologico dovranno essere alla base del m</w:t>
      </w:r>
      <w:r w:rsidR="004C6AFD">
        <w:t xml:space="preserve">iglioramento del benessere e della qualità di vita </w:t>
      </w:r>
      <w:r w:rsidR="0084356F">
        <w:t xml:space="preserve">degli </w:t>
      </w:r>
      <w:r w:rsidR="004C6AFD">
        <w:t>animali d</w:t>
      </w:r>
      <w:r w:rsidR="0084356F">
        <w:t>’</w:t>
      </w:r>
      <w:r w:rsidR="004C6AFD">
        <w:t xml:space="preserve">allevamento </w:t>
      </w:r>
      <w:r w:rsidR="0084356F">
        <w:t xml:space="preserve">insieme alle </w:t>
      </w:r>
      <w:r w:rsidR="004C6AFD">
        <w:t xml:space="preserve">maggiori conoscenze nel campo della psicologia umana. Queste, in sintesi, le previsioni per i prossimi dieci anni emerse nel corso dei lavori del Forum sul Benessere degli Animali d’Allevamento </w:t>
      </w:r>
      <w:r w:rsidR="0084356F">
        <w:t xml:space="preserve">organizzato da </w:t>
      </w:r>
      <w:r w:rsidR="004C6AFD">
        <w:t>Boehringer Ingelheim</w:t>
      </w:r>
      <w:r w:rsidR="009E0F24">
        <w:t xml:space="preserve"> </w:t>
      </w:r>
      <w:r w:rsidR="004C6AFD">
        <w:t>a Roma l’8 e il 9 giugno scorsi</w:t>
      </w:r>
      <w:r w:rsidR="004C6AFD" w:rsidRPr="00F350FC">
        <w:t>.</w:t>
      </w:r>
    </w:p>
    <w:p w:rsidR="004C6AFD" w:rsidRDefault="004C6AFD" w:rsidP="004C6AFD">
      <w:pPr>
        <w:jc w:val="both"/>
      </w:pPr>
      <w:r>
        <w:t xml:space="preserve">Il Forum ha visto la presenza di </w:t>
      </w:r>
      <w:r w:rsidRPr="00F350FC">
        <w:t xml:space="preserve">130 </w:t>
      </w:r>
      <w:r>
        <w:t xml:space="preserve">esperti di </w:t>
      </w:r>
      <w:r w:rsidRPr="00F350FC">
        <w:t xml:space="preserve">7 </w:t>
      </w:r>
      <w:r>
        <w:t>diversi Paesi del mondo, tra veterinari, etologi, psicologi</w:t>
      </w:r>
      <w:r w:rsidRPr="00F350FC">
        <w:t>, soci</w:t>
      </w:r>
      <w:r>
        <w:t>ologi e operatori di tutte le fasi della filiera alimentare, dagli allevatori alle aziende che si occupano di distribuzione e vendita, al consumatore finale.</w:t>
      </w:r>
    </w:p>
    <w:p w:rsidR="004C6AFD" w:rsidRDefault="0084356F" w:rsidP="004C6AFD">
      <w:pPr>
        <w:jc w:val="both"/>
      </w:pPr>
      <w:r>
        <w:t>Questo</w:t>
      </w:r>
      <w:r w:rsidR="004C6AFD">
        <w:t xml:space="preserve"> approccio multidisciplinare </w:t>
      </w:r>
      <w:r>
        <w:t>rende possibile lo sviluppo di</w:t>
      </w:r>
      <w:r w:rsidR="004C6AFD">
        <w:t xml:space="preserve"> nuove modalità di analisi e </w:t>
      </w:r>
      <w:r>
        <w:t xml:space="preserve">consente di approfondire </w:t>
      </w:r>
      <w:r w:rsidR="004C6AFD">
        <w:t xml:space="preserve">le conoscenze </w:t>
      </w:r>
      <w:r w:rsidR="009E0F24">
        <w:t>dei</w:t>
      </w:r>
      <w:r>
        <w:t xml:space="preserve"> diversi </w:t>
      </w:r>
      <w:r w:rsidR="004C6AFD">
        <w:t>aspetti che riguardano il benessere animale</w:t>
      </w:r>
      <w:r w:rsidR="004C6AFD" w:rsidRPr="00F350FC">
        <w:t xml:space="preserve">. </w:t>
      </w:r>
    </w:p>
    <w:p w:rsidR="004C6AFD" w:rsidRPr="00F350FC" w:rsidRDefault="004C6AFD" w:rsidP="004C6AFD">
      <w:pPr>
        <w:jc w:val="both"/>
      </w:pPr>
      <w:r>
        <w:t xml:space="preserve">Il legame fra benessere animale e produttività è ormai </w:t>
      </w:r>
      <w:r w:rsidR="0084356F">
        <w:t xml:space="preserve">ben </w:t>
      </w:r>
      <w:r>
        <w:t xml:space="preserve">noto e la decima edizione di questo Forum annuale ha </w:t>
      </w:r>
      <w:r w:rsidR="0084356F">
        <w:t xml:space="preserve">confermato </w:t>
      </w:r>
      <w:r>
        <w:t>l’impegno di Boehringer Ingelheim nei confronti del miglioramento della ‘salute economica’ del settore</w:t>
      </w:r>
      <w:r w:rsidR="005249D8">
        <w:t>.</w:t>
      </w:r>
    </w:p>
    <w:p w:rsidR="004C6AFD" w:rsidRPr="00F350FC" w:rsidRDefault="004C6AFD" w:rsidP="004C6AFD">
      <w:pPr>
        <w:jc w:val="both"/>
      </w:pPr>
      <w:r w:rsidRPr="00F350FC">
        <w:t>“</w:t>
      </w:r>
      <w:r>
        <w:t>A</w:t>
      </w:r>
      <w:r w:rsidRPr="00F060A4">
        <w:t xml:space="preserve">bbiamo </w:t>
      </w:r>
      <w:r w:rsidR="00F07F83">
        <w:t>accettato</w:t>
      </w:r>
      <w:r w:rsidR="00F07F83" w:rsidRPr="00F060A4">
        <w:t xml:space="preserve"> </w:t>
      </w:r>
      <w:r w:rsidRPr="00F060A4">
        <w:t xml:space="preserve">l’impegno </w:t>
      </w:r>
      <w:r>
        <w:t>di</w:t>
      </w:r>
      <w:r w:rsidRPr="00F060A4">
        <w:t xml:space="preserve"> </w:t>
      </w:r>
      <w:r w:rsidR="00F07F83">
        <w:t>approfondire e condividere</w:t>
      </w:r>
      <w:r w:rsidRPr="00F060A4">
        <w:t xml:space="preserve"> le conoscenze scientifiche </w:t>
      </w:r>
      <w:r w:rsidR="00F07F83">
        <w:t>riguardanti il</w:t>
      </w:r>
      <w:r w:rsidR="00F07F83" w:rsidRPr="00F060A4">
        <w:t xml:space="preserve"> </w:t>
      </w:r>
      <w:r w:rsidRPr="00F060A4">
        <w:t xml:space="preserve">benessere degli animali da allevamento e </w:t>
      </w:r>
      <w:r w:rsidR="00F07F83">
        <w:t>divulgare</w:t>
      </w:r>
      <w:r w:rsidRPr="00F060A4">
        <w:t xml:space="preserve"> </w:t>
      </w:r>
      <w:r w:rsidR="00F07F83">
        <w:t>quanto</w:t>
      </w:r>
      <w:r w:rsidR="00F07F83" w:rsidRPr="00F060A4">
        <w:t xml:space="preserve"> </w:t>
      </w:r>
      <w:r w:rsidRPr="00F060A4">
        <w:t xml:space="preserve">un’efficace gestione del dolore </w:t>
      </w:r>
      <w:r>
        <w:t>giovi</w:t>
      </w:r>
      <w:r w:rsidRPr="00F060A4">
        <w:t xml:space="preserve"> agli animali </w:t>
      </w:r>
      <w:r w:rsidR="005D5DBA">
        <w:t xml:space="preserve">stessi </w:t>
      </w:r>
      <w:r w:rsidRPr="00F060A4">
        <w:t>e remuneri gli allevatori, rispondendo</w:t>
      </w:r>
      <w:r w:rsidR="009E0F24">
        <w:t>,</w:t>
      </w:r>
      <w:r w:rsidRPr="00F060A4">
        <w:t xml:space="preserve"> nel contempo</w:t>
      </w:r>
      <w:r w:rsidR="009E0F24">
        <w:t>,</w:t>
      </w:r>
      <w:r w:rsidRPr="00F060A4">
        <w:t xml:space="preserve"> alla richiesta che giunge dalla società civile a favore di allevamenti responsabili</w:t>
      </w:r>
      <w:r w:rsidRPr="00F350FC">
        <w:t>”</w:t>
      </w:r>
      <w:r>
        <w:t xml:space="preserve"> </w:t>
      </w:r>
      <w:r w:rsidR="005D5DBA">
        <w:t xml:space="preserve">- </w:t>
      </w:r>
      <w:r>
        <w:t xml:space="preserve">ha dichiarato </w:t>
      </w:r>
      <w:r w:rsidRPr="00F350FC">
        <w:t xml:space="preserve">Steve Williams, </w:t>
      </w:r>
      <w:r>
        <w:t xml:space="preserve">Responsabile Mondiale dell’Unità Strategica </w:t>
      </w:r>
      <w:r w:rsidR="00F07F83">
        <w:t xml:space="preserve">del </w:t>
      </w:r>
      <w:r>
        <w:t xml:space="preserve">Business ‘Ruminanti’ di Boehringer Ingelheim. </w:t>
      </w:r>
    </w:p>
    <w:p w:rsidR="004C6AFD" w:rsidRPr="00F350FC" w:rsidRDefault="004C6AFD" w:rsidP="004C6AFD">
      <w:pPr>
        <w:jc w:val="both"/>
      </w:pPr>
      <w:proofErr w:type="spellStart"/>
      <w:r w:rsidRPr="00F350FC">
        <w:t>Jon</w:t>
      </w:r>
      <w:proofErr w:type="spellEnd"/>
      <w:r w:rsidRPr="00F350FC">
        <w:t xml:space="preserve"> </w:t>
      </w:r>
      <w:proofErr w:type="spellStart"/>
      <w:r w:rsidRPr="00F350FC">
        <w:t>Huxley</w:t>
      </w:r>
      <w:proofErr w:type="spellEnd"/>
      <w:r w:rsidRPr="00F350FC">
        <w:t xml:space="preserve">, </w:t>
      </w:r>
      <w:r>
        <w:t>P</w:t>
      </w:r>
      <w:r w:rsidRPr="00F350FC">
        <w:t>rofessor</w:t>
      </w:r>
      <w:r>
        <w:t>e di Produzione e Salute Bovina dell’</w:t>
      </w:r>
      <w:r w:rsidRPr="00F350FC">
        <w:t>Universit</w:t>
      </w:r>
      <w:r>
        <w:t xml:space="preserve">à di Nottingham, ha affermato che </w:t>
      </w:r>
      <w:r w:rsidR="005D5DBA">
        <w:t>“</w:t>
      </w:r>
      <w:r>
        <w:t>il settore bovino nel suo complesso si sta muovendo nella giusta direzione</w:t>
      </w:r>
      <w:r w:rsidRPr="00F350FC">
        <w:t xml:space="preserve">. </w:t>
      </w:r>
      <w:r>
        <w:t xml:space="preserve">Il dolore cronico dovuto a patologie, quali zoppie e mastiti, </w:t>
      </w:r>
      <w:r w:rsidR="00687DA7" w:rsidRPr="00C3336A">
        <w:t xml:space="preserve">probabilmente </w:t>
      </w:r>
      <w:r>
        <w:t xml:space="preserve">costituisce </w:t>
      </w:r>
      <w:r w:rsidR="00687DA7" w:rsidRPr="00C3336A">
        <w:t xml:space="preserve">a livello mondiale </w:t>
      </w:r>
      <w:r w:rsidRPr="00C3336A">
        <w:t xml:space="preserve">la sfida più grande </w:t>
      </w:r>
      <w:r>
        <w:t>che</w:t>
      </w:r>
      <w:r w:rsidRPr="00C3336A">
        <w:t xml:space="preserve"> gli allevatori </w:t>
      </w:r>
      <w:r w:rsidR="00687DA7" w:rsidRPr="00C3336A">
        <w:t xml:space="preserve">di </w:t>
      </w:r>
      <w:r w:rsidR="00687DA7">
        <w:t>bovini</w:t>
      </w:r>
      <w:r w:rsidR="00687DA7" w:rsidRPr="00C3336A">
        <w:t xml:space="preserve"> da latte </w:t>
      </w:r>
      <w:r>
        <w:t xml:space="preserve">sono </w:t>
      </w:r>
      <w:r>
        <w:lastRenderedPageBreak/>
        <w:t xml:space="preserve">chiamati a </w:t>
      </w:r>
      <w:r w:rsidR="00687DA7">
        <w:t xml:space="preserve">fronteggiare </w:t>
      </w:r>
      <w:r>
        <w:t xml:space="preserve">per </w:t>
      </w:r>
      <w:r w:rsidRPr="00C3336A">
        <w:t>assicurare</w:t>
      </w:r>
      <w:r>
        <w:t xml:space="preserve"> il benessere animale</w:t>
      </w:r>
      <w:r w:rsidR="00687DA7">
        <w:t>”</w:t>
      </w:r>
      <w:r>
        <w:t>.</w:t>
      </w:r>
      <w:r w:rsidR="00687DA7">
        <w:t xml:space="preserve"> A supporto di quanto detto,</w:t>
      </w:r>
      <w:r>
        <w:t xml:space="preserve"> </w:t>
      </w:r>
      <w:r w:rsidR="00687DA7">
        <w:t xml:space="preserve">ha inoltre riportato che l’impiego </w:t>
      </w:r>
      <w:r>
        <w:t>di farmaci antinfiammatori non steroidei (FANS) per trattare queste patologie è in aumento.</w:t>
      </w:r>
    </w:p>
    <w:p w:rsidR="004C6AFD" w:rsidRPr="00F350FC" w:rsidRDefault="004C6AFD" w:rsidP="004C6AFD">
      <w:pPr>
        <w:jc w:val="both"/>
      </w:pPr>
      <w:r>
        <w:t xml:space="preserve">Ma </w:t>
      </w:r>
      <w:r w:rsidR="00687DA7">
        <w:t xml:space="preserve">purtroppo </w:t>
      </w:r>
      <w:r w:rsidR="00F032C9">
        <w:t>alcuni</w:t>
      </w:r>
      <w:r>
        <w:t xml:space="preserve"> bovini </w:t>
      </w:r>
      <w:r w:rsidR="00F032C9">
        <w:t xml:space="preserve">non </w:t>
      </w:r>
      <w:r>
        <w:t xml:space="preserve">ricevono la terapia </w:t>
      </w:r>
      <w:r w:rsidR="00687DA7">
        <w:t>antidolorifica</w:t>
      </w:r>
      <w:r>
        <w:t xml:space="preserve"> di cui </w:t>
      </w:r>
      <w:r w:rsidR="00687DA7">
        <w:t>avrebbero</w:t>
      </w:r>
      <w:r>
        <w:t xml:space="preserve"> necessità. </w:t>
      </w:r>
      <w:r w:rsidR="00F032C9">
        <w:t>Resiste l’idea</w:t>
      </w:r>
      <w:r w:rsidR="00687DA7">
        <w:t xml:space="preserve"> che gli animali molto giovani non provino lo stesso livello di dolore degli adulti. Questa convinzione genera</w:t>
      </w:r>
      <w:r>
        <w:t xml:space="preserve"> una certa resistenza </w:t>
      </w:r>
      <w:r w:rsidR="00687DA7">
        <w:t xml:space="preserve">a somministrare </w:t>
      </w:r>
      <w:r>
        <w:t xml:space="preserve">analgesici ai vitelli </w:t>
      </w:r>
      <w:r w:rsidR="00F032C9">
        <w:t xml:space="preserve">che vengono </w:t>
      </w:r>
      <w:r>
        <w:t xml:space="preserve">sottoposti a interventi </w:t>
      </w:r>
      <w:r w:rsidR="00687DA7">
        <w:t>chirurgici routinari</w:t>
      </w:r>
      <w:r w:rsidR="00F032C9">
        <w:t xml:space="preserve"> </w:t>
      </w:r>
      <w:r w:rsidR="00687DA7">
        <w:t>come decornazione e</w:t>
      </w:r>
      <w:r>
        <w:t xml:space="preserve"> castrazione, molto dolorosi per l’animale</w:t>
      </w:r>
      <w:r w:rsidR="00687DA7">
        <w:t xml:space="preserve"> se non adeguatamente gestiti</w:t>
      </w:r>
      <w:r w:rsidRPr="00F350FC">
        <w:t>. “</w:t>
      </w:r>
      <w:r>
        <w:t xml:space="preserve">Nel 21°secolo è inaccettabile che questi interventi vengano effettuati senza </w:t>
      </w:r>
      <w:r w:rsidRPr="00F350FC">
        <w:t>analges</w:t>
      </w:r>
      <w:r>
        <w:t>ici</w:t>
      </w:r>
      <w:r w:rsidRPr="00F350FC">
        <w:t xml:space="preserve"> </w:t>
      </w:r>
      <w:r>
        <w:t>e</w:t>
      </w:r>
      <w:r w:rsidR="00C90FE4">
        <w:t xml:space="preserve">d è responsabilità dei </w:t>
      </w:r>
      <w:r>
        <w:t xml:space="preserve">veterinari </w:t>
      </w:r>
      <w:r w:rsidR="00C90FE4">
        <w:t xml:space="preserve">fare in modo </w:t>
      </w:r>
      <w:r>
        <w:t>che questo non accada più</w:t>
      </w:r>
      <w:r w:rsidRPr="00F350FC">
        <w:t>”</w:t>
      </w:r>
      <w:r>
        <w:t xml:space="preserve"> -</w:t>
      </w:r>
      <w:r w:rsidRPr="00F350FC">
        <w:t xml:space="preserve"> </w:t>
      </w:r>
      <w:r>
        <w:t xml:space="preserve">ha continuato il Professor </w:t>
      </w:r>
      <w:proofErr w:type="spellStart"/>
      <w:r>
        <w:t>Huxley</w:t>
      </w:r>
      <w:proofErr w:type="spellEnd"/>
      <w:r w:rsidRPr="00F350FC">
        <w:t>.</w:t>
      </w:r>
    </w:p>
    <w:p w:rsidR="004C6AFD" w:rsidRPr="00F350FC" w:rsidRDefault="004C6AFD" w:rsidP="004C6AFD">
      <w:pPr>
        <w:jc w:val="both"/>
      </w:pPr>
      <w:r>
        <w:t xml:space="preserve">Tuttavia, in </w:t>
      </w:r>
      <w:r w:rsidR="00F032C9">
        <w:t xml:space="preserve">molte </w:t>
      </w:r>
      <w:r>
        <w:t xml:space="preserve">situazioni può essere </w:t>
      </w:r>
      <w:r w:rsidR="00F032C9">
        <w:t>estremamente complicato</w:t>
      </w:r>
      <w:r>
        <w:t xml:space="preserve"> valutare</w:t>
      </w:r>
      <w:r w:rsidR="00F032C9">
        <w:t xml:space="preserve"> in modo oggettivo</w:t>
      </w:r>
      <w:r>
        <w:t xml:space="preserve"> il grado di benessere di un animale, che non può esprimere a parole il proprio stato</w:t>
      </w:r>
      <w:r w:rsidRPr="00F350FC">
        <w:t xml:space="preserve">. </w:t>
      </w:r>
      <w:proofErr w:type="spellStart"/>
      <w:r w:rsidRPr="00F350FC">
        <w:t>Suzanne</w:t>
      </w:r>
      <w:proofErr w:type="spellEnd"/>
      <w:r w:rsidRPr="00F350FC">
        <w:t xml:space="preserve"> </w:t>
      </w:r>
      <w:proofErr w:type="spellStart"/>
      <w:r w:rsidRPr="00F350FC">
        <w:t>Millman</w:t>
      </w:r>
      <w:proofErr w:type="spellEnd"/>
      <w:r w:rsidRPr="00F350FC">
        <w:t xml:space="preserve"> </w:t>
      </w:r>
      <w:r>
        <w:t>dell’</w:t>
      </w:r>
      <w:r w:rsidRPr="00F350FC">
        <w:t xml:space="preserve">Iowa State University </w:t>
      </w:r>
      <w:r>
        <w:t>ha presentato i recenti progressi compiuti nello sviluppo di indicatori oggettivi per valutare il benessere dell’animale</w:t>
      </w:r>
      <w:r w:rsidRPr="00F350FC">
        <w:t xml:space="preserve">. </w:t>
      </w:r>
      <w:r>
        <w:t xml:space="preserve">Ha, infatti, </w:t>
      </w:r>
      <w:r w:rsidR="00F032C9">
        <w:t xml:space="preserve">illustrato </w:t>
      </w:r>
      <w:r w:rsidR="005D5DBA">
        <w:t>numerosi</w:t>
      </w:r>
      <w:r>
        <w:t xml:space="preserve"> indicatori </w:t>
      </w:r>
      <w:r w:rsidR="00F032C9">
        <w:t>comportamentali volti a</w:t>
      </w:r>
      <w:r w:rsidR="00F250A0">
        <w:t>d evidenziare</w:t>
      </w:r>
      <w:r w:rsidR="00F032C9">
        <w:t xml:space="preserve"> le condizioni di scarso benessere</w:t>
      </w:r>
      <w:r>
        <w:t xml:space="preserve"> dell’animale </w:t>
      </w:r>
      <w:r w:rsidR="00F032C9">
        <w:t>in condizioni sperimentali</w:t>
      </w:r>
      <w:r>
        <w:t xml:space="preserve">, ma ci </w:t>
      </w:r>
      <w:r w:rsidR="00F250A0">
        <w:t xml:space="preserve">vorrà ancora tempo perché questi possano diventare </w:t>
      </w:r>
      <w:r>
        <w:t xml:space="preserve">strumenti d’uso </w:t>
      </w:r>
      <w:r w:rsidR="009017D6">
        <w:t>quotidiano</w:t>
      </w:r>
      <w:r>
        <w:t xml:space="preserve"> negli allevamenti</w:t>
      </w:r>
      <w:r w:rsidRPr="00F350FC">
        <w:t>.</w:t>
      </w:r>
    </w:p>
    <w:p w:rsidR="004C6AFD" w:rsidRPr="00F350FC" w:rsidRDefault="004C6AFD" w:rsidP="004C6AFD">
      <w:pPr>
        <w:jc w:val="both"/>
      </w:pPr>
      <w:r>
        <w:t>Dato che</w:t>
      </w:r>
      <w:r w:rsidR="009E0F24">
        <w:t>,</w:t>
      </w:r>
      <w:r>
        <w:t xml:space="preserve"> </w:t>
      </w:r>
      <w:r w:rsidR="00040A5A">
        <w:t>generalmente</w:t>
      </w:r>
      <w:r w:rsidR="009E0F24">
        <w:t>,</w:t>
      </w:r>
      <w:r>
        <w:t xml:space="preserve"> i </w:t>
      </w:r>
      <w:r w:rsidR="00040A5A">
        <w:t xml:space="preserve">sintomi </w:t>
      </w:r>
      <w:r>
        <w:t xml:space="preserve">di malattia </w:t>
      </w:r>
      <w:r w:rsidR="00040A5A">
        <w:t>negli animali d’allevamento</w:t>
      </w:r>
      <w:r>
        <w:t xml:space="preserve"> non sono visibili dall’esterno, alcuni strumenti di monitoraggio </w:t>
      </w:r>
      <w:r w:rsidR="005D5DBA">
        <w:t>da</w:t>
      </w:r>
      <w:r>
        <w:t xml:space="preserve"> remoto</w:t>
      </w:r>
      <w:r w:rsidR="00040A5A">
        <w:t>,</w:t>
      </w:r>
      <w:r w:rsidRPr="00F350FC">
        <w:t xml:space="preserve"> </w:t>
      </w:r>
      <w:r w:rsidR="00040A5A">
        <w:t xml:space="preserve">come ad esempio sensori che rilevano i movimenti dell’animale, la sua temperatura corporea, l’assunzione di acqua e cibo, </w:t>
      </w:r>
      <w:r>
        <w:t xml:space="preserve">possono fornire le </w:t>
      </w:r>
      <w:r w:rsidR="00040A5A">
        <w:t xml:space="preserve">importanti </w:t>
      </w:r>
      <w:r>
        <w:t>informazioni per valutarne il benessere</w:t>
      </w:r>
      <w:r w:rsidRPr="00F350FC">
        <w:t xml:space="preserve">. </w:t>
      </w:r>
      <w:r>
        <w:t xml:space="preserve">Le telecamere a circuito chiuso si stanno dimostrando uno strumento sempre più utile nella sorveglianza, aiutano a verificare che gli animali vengano accuditi in modo appropriato, in tutte le fasi della </w:t>
      </w:r>
      <w:r w:rsidR="00040A5A">
        <w:t xml:space="preserve">filiera </w:t>
      </w:r>
      <w:r>
        <w:t xml:space="preserve">alimentare, </w:t>
      </w:r>
      <w:r w:rsidR="00040A5A">
        <w:t>dall</w:t>
      </w:r>
      <w:r>
        <w:t xml:space="preserve">’allevamento, durante il trasporto e nei macelli. </w:t>
      </w:r>
    </w:p>
    <w:p w:rsidR="004C6AFD" w:rsidRPr="00F350FC" w:rsidRDefault="00040A5A" w:rsidP="004C6AFD">
      <w:pPr>
        <w:jc w:val="both"/>
      </w:pPr>
      <w:r>
        <w:t>L’attenzione crescente dei consumatori nei confronti di una tipologia di allevamento responsabile è u</w:t>
      </w:r>
      <w:r w:rsidR="004C6AFD">
        <w:t>n trend che probabilmente continuerà anche nel prossimo decennio</w:t>
      </w:r>
      <w:r w:rsidR="004C6AFD" w:rsidRPr="00F350FC">
        <w:t xml:space="preserve">. </w:t>
      </w:r>
      <w:r w:rsidR="004C6AFD">
        <w:t xml:space="preserve">Un’attenzione che, del resto, è condivisa da molte aziende che operano nel settore alimentare, che si </w:t>
      </w:r>
      <w:r w:rsidR="004C6AFD">
        <w:lastRenderedPageBreak/>
        <w:t>adoperano per garantire che i prodotti siano ottenuti nel rispetto di standard elevati di benessere per l’animale.</w:t>
      </w:r>
      <w:r w:rsidR="004C6AFD" w:rsidRPr="00F350FC">
        <w:t xml:space="preserve"> </w:t>
      </w:r>
    </w:p>
    <w:p w:rsidR="004C6AFD" w:rsidRPr="00F350FC" w:rsidRDefault="004C6AFD" w:rsidP="004C6AFD">
      <w:pPr>
        <w:jc w:val="both"/>
      </w:pPr>
      <w:r>
        <w:t xml:space="preserve">Diversi relatori </w:t>
      </w:r>
      <w:r w:rsidR="0088455A">
        <w:t xml:space="preserve">inoltre </w:t>
      </w:r>
      <w:r>
        <w:t xml:space="preserve">hanno </w:t>
      </w:r>
      <w:r w:rsidR="0088455A">
        <w:t xml:space="preserve">evidenziato </w:t>
      </w:r>
      <w:r>
        <w:t>che ci sono valide ragioni economiche per pres</w:t>
      </w:r>
      <w:r w:rsidR="0088455A">
        <w:t>ervare</w:t>
      </w:r>
      <w:r>
        <w:t xml:space="preserve"> </w:t>
      </w:r>
      <w:r w:rsidR="00CC6B03">
        <w:t>lo stato di salute</w:t>
      </w:r>
      <w:r>
        <w:t xml:space="preserve"> degli animali d’allevamento</w:t>
      </w:r>
      <w:r w:rsidR="009E0F24">
        <w:t>.</w:t>
      </w:r>
      <w:r w:rsidRPr="00F350FC">
        <w:t xml:space="preserve"> David Fraser </w:t>
      </w:r>
      <w:r>
        <w:t>dell’</w:t>
      </w:r>
      <w:r w:rsidRPr="00F350FC">
        <w:t>Universit</w:t>
      </w:r>
      <w:r>
        <w:t>à</w:t>
      </w:r>
      <w:r w:rsidRPr="00F350FC">
        <w:t xml:space="preserve"> </w:t>
      </w:r>
      <w:r>
        <w:t>della</w:t>
      </w:r>
      <w:r w:rsidRPr="00F350FC">
        <w:t xml:space="preserve"> British Columbia</w:t>
      </w:r>
      <w:r w:rsidR="00CC6B03">
        <w:t xml:space="preserve"> </w:t>
      </w:r>
      <w:r>
        <w:t xml:space="preserve">ha </w:t>
      </w:r>
      <w:r w:rsidR="0088455A">
        <w:t xml:space="preserve">mostrato </w:t>
      </w:r>
      <w:r>
        <w:t>evidenz</w:t>
      </w:r>
      <w:r w:rsidR="0088455A">
        <w:t xml:space="preserve">a del fatto che </w:t>
      </w:r>
      <w:r>
        <w:t xml:space="preserve">i bovini </w:t>
      </w:r>
      <w:r w:rsidR="0088455A">
        <w:t xml:space="preserve">gestiti </w:t>
      </w:r>
      <w:r>
        <w:t xml:space="preserve">con </w:t>
      </w:r>
      <w:r w:rsidR="0088455A">
        <w:t xml:space="preserve">maggiore </w:t>
      </w:r>
      <w:r>
        <w:t xml:space="preserve">attenzione dagli allevatori siano più produttivi rispetto a quelli </w:t>
      </w:r>
      <w:r w:rsidR="0088455A">
        <w:t>gestiti in modo meno attento</w:t>
      </w:r>
      <w:r w:rsidRPr="00F350FC">
        <w:t xml:space="preserve">. </w:t>
      </w:r>
    </w:p>
    <w:p w:rsidR="004C6AFD" w:rsidRDefault="00B1553A" w:rsidP="004C6AFD">
      <w:pPr>
        <w:jc w:val="both"/>
      </w:pPr>
      <w:r>
        <w:t>È</w:t>
      </w:r>
      <w:r w:rsidR="004C6AFD">
        <w:t xml:space="preserve"> stato poi riconosciuto </w:t>
      </w:r>
      <w:r w:rsidR="0088455A">
        <w:t>da</w:t>
      </w:r>
      <w:r w:rsidR="004C6AFD">
        <w:t>gli allevatori</w:t>
      </w:r>
      <w:r w:rsidR="0088455A">
        <w:t xml:space="preserve"> presenti</w:t>
      </w:r>
      <w:r w:rsidR="004C6AFD">
        <w:t xml:space="preserve"> </w:t>
      </w:r>
      <w:r w:rsidR="0088455A">
        <w:t xml:space="preserve">che </w:t>
      </w:r>
      <w:r w:rsidR="004C6AFD">
        <w:t>dovrebbero essere più disponibili ad accettare i consigli dei veterinari, che hanno le conoscenze e le competenze per aiutarli</w:t>
      </w:r>
      <w:r w:rsidR="004C6AFD" w:rsidRPr="00F350FC">
        <w:t xml:space="preserve">. </w:t>
      </w:r>
      <w:r w:rsidR="0088455A">
        <w:t>I</w:t>
      </w:r>
      <w:r w:rsidR="004C6AFD">
        <w:t>l veterinario andrebbe chiamato con tempestività</w:t>
      </w:r>
      <w:r w:rsidR="0088455A">
        <w:t xml:space="preserve"> nelle fasi iniziali dell’insorgenza dei problemi e</w:t>
      </w:r>
      <w:r w:rsidR="004C6AFD">
        <w:t xml:space="preserve"> non quando la situazione sta già precipitando</w:t>
      </w:r>
      <w:r w:rsidR="004C6AFD" w:rsidRPr="00F350FC">
        <w:t>.</w:t>
      </w:r>
      <w:r w:rsidR="004C6AFD">
        <w:t xml:space="preserve"> </w:t>
      </w:r>
    </w:p>
    <w:p w:rsidR="004C6AFD" w:rsidRPr="00F350FC" w:rsidRDefault="004C6AFD" w:rsidP="004C6AFD">
      <w:pPr>
        <w:jc w:val="both"/>
      </w:pPr>
      <w:r>
        <w:t xml:space="preserve">Allo stesso tempo anche i veterinari dovrebbero porsi con un atteggiamento di maggior ascolto nei confronti degli allevatori in modo </w:t>
      </w:r>
      <w:r w:rsidR="009E0F24">
        <w:t xml:space="preserve">da poter comprendere meglio </w:t>
      </w:r>
      <w:r w:rsidR="00803E36">
        <w:t>il punto di vista e le preoccupazioni dei loro clienti. L’utilizzo di tecniche di comunicazione avanzate potrebbe aiutare a superare metodi di lavoro tradizionali e spesso sorpassati, ma fortemente radicati nelle abitudini degli allevatori</w:t>
      </w:r>
      <w:r>
        <w:t xml:space="preserve">, </w:t>
      </w:r>
      <w:r w:rsidR="00803E36">
        <w:t>consentendo di prendere</w:t>
      </w:r>
      <w:r>
        <w:t xml:space="preserve"> decisioni </w:t>
      </w:r>
      <w:r w:rsidR="00803E36">
        <w:t xml:space="preserve">condivise </w:t>
      </w:r>
      <w:r>
        <w:t xml:space="preserve">che </w:t>
      </w:r>
      <w:r w:rsidR="00803E36">
        <w:t>consentano il miglioramento de</w:t>
      </w:r>
      <w:r>
        <w:t>l benessere animale</w:t>
      </w:r>
      <w:r w:rsidRPr="00F350FC">
        <w:t>.</w:t>
      </w:r>
    </w:p>
    <w:p w:rsidR="00F3477F" w:rsidRPr="004A3967" w:rsidRDefault="00F3477F" w:rsidP="00F3477F">
      <w:pPr>
        <w:jc w:val="both"/>
        <w:rPr>
          <w:i/>
        </w:rPr>
      </w:pPr>
      <w:r w:rsidRPr="004A3967">
        <w:rPr>
          <w:i/>
        </w:rPr>
        <w:t xml:space="preserve">Per maggiori informazioni sul forum e sulle sue precedenti edizioni </w:t>
      </w:r>
      <w:bookmarkStart w:id="0" w:name="_GoBack"/>
      <w:bookmarkEnd w:id="0"/>
      <w:r w:rsidRPr="004A3967">
        <w:rPr>
          <w:i/>
        </w:rPr>
        <w:t>visitate il sito:</w:t>
      </w:r>
      <w:r w:rsidRPr="004A3967">
        <w:rPr>
          <w:b/>
          <w:bCs/>
          <w:i/>
        </w:rPr>
        <w:t xml:space="preserve"> </w:t>
      </w:r>
      <w:hyperlink r:id="rId8" w:history="1">
        <w:r w:rsidRPr="004A3967">
          <w:rPr>
            <w:rStyle w:val="Collegamentoipertestuale"/>
            <w:i/>
          </w:rPr>
          <w:t>www.farmanimalwellbeing.com</w:t>
        </w:r>
      </w:hyperlink>
      <w:r w:rsidRPr="004A3967">
        <w:rPr>
          <w:rStyle w:val="Collegamentoipertestuale"/>
          <w:i/>
        </w:rPr>
        <w:t>.</w:t>
      </w:r>
      <w:r w:rsidR="00374EC4" w:rsidRPr="004A3967">
        <w:rPr>
          <w:rStyle w:val="Collegamentoipertestuale"/>
          <w:i/>
        </w:rPr>
        <w:t xml:space="preserve"> </w:t>
      </w:r>
    </w:p>
    <w:p w:rsidR="00F3477F" w:rsidRPr="00B1553A" w:rsidRDefault="00F3477F" w:rsidP="00F3477F">
      <w:pPr>
        <w:jc w:val="both"/>
        <w:rPr>
          <w:b/>
          <w:sz w:val="20"/>
          <w:szCs w:val="20"/>
        </w:rPr>
      </w:pPr>
      <w:r w:rsidRPr="00B1553A">
        <w:rPr>
          <w:b/>
          <w:sz w:val="20"/>
          <w:szCs w:val="20"/>
        </w:rPr>
        <w:t>Boehringer Ingelheim Animal Health</w:t>
      </w:r>
    </w:p>
    <w:p w:rsidR="00F3477F" w:rsidRPr="00B1553A" w:rsidRDefault="00F3477F" w:rsidP="00F3477F">
      <w:pPr>
        <w:jc w:val="both"/>
        <w:rPr>
          <w:sz w:val="20"/>
          <w:szCs w:val="20"/>
        </w:rPr>
      </w:pPr>
      <w:r w:rsidRPr="00B1553A">
        <w:rPr>
          <w:sz w:val="20"/>
          <w:szCs w:val="20"/>
        </w:rPr>
        <w:t xml:space="preserve">Boehringer Ingelheim Animal Health è impegnata nel migliorare la salute e il benessere dell’umanità, promuovendo i benefici emotivi e fisici che derivano dal legame degli uomini con gli animali, offrendo, da quasi 60 anni, soluzioni per la prevenzione e il trattamento delle malattie che colpiscono questi ultimi. </w:t>
      </w:r>
    </w:p>
    <w:p w:rsidR="00F3477F" w:rsidRPr="00B1553A" w:rsidRDefault="00F3477F" w:rsidP="00F3477F">
      <w:pPr>
        <w:jc w:val="both"/>
        <w:rPr>
          <w:b/>
          <w:sz w:val="20"/>
          <w:szCs w:val="20"/>
        </w:rPr>
      </w:pPr>
      <w:r w:rsidRPr="00B1553A">
        <w:rPr>
          <w:b/>
          <w:sz w:val="20"/>
          <w:szCs w:val="20"/>
        </w:rPr>
        <w:t>Per ulteriori informazioni rivolgersi a: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Marina Guffanti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Comunicazione</w:t>
      </w:r>
    </w:p>
    <w:p w:rsidR="00F3477F" w:rsidRPr="00B1553A" w:rsidRDefault="00F3477F" w:rsidP="00F3477F">
      <w:pPr>
        <w:spacing w:after="0" w:line="240" w:lineRule="auto"/>
        <w:ind w:right="28"/>
        <w:rPr>
          <w:b/>
          <w:sz w:val="20"/>
          <w:szCs w:val="20"/>
        </w:rPr>
      </w:pPr>
      <w:r w:rsidRPr="00B1553A">
        <w:rPr>
          <w:b/>
          <w:sz w:val="20"/>
          <w:szCs w:val="20"/>
        </w:rPr>
        <w:t>Boehringer Ingelheim Italia SpA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Telefono: 02 5355453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Cell: 348 3995284</w:t>
      </w:r>
    </w:p>
    <w:p w:rsidR="00F3477F" w:rsidRPr="00B1553A" w:rsidRDefault="00F3477F" w:rsidP="001B3525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 xml:space="preserve">Mail: </w:t>
      </w:r>
      <w:hyperlink r:id="rId9" w:history="1">
        <w:r w:rsidRPr="00B1553A">
          <w:rPr>
            <w:rStyle w:val="Collegamentoipertestuale"/>
            <w:sz w:val="20"/>
            <w:szCs w:val="20"/>
          </w:rPr>
          <w:t>marina.guffanti@boehringer-ingelheim.com</w:t>
        </w:r>
      </w:hyperlink>
    </w:p>
    <w:p w:rsidR="0020087A" w:rsidRPr="00B1553A" w:rsidRDefault="0020087A" w:rsidP="00F3477F">
      <w:pPr>
        <w:spacing w:after="0" w:line="240" w:lineRule="auto"/>
        <w:ind w:right="28"/>
        <w:rPr>
          <w:sz w:val="20"/>
          <w:szCs w:val="20"/>
          <w:lang w:val="fr-FR"/>
        </w:rPr>
      </w:pP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  <w:lang w:val="fr-FR"/>
        </w:rPr>
      </w:pPr>
      <w:r w:rsidRPr="00B1553A">
        <w:rPr>
          <w:sz w:val="20"/>
          <w:szCs w:val="20"/>
          <w:lang w:val="fr-FR"/>
        </w:rPr>
        <w:t>Maria Luisa Paleari</w:t>
      </w:r>
    </w:p>
    <w:p w:rsidR="00F3477F" w:rsidRPr="00B1553A" w:rsidRDefault="00F3477F" w:rsidP="00F3477F">
      <w:pPr>
        <w:spacing w:after="0" w:line="240" w:lineRule="auto"/>
        <w:ind w:right="28"/>
        <w:rPr>
          <w:b/>
          <w:sz w:val="20"/>
          <w:szCs w:val="20"/>
          <w:lang w:val="fr-FR"/>
        </w:rPr>
      </w:pPr>
      <w:r w:rsidRPr="00B1553A">
        <w:rPr>
          <w:b/>
          <w:sz w:val="20"/>
          <w:szCs w:val="20"/>
          <w:lang w:val="fr-FR"/>
        </w:rPr>
        <w:t>Value Relations Srl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Telefono: 02 20424941</w:t>
      </w:r>
    </w:p>
    <w:p w:rsidR="00F3477F" w:rsidRPr="00B1553A" w:rsidRDefault="00F3477F" w:rsidP="00F3477F">
      <w:pPr>
        <w:spacing w:after="0" w:line="240" w:lineRule="auto"/>
        <w:ind w:right="28"/>
        <w:rPr>
          <w:sz w:val="20"/>
          <w:szCs w:val="20"/>
        </w:rPr>
      </w:pPr>
      <w:r w:rsidRPr="00B1553A">
        <w:rPr>
          <w:sz w:val="20"/>
          <w:szCs w:val="20"/>
        </w:rPr>
        <w:t>Cell: 331 6718518</w:t>
      </w:r>
    </w:p>
    <w:p w:rsidR="00F3477F" w:rsidRPr="00B1553A" w:rsidRDefault="00F3477F" w:rsidP="00F3477F">
      <w:pPr>
        <w:spacing w:after="0" w:line="240" w:lineRule="auto"/>
        <w:ind w:right="28"/>
        <w:rPr>
          <w:rFonts w:eastAsia="BISans"/>
          <w:sz w:val="20"/>
          <w:szCs w:val="20"/>
        </w:rPr>
      </w:pPr>
      <w:r w:rsidRPr="00B1553A">
        <w:rPr>
          <w:sz w:val="20"/>
          <w:szCs w:val="20"/>
        </w:rPr>
        <w:t xml:space="preserve">Mail: </w:t>
      </w:r>
      <w:hyperlink r:id="rId10" w:history="1">
        <w:r w:rsidRPr="00B1553A">
          <w:rPr>
            <w:rStyle w:val="Collegamentoipertestuale"/>
            <w:sz w:val="20"/>
            <w:szCs w:val="20"/>
          </w:rPr>
          <w:t>ml.paleari@vrelations.it</w:t>
        </w:r>
      </w:hyperlink>
    </w:p>
    <w:p w:rsidR="00F3477F" w:rsidRPr="00B1553A" w:rsidRDefault="00F3477F" w:rsidP="00F3477F">
      <w:pPr>
        <w:jc w:val="both"/>
        <w:rPr>
          <w:sz w:val="20"/>
          <w:szCs w:val="20"/>
        </w:rPr>
      </w:pPr>
    </w:p>
    <w:p w:rsidR="00764DD6" w:rsidRPr="00B1553A" w:rsidRDefault="00764DD6" w:rsidP="00B90135">
      <w:pPr>
        <w:spacing w:after="0" w:line="264" w:lineRule="auto"/>
        <w:jc w:val="both"/>
        <w:rPr>
          <w:rFonts w:ascii="BISans" w:eastAsia="MS Mincho" w:hAnsi="BISans" w:cs="Arial"/>
          <w:b/>
          <w:bCs/>
          <w:color w:val="003366"/>
          <w:sz w:val="20"/>
          <w:szCs w:val="20"/>
          <w:lang w:eastAsia="en-GB"/>
        </w:rPr>
      </w:pPr>
    </w:p>
    <w:sectPr w:rsidR="00764DD6" w:rsidRPr="00B1553A" w:rsidSect="005E294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4A5" w:rsidRDefault="00BC14A5" w:rsidP="00AC7343">
      <w:pPr>
        <w:spacing w:after="0" w:line="240" w:lineRule="auto"/>
      </w:pPr>
      <w:r>
        <w:separator/>
      </w:r>
    </w:p>
  </w:endnote>
  <w:endnote w:type="continuationSeparator" w:id="0">
    <w:p w:rsidR="00BC14A5" w:rsidRDefault="00BC14A5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Sans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977337" w:rsidRDefault="00E335B4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B1553A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B1553A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977337" w:rsidRDefault="00E335B4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B1553A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B1553A">
      <w:rPr>
        <w:rFonts w:cs="Arial"/>
        <w:noProof/>
        <w:sz w:val="16"/>
        <w:szCs w:val="16"/>
      </w:rPr>
      <w:t>4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4A5" w:rsidRDefault="00BC14A5" w:rsidP="00AC7343">
      <w:pPr>
        <w:spacing w:after="0" w:line="240" w:lineRule="auto"/>
      </w:pPr>
      <w:r>
        <w:separator/>
      </w:r>
    </w:p>
  </w:footnote>
  <w:footnote w:type="continuationSeparator" w:id="0">
    <w:p w:rsidR="00BC14A5" w:rsidRDefault="00BC14A5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Default="00E335B4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55412A" w:rsidRDefault="00E335B4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B1553A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E335B4" w:rsidRPr="0055412A" w:rsidRDefault="00E335B4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B1553A">
                      <w:rPr>
                        <w:noProof/>
                        <w:sz w:val="18"/>
                      </w:rPr>
                      <w:t>3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335B4" w:rsidRPr="00E90EC2" w:rsidRDefault="00E335B4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E335B4" w:rsidRPr="00E90EC2" w:rsidRDefault="00E335B4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B6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FEB81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36108C" w:rsidRDefault="00E335B4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31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CDD0F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85716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651BA7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Default="00E335B4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E335B4" w:rsidRPr="00197380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E335B4" w:rsidRDefault="00B1553A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E335B4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E335B4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Pr="00324A83" w:rsidRDefault="00E335B4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E335B4" w:rsidRPr="00324A83" w:rsidRDefault="00B1553A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E335B4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E335B4" w:rsidRPr="002C4B3E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E335B4" w:rsidRPr="00651BA7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Default="00E335B4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E335B4" w:rsidRPr="00197380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E335B4" w:rsidRPr="00956D7E" w:rsidRDefault="00E335B4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E335B4" w:rsidRDefault="00B1553A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E335B4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E335B4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Pr="00324A83" w:rsidRDefault="00E335B4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E335B4" w:rsidRPr="00324A83" w:rsidRDefault="00B1553A" w:rsidP="005E2946">
                    <w:pPr>
                      <w:spacing w:after="120"/>
                      <w:ind w:left="42"/>
                    </w:pPr>
                    <w:hyperlink r:id="rId8" w:history="1">
                      <w:r w:rsidR="00E335B4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E335B4" w:rsidRPr="002C4B3E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E90EC2" w:rsidRDefault="00E335B4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E335B4" w:rsidRPr="00E90EC2" w:rsidRDefault="00E335B4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DB9E5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89D"/>
    <w:multiLevelType w:val="hybridMultilevel"/>
    <w:tmpl w:val="53EA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77"/>
    <w:multiLevelType w:val="hybridMultilevel"/>
    <w:tmpl w:val="79A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539F"/>
    <w:multiLevelType w:val="hybridMultilevel"/>
    <w:tmpl w:val="D51061DA"/>
    <w:lvl w:ilvl="0" w:tplc="864221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10BCB"/>
    <w:multiLevelType w:val="hybridMultilevel"/>
    <w:tmpl w:val="CB6A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233D3"/>
    <w:rsid w:val="00024DD8"/>
    <w:rsid w:val="00040A5A"/>
    <w:rsid w:val="00085D47"/>
    <w:rsid w:val="000A446E"/>
    <w:rsid w:val="000B791E"/>
    <w:rsid w:val="000D7014"/>
    <w:rsid w:val="001128E9"/>
    <w:rsid w:val="0013505B"/>
    <w:rsid w:val="0014331A"/>
    <w:rsid w:val="001B3525"/>
    <w:rsid w:val="001C65B1"/>
    <w:rsid w:val="001E1700"/>
    <w:rsid w:val="001E30CE"/>
    <w:rsid w:val="0020087A"/>
    <w:rsid w:val="0020498F"/>
    <w:rsid w:val="00221529"/>
    <w:rsid w:val="00221DF5"/>
    <w:rsid w:val="00251758"/>
    <w:rsid w:val="00266346"/>
    <w:rsid w:val="0029629C"/>
    <w:rsid w:val="002B6A11"/>
    <w:rsid w:val="002C3CF5"/>
    <w:rsid w:val="002D79EF"/>
    <w:rsid w:val="00324A83"/>
    <w:rsid w:val="00374EC4"/>
    <w:rsid w:val="00376DC9"/>
    <w:rsid w:val="00381EDD"/>
    <w:rsid w:val="003A1A46"/>
    <w:rsid w:val="003D0975"/>
    <w:rsid w:val="003F5C4D"/>
    <w:rsid w:val="0040655A"/>
    <w:rsid w:val="00407D8E"/>
    <w:rsid w:val="00415BE2"/>
    <w:rsid w:val="0043247C"/>
    <w:rsid w:val="00452E42"/>
    <w:rsid w:val="004577C2"/>
    <w:rsid w:val="004617F6"/>
    <w:rsid w:val="00497E3A"/>
    <w:rsid w:val="004A0372"/>
    <w:rsid w:val="004A3967"/>
    <w:rsid w:val="004B7F04"/>
    <w:rsid w:val="004C6AFD"/>
    <w:rsid w:val="004E6082"/>
    <w:rsid w:val="004E6AA3"/>
    <w:rsid w:val="004F6FFE"/>
    <w:rsid w:val="00506ECA"/>
    <w:rsid w:val="00516BF2"/>
    <w:rsid w:val="005249D8"/>
    <w:rsid w:val="0054369B"/>
    <w:rsid w:val="0058340C"/>
    <w:rsid w:val="00590103"/>
    <w:rsid w:val="005D5DBA"/>
    <w:rsid w:val="005E0FCC"/>
    <w:rsid w:val="005E2946"/>
    <w:rsid w:val="00601BDE"/>
    <w:rsid w:val="00606EA2"/>
    <w:rsid w:val="00617808"/>
    <w:rsid w:val="0066719B"/>
    <w:rsid w:val="0067598B"/>
    <w:rsid w:val="00683BCC"/>
    <w:rsid w:val="00687DA7"/>
    <w:rsid w:val="006A1A20"/>
    <w:rsid w:val="006A1FB4"/>
    <w:rsid w:val="006A26A8"/>
    <w:rsid w:val="006C3937"/>
    <w:rsid w:val="006C7343"/>
    <w:rsid w:val="006C7C99"/>
    <w:rsid w:val="00716577"/>
    <w:rsid w:val="00734E26"/>
    <w:rsid w:val="00736078"/>
    <w:rsid w:val="00764DD6"/>
    <w:rsid w:val="007722B8"/>
    <w:rsid w:val="00796F6A"/>
    <w:rsid w:val="007A2A77"/>
    <w:rsid w:val="007B04BB"/>
    <w:rsid w:val="007B0CD9"/>
    <w:rsid w:val="007C2358"/>
    <w:rsid w:val="007C65F8"/>
    <w:rsid w:val="00803E36"/>
    <w:rsid w:val="00813967"/>
    <w:rsid w:val="00825F5D"/>
    <w:rsid w:val="0084356F"/>
    <w:rsid w:val="008437DB"/>
    <w:rsid w:val="00852DDA"/>
    <w:rsid w:val="0088455A"/>
    <w:rsid w:val="00895D7A"/>
    <w:rsid w:val="008A3587"/>
    <w:rsid w:val="008D3232"/>
    <w:rsid w:val="008D3E31"/>
    <w:rsid w:val="008E1392"/>
    <w:rsid w:val="009017D6"/>
    <w:rsid w:val="00907CD0"/>
    <w:rsid w:val="0091619D"/>
    <w:rsid w:val="0094079C"/>
    <w:rsid w:val="00954330"/>
    <w:rsid w:val="00962262"/>
    <w:rsid w:val="00973E2B"/>
    <w:rsid w:val="00974C19"/>
    <w:rsid w:val="00977337"/>
    <w:rsid w:val="0098166C"/>
    <w:rsid w:val="009926B8"/>
    <w:rsid w:val="009C3479"/>
    <w:rsid w:val="009E0F24"/>
    <w:rsid w:val="009F6C9F"/>
    <w:rsid w:val="00A02962"/>
    <w:rsid w:val="00A14D70"/>
    <w:rsid w:val="00A20932"/>
    <w:rsid w:val="00A532B3"/>
    <w:rsid w:val="00A559CE"/>
    <w:rsid w:val="00A75E18"/>
    <w:rsid w:val="00A8443D"/>
    <w:rsid w:val="00A9517E"/>
    <w:rsid w:val="00AA2F97"/>
    <w:rsid w:val="00AC7343"/>
    <w:rsid w:val="00AF10AE"/>
    <w:rsid w:val="00B02DDF"/>
    <w:rsid w:val="00B0422F"/>
    <w:rsid w:val="00B1553A"/>
    <w:rsid w:val="00B230A1"/>
    <w:rsid w:val="00B375BC"/>
    <w:rsid w:val="00B52D16"/>
    <w:rsid w:val="00B74F10"/>
    <w:rsid w:val="00B833E9"/>
    <w:rsid w:val="00B90135"/>
    <w:rsid w:val="00BC14A5"/>
    <w:rsid w:val="00BE23E5"/>
    <w:rsid w:val="00BF3CC7"/>
    <w:rsid w:val="00C032C4"/>
    <w:rsid w:val="00C379AE"/>
    <w:rsid w:val="00C616F7"/>
    <w:rsid w:val="00C66077"/>
    <w:rsid w:val="00C7536A"/>
    <w:rsid w:val="00C82138"/>
    <w:rsid w:val="00C90FE4"/>
    <w:rsid w:val="00CC6B03"/>
    <w:rsid w:val="00CF64AD"/>
    <w:rsid w:val="00D102B5"/>
    <w:rsid w:val="00D13B32"/>
    <w:rsid w:val="00D14654"/>
    <w:rsid w:val="00D37FBB"/>
    <w:rsid w:val="00D536C8"/>
    <w:rsid w:val="00D90C69"/>
    <w:rsid w:val="00D91F42"/>
    <w:rsid w:val="00DA57E8"/>
    <w:rsid w:val="00DE5F50"/>
    <w:rsid w:val="00E32CD3"/>
    <w:rsid w:val="00E335B4"/>
    <w:rsid w:val="00E51115"/>
    <w:rsid w:val="00E61CC1"/>
    <w:rsid w:val="00E670D4"/>
    <w:rsid w:val="00EA4507"/>
    <w:rsid w:val="00EA6FED"/>
    <w:rsid w:val="00EB28D0"/>
    <w:rsid w:val="00EB34AE"/>
    <w:rsid w:val="00ED5FD5"/>
    <w:rsid w:val="00F032C9"/>
    <w:rsid w:val="00F07F83"/>
    <w:rsid w:val="00F171F3"/>
    <w:rsid w:val="00F250A0"/>
    <w:rsid w:val="00F3477F"/>
    <w:rsid w:val="00F457D8"/>
    <w:rsid w:val="00F81A05"/>
    <w:rsid w:val="00FA1C4F"/>
    <w:rsid w:val="00FA2D8F"/>
    <w:rsid w:val="00FD776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751D9"/>
  <w15:docId w15:val="{C5AF9B2A-B9DD-47B7-A80D-1BE3E3E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enzione1">
    <w:name w:val="Menzione1"/>
    <w:basedOn w:val="Carpredefinitoparagrafo"/>
    <w:uiPriority w:val="99"/>
    <w:semiHidden/>
    <w:unhideWhenUsed/>
    <w:rsid w:val="008437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nimalwellbeing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50A9-66DC-444A-9E27-6EA50909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6632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Alessio Pappagallo</cp:lastModifiedBy>
  <cp:revision>6</cp:revision>
  <cp:lastPrinted>2016-03-07T16:50:00Z</cp:lastPrinted>
  <dcterms:created xsi:type="dcterms:W3CDTF">2017-06-23T09:33:00Z</dcterms:created>
  <dcterms:modified xsi:type="dcterms:W3CDTF">2017-06-23T09:36:00Z</dcterms:modified>
</cp:coreProperties>
</file>