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F8" w:rsidRPr="00B90135" w:rsidRDefault="00E670D4" w:rsidP="00B90135">
      <w:pPr>
        <w:tabs>
          <w:tab w:val="left" w:pos="142"/>
        </w:tabs>
        <w:spacing w:after="0" w:line="283" w:lineRule="atLeast"/>
        <w:jc w:val="both"/>
        <w:rPr>
          <w:rFonts w:ascii="BISans" w:hAnsi="BISans" w:cs="Arial"/>
          <w:b/>
          <w:bCs/>
          <w:sz w:val="32"/>
          <w:szCs w:val="32"/>
          <w:lang w:eastAsia="zh-TW"/>
        </w:rPr>
      </w:pPr>
      <w:r w:rsidRPr="00B90135">
        <w:rPr>
          <w:rFonts w:ascii="BISans" w:hAnsi="BISans" w:cs="Arial"/>
          <w:b/>
          <w:bCs/>
          <w:sz w:val="32"/>
          <w:szCs w:val="32"/>
          <w:lang w:eastAsia="zh-TW"/>
        </w:rPr>
        <w:t>Nei paz</w:t>
      </w:r>
      <w:r w:rsidR="007C65F8" w:rsidRPr="00B90135">
        <w:rPr>
          <w:rFonts w:ascii="BISans" w:hAnsi="BISans" w:cs="Arial"/>
          <w:b/>
          <w:bCs/>
          <w:sz w:val="32"/>
          <w:szCs w:val="32"/>
          <w:lang w:eastAsia="zh-TW"/>
        </w:rPr>
        <w:t xml:space="preserve">ienti con Fibrosi Polmonare Idiopatica trattati con nintedanib, </w:t>
      </w:r>
      <w:r w:rsidRPr="00B90135">
        <w:rPr>
          <w:rFonts w:ascii="BISans" w:hAnsi="BISans" w:cs="Arial"/>
          <w:b/>
          <w:bCs/>
          <w:sz w:val="32"/>
          <w:szCs w:val="32"/>
          <w:lang w:eastAsia="zh-TW"/>
        </w:rPr>
        <w:t xml:space="preserve">la probabilità di miglioramento o stabilità della funzione polmonare è risultata raddoppiata </w:t>
      </w:r>
      <w:r w:rsidR="007C65F8" w:rsidRPr="00B90135">
        <w:rPr>
          <w:rFonts w:ascii="BISans" w:hAnsi="BISans" w:cs="Arial"/>
          <w:b/>
          <w:bCs/>
          <w:sz w:val="32"/>
          <w:szCs w:val="32"/>
          <w:lang w:eastAsia="zh-TW"/>
        </w:rPr>
        <w:t>rispetto a placebo</w:t>
      </w:r>
      <w:r w:rsidR="007C65F8" w:rsidRPr="00B90135">
        <w:rPr>
          <w:rFonts w:ascii="BISans" w:hAnsi="BISans" w:cs="Arial"/>
          <w:b/>
          <w:bCs/>
          <w:sz w:val="32"/>
          <w:szCs w:val="32"/>
          <w:vertAlign w:val="superscript"/>
          <w:lang w:eastAsia="zh-TW"/>
        </w:rPr>
        <w:t>1</w:t>
      </w:r>
    </w:p>
    <w:p w:rsidR="00764DD6" w:rsidRPr="00B90135" w:rsidRDefault="00764DD6" w:rsidP="00B90135">
      <w:pPr>
        <w:tabs>
          <w:tab w:val="left" w:pos="142"/>
        </w:tabs>
        <w:spacing w:after="0" w:line="283" w:lineRule="atLeast"/>
        <w:jc w:val="both"/>
        <w:rPr>
          <w:rFonts w:ascii="BISans" w:hAnsi="BISans" w:cs="Arial"/>
          <w:b/>
          <w:bCs/>
          <w:sz w:val="32"/>
          <w:szCs w:val="32"/>
          <w:lang w:eastAsia="zh-TW"/>
        </w:rPr>
      </w:pPr>
    </w:p>
    <w:p w:rsidR="0020498F" w:rsidRPr="00B90135" w:rsidRDefault="007C65F8" w:rsidP="00B90135">
      <w:pPr>
        <w:pStyle w:val="Paragrafoelenco"/>
        <w:numPr>
          <w:ilvl w:val="0"/>
          <w:numId w:val="12"/>
        </w:numPr>
        <w:spacing w:line="283" w:lineRule="atLeast"/>
        <w:jc w:val="both"/>
        <w:rPr>
          <w:rFonts w:ascii="BISans" w:hAnsi="BISans" w:cs="BISansNEXTCond-Bold"/>
          <w:bCs/>
          <w:i/>
          <w:color w:val="000000"/>
          <w:lang w:val="it-IT"/>
        </w:rPr>
      </w:pPr>
      <w:r w:rsidRPr="00B90135">
        <w:rPr>
          <w:rFonts w:ascii="BISans" w:hAnsi="BISans" w:cs="BISansNEXTCond-Bold"/>
          <w:bCs/>
          <w:i/>
          <w:color w:val="000000"/>
          <w:lang w:val="it-IT"/>
        </w:rPr>
        <w:t>Analisi separata di un sottogruppo dimostra che l’efficacia di lungo termine di nintedanib nel rallentare la progressione della malattia si mantiene a 96 settimane in pazienti con necessità di aggiustamenti di dosaggio per gestire eventi avversi</w:t>
      </w:r>
      <w:r w:rsidRPr="00B90135">
        <w:rPr>
          <w:rFonts w:ascii="BISans" w:hAnsi="BISans" w:cs="BISansNEXTCond-Bold"/>
          <w:bCs/>
          <w:i/>
          <w:color w:val="000000"/>
          <w:vertAlign w:val="superscript"/>
          <w:lang w:val="it-IT"/>
        </w:rPr>
        <w:t>2</w:t>
      </w:r>
      <w:r w:rsidRPr="00B90135">
        <w:rPr>
          <w:rFonts w:ascii="BISans" w:hAnsi="BISans" w:cs="BISansNEXTCond-Bold"/>
          <w:bCs/>
          <w:i/>
          <w:color w:val="000000"/>
          <w:lang w:val="it-IT"/>
        </w:rPr>
        <w:t xml:space="preserve"> </w:t>
      </w:r>
    </w:p>
    <w:p w:rsidR="007C65F8" w:rsidRPr="00B90135" w:rsidRDefault="007C65F8" w:rsidP="00B90135">
      <w:pPr>
        <w:pStyle w:val="Paragrafoelenco"/>
        <w:numPr>
          <w:ilvl w:val="0"/>
          <w:numId w:val="12"/>
        </w:numPr>
        <w:spacing w:line="283" w:lineRule="atLeast"/>
        <w:jc w:val="both"/>
        <w:rPr>
          <w:rFonts w:ascii="BISans" w:hAnsi="BISans" w:cs="BISansNEXTCond-Bold"/>
          <w:bCs/>
          <w:i/>
          <w:color w:val="000000"/>
          <w:lang w:val="it-IT"/>
        </w:rPr>
      </w:pPr>
      <w:r w:rsidRPr="00B90135">
        <w:rPr>
          <w:rFonts w:ascii="BISans" w:hAnsi="BISans" w:cs="BISansNEXTCond-Bold"/>
          <w:bCs/>
          <w:i/>
          <w:color w:val="000000"/>
          <w:lang w:val="it-IT"/>
        </w:rPr>
        <w:t>Un’ulteriore analisi combinata, in cui la maggior parte dei pazienti (90%) presentava alto rischio cardiovascolare (CV), indica che l’incidenza di eventi avversi CV maggiori è stata bassa e comparabile nei pazienti trattati con nintedanib e in quelli che hanno ricevuto placebo.</w:t>
      </w:r>
      <w:r w:rsidRPr="00B90135">
        <w:rPr>
          <w:rFonts w:ascii="BISans" w:hAnsi="BISans" w:cs="BISansNEXTCond-Bold"/>
          <w:bCs/>
          <w:i/>
          <w:color w:val="000000"/>
          <w:vertAlign w:val="superscript"/>
          <w:lang w:val="it-IT"/>
        </w:rPr>
        <w:t>3</w:t>
      </w:r>
    </w:p>
    <w:p w:rsidR="00764DD6" w:rsidRPr="00B90135" w:rsidRDefault="00764DD6" w:rsidP="00B90135">
      <w:pPr>
        <w:spacing w:after="0" w:line="264" w:lineRule="auto"/>
        <w:jc w:val="both"/>
        <w:rPr>
          <w:rFonts w:ascii="BISans" w:eastAsia="MS Mincho" w:hAnsi="BISans" w:cs="Arial"/>
          <w:b/>
          <w:bCs/>
          <w:color w:val="003366"/>
          <w:sz w:val="20"/>
          <w:szCs w:val="20"/>
          <w:lang w:eastAsia="en-GB"/>
        </w:rPr>
      </w:pPr>
    </w:p>
    <w:p w:rsidR="007C65F8" w:rsidRPr="00B90135" w:rsidRDefault="007C65F8" w:rsidP="00B90135">
      <w:pPr>
        <w:spacing w:after="0" w:line="283" w:lineRule="atLeast"/>
        <w:jc w:val="both"/>
        <w:rPr>
          <w:rFonts w:ascii="BISans" w:eastAsia="BISans" w:hAnsi="BISans" w:cstheme="minorHAnsi"/>
          <w:sz w:val="20"/>
          <w:szCs w:val="20"/>
        </w:rPr>
      </w:pPr>
      <w:r w:rsidRPr="00B90135">
        <w:rPr>
          <w:rFonts w:ascii="BISans" w:eastAsia="BISans" w:hAnsi="BISans" w:cstheme="minorHAnsi"/>
          <w:b/>
          <w:bCs/>
          <w:color w:val="003366"/>
          <w:sz w:val="20"/>
        </w:rPr>
        <w:t xml:space="preserve">Ingelheim, Germania, 24 maggio, 2017 </w:t>
      </w:r>
      <w:r w:rsidRPr="00B90135">
        <w:rPr>
          <w:rFonts w:ascii="BISans" w:eastAsia="BISans" w:hAnsi="BISans" w:cstheme="minorHAnsi"/>
          <w:sz w:val="20"/>
          <w:szCs w:val="20"/>
        </w:rPr>
        <w:t>– Boehringer Ingelheim ha annunciato oggi la presentazione, durante l’edizione 2017 del Congresso dell’</w:t>
      </w:r>
      <w:r w:rsidRPr="00B90135">
        <w:rPr>
          <w:rFonts w:ascii="BISans" w:eastAsia="BISans" w:hAnsi="BISans" w:cstheme="minorHAnsi"/>
          <w:i/>
          <w:sz w:val="20"/>
          <w:szCs w:val="20"/>
        </w:rPr>
        <w:t xml:space="preserve">American Thoracic Society </w:t>
      </w:r>
      <w:r w:rsidRPr="00B90135">
        <w:rPr>
          <w:rFonts w:ascii="BISans" w:eastAsia="BISans" w:hAnsi="BISans" w:cstheme="minorHAnsi"/>
          <w:sz w:val="20"/>
          <w:szCs w:val="20"/>
        </w:rPr>
        <w:t xml:space="preserve">(ATS), di risultati di nuove analisi sull’impiego di nintedanib nella Fibrosi Polmonare Idiopatica (FPI). Gli abstract presentati al Congresso confermano il noto profilo di efficacia e sicurezza di nintedanib e forniscono ulteriori conoscenze dei suoi effetti sulla funzionalità polmonare nei pazienti con FPI. </w:t>
      </w:r>
    </w:p>
    <w:p w:rsidR="007C65F8" w:rsidRPr="00B90135" w:rsidRDefault="007C65F8" w:rsidP="00B90135">
      <w:pPr>
        <w:spacing w:after="0" w:line="283" w:lineRule="atLeast"/>
        <w:jc w:val="both"/>
        <w:rPr>
          <w:rFonts w:ascii="BISans" w:eastAsia="BISans" w:hAnsi="BISans" w:cstheme="minorHAnsi"/>
          <w:sz w:val="20"/>
          <w:szCs w:val="20"/>
        </w:rPr>
      </w:pPr>
    </w:p>
    <w:p w:rsidR="007C65F8" w:rsidRPr="00B90135" w:rsidRDefault="007C65F8" w:rsidP="00B90135">
      <w:pPr>
        <w:spacing w:after="0" w:line="283" w:lineRule="atLeast"/>
        <w:jc w:val="both"/>
        <w:rPr>
          <w:rFonts w:ascii="BISans" w:eastAsia="BISans" w:hAnsi="BISans" w:cstheme="minorHAnsi"/>
          <w:sz w:val="20"/>
          <w:szCs w:val="20"/>
        </w:rPr>
      </w:pPr>
      <w:r w:rsidRPr="00B90135">
        <w:rPr>
          <w:rFonts w:ascii="BISans" w:eastAsia="BISans" w:hAnsi="BISans" w:cstheme="minorHAnsi"/>
          <w:sz w:val="20"/>
          <w:szCs w:val="20"/>
        </w:rPr>
        <w:t>L’analisi di dati combinati dei due studi di Fase III INPULSIS® indica che la probabilità di avere un miglioramento o un non-deterioramento della funzionalità polmonare, misurata in termini di capacità vitale forzata (FVC), alla settimana 52, è stata doppia nei pazienti trattati con nintedanib, rispetto a quelli che hanno ricevuto placebo (36,8% con nintedanib contro 18,0% con placebo).</w:t>
      </w:r>
      <w:r w:rsidRPr="00B90135">
        <w:rPr>
          <w:rFonts w:ascii="BISans" w:eastAsia="BISans" w:hAnsi="BISans" w:cstheme="minorHAnsi"/>
          <w:sz w:val="20"/>
          <w:szCs w:val="20"/>
          <w:vertAlign w:val="superscript"/>
        </w:rPr>
        <w:t>1</w:t>
      </w:r>
      <w:r w:rsidRPr="00B90135">
        <w:rPr>
          <w:rFonts w:ascii="BISans" w:eastAsia="BISans" w:hAnsi="BISans" w:cstheme="minorHAnsi"/>
          <w:sz w:val="20"/>
          <w:szCs w:val="20"/>
        </w:rPr>
        <w:t xml:space="preserve"> Un’analisi di sottogruppo dello studio di prosecuzione in aperto INPULSIS®- ON ha dimostrato un simile tasso annuo di declino della FVC su 96 settimane nei pazienti trattati con nintedanib, indipendentemente dal dosaggio ricevuto in base alla tollerabilità individuale (150 mg due volte/die, 100 mg due volte/die, o entrambi).</w:t>
      </w:r>
      <w:r w:rsidRPr="00B90135">
        <w:rPr>
          <w:rFonts w:ascii="BISans" w:eastAsia="BISans" w:hAnsi="BISans" w:cstheme="minorHAnsi"/>
          <w:sz w:val="20"/>
          <w:szCs w:val="20"/>
          <w:vertAlign w:val="superscript"/>
        </w:rPr>
        <w:t>2</w:t>
      </w:r>
    </w:p>
    <w:p w:rsidR="007C65F8" w:rsidRPr="00B90135" w:rsidRDefault="007C65F8" w:rsidP="00B90135">
      <w:pPr>
        <w:spacing w:after="0" w:line="283" w:lineRule="atLeast"/>
        <w:jc w:val="both"/>
        <w:rPr>
          <w:rFonts w:ascii="BISans" w:eastAsia="BISans" w:hAnsi="BISans" w:cstheme="minorHAnsi"/>
          <w:sz w:val="20"/>
          <w:szCs w:val="20"/>
        </w:rPr>
      </w:pPr>
    </w:p>
    <w:p w:rsidR="007C65F8" w:rsidRPr="00B90135" w:rsidRDefault="007C65F8" w:rsidP="00B90135">
      <w:pPr>
        <w:spacing w:after="0" w:line="283" w:lineRule="atLeast"/>
        <w:jc w:val="both"/>
        <w:rPr>
          <w:rFonts w:ascii="BISans" w:eastAsia="BISans" w:hAnsi="BISans" w:cstheme="minorHAnsi"/>
          <w:sz w:val="20"/>
          <w:szCs w:val="20"/>
        </w:rPr>
      </w:pPr>
      <w:r w:rsidRPr="00B90135">
        <w:rPr>
          <w:rFonts w:ascii="BISans" w:eastAsia="BISans" w:hAnsi="BISans" w:cstheme="minorHAnsi"/>
          <w:sz w:val="20"/>
          <w:szCs w:val="20"/>
        </w:rPr>
        <w:t xml:space="preserve">Inoltre, in un’analisi combinata degli studi  TOMORROW™ e INPULSIS®, che ha valutato i tassi di incidenza di eventi avversi cardiovascolari maggiori (MACE) nei pazienti trattati con nintedanib e in quelli che hanno ricevuto </w:t>
      </w:r>
      <w:r w:rsidRPr="00B90135">
        <w:rPr>
          <w:rFonts w:ascii="BISans" w:eastAsia="BISans" w:hAnsi="BISans" w:cstheme="minorHAnsi"/>
          <w:sz w:val="20"/>
          <w:szCs w:val="20"/>
        </w:rPr>
        <w:lastRenderedPageBreak/>
        <w:t>placebo, in cui la maggior parte (90%) presentava, al basale, un alto rischio cardiovascolare (CV)  - compresi storia di accumulo di placca sulla superficie interna delle arterie (aterosclerosi) e/o almeno un fattore di rischio CV come ipertensione, diabete o</w:t>
      </w:r>
      <w:r w:rsidRPr="00B90135">
        <w:rPr>
          <w:rFonts w:ascii="BISans" w:hAnsi="BISans"/>
        </w:rPr>
        <w:t xml:space="preserve"> i</w:t>
      </w:r>
      <w:r w:rsidRPr="00B90135">
        <w:rPr>
          <w:rFonts w:ascii="BISans" w:eastAsia="BISans" w:hAnsi="BISans" w:cstheme="minorHAnsi"/>
          <w:sz w:val="20"/>
          <w:szCs w:val="20"/>
        </w:rPr>
        <w:t>percolesterolemia</w:t>
      </w:r>
      <w:r w:rsidR="0013505B" w:rsidRPr="00B90135">
        <w:rPr>
          <w:rFonts w:ascii="BISans" w:eastAsia="BISans" w:hAnsi="BISans" w:cstheme="minorHAnsi"/>
          <w:sz w:val="20"/>
          <w:szCs w:val="20"/>
        </w:rPr>
        <w:t xml:space="preserve"> -</w:t>
      </w:r>
      <w:r w:rsidRPr="00B90135">
        <w:rPr>
          <w:rFonts w:ascii="BISans" w:eastAsia="BISans" w:hAnsi="BISans" w:cstheme="minorHAnsi"/>
          <w:sz w:val="20"/>
          <w:szCs w:val="20"/>
        </w:rPr>
        <w:t xml:space="preserve"> l’incidenza di MACE è stata </w:t>
      </w:r>
      <w:r w:rsidR="0013505B" w:rsidRPr="00B90135">
        <w:rPr>
          <w:rFonts w:ascii="BISans" w:eastAsia="BISans" w:hAnsi="BISans" w:cstheme="minorHAnsi"/>
          <w:sz w:val="20"/>
          <w:szCs w:val="20"/>
        </w:rPr>
        <w:t xml:space="preserve">complessivamente </w:t>
      </w:r>
      <w:r w:rsidRPr="00B90135">
        <w:rPr>
          <w:rFonts w:ascii="BISans" w:eastAsia="BISans" w:hAnsi="BISans" w:cstheme="minorHAnsi"/>
          <w:sz w:val="20"/>
          <w:szCs w:val="20"/>
        </w:rPr>
        <w:t>simile nei gruppi in trattamento</w:t>
      </w:r>
      <w:r w:rsidR="0013505B" w:rsidRPr="00B90135">
        <w:rPr>
          <w:rFonts w:ascii="BISans" w:eastAsia="BISans" w:hAnsi="BISans" w:cstheme="minorHAnsi"/>
          <w:sz w:val="20"/>
          <w:szCs w:val="20"/>
        </w:rPr>
        <w:t>,</w:t>
      </w:r>
      <w:r w:rsidRPr="00B90135">
        <w:rPr>
          <w:rFonts w:ascii="BISans" w:eastAsia="BISans" w:hAnsi="BISans" w:cstheme="minorHAnsi"/>
          <w:sz w:val="20"/>
          <w:szCs w:val="20"/>
        </w:rPr>
        <w:t xml:space="preserve"> sia nei pazienti con alto rischio CV (3,5% nintedanib e 3,3% placebo), sia in quelli con basso rischio CV al basale3 (4,5% nintedanib e 5,3% placebo).</w:t>
      </w:r>
    </w:p>
    <w:p w:rsidR="007C65F8" w:rsidRPr="00B90135" w:rsidRDefault="007C65F8" w:rsidP="00B90135">
      <w:pPr>
        <w:keepNext/>
        <w:keepLines/>
        <w:widowControl w:val="0"/>
        <w:spacing w:after="0" w:line="283" w:lineRule="atLeast"/>
        <w:contextualSpacing/>
        <w:jc w:val="both"/>
        <w:rPr>
          <w:rFonts w:ascii="BISans" w:eastAsia="BISans" w:hAnsi="BISans" w:cstheme="minorHAnsi"/>
          <w:color w:val="003366"/>
          <w:sz w:val="20"/>
          <w:szCs w:val="20"/>
        </w:rPr>
      </w:pPr>
    </w:p>
    <w:p w:rsidR="007C65F8" w:rsidRPr="00B90135" w:rsidRDefault="007C65F8" w:rsidP="00B90135">
      <w:pPr>
        <w:spacing w:after="0" w:line="283" w:lineRule="atLeast"/>
        <w:jc w:val="both"/>
        <w:rPr>
          <w:rFonts w:ascii="BISans" w:eastAsia="BISans" w:hAnsi="BISans" w:cstheme="minorHAnsi"/>
          <w:sz w:val="20"/>
          <w:szCs w:val="20"/>
        </w:rPr>
      </w:pPr>
      <w:r w:rsidRPr="00B90135">
        <w:rPr>
          <w:rFonts w:ascii="BISans" w:eastAsia="BISans" w:hAnsi="BISans" w:cstheme="minorHAnsi"/>
          <w:sz w:val="20"/>
          <w:szCs w:val="20"/>
        </w:rPr>
        <w:t>“La Fibrosi Polmonare Idiopatica è una malattia progressiva</w:t>
      </w:r>
      <w:r w:rsidR="00F171F3" w:rsidRPr="00B90135">
        <w:rPr>
          <w:rFonts w:ascii="BISans" w:eastAsia="BISans" w:hAnsi="BISans" w:cstheme="minorHAnsi"/>
          <w:sz w:val="20"/>
          <w:szCs w:val="20"/>
        </w:rPr>
        <w:t>,</w:t>
      </w:r>
      <w:r w:rsidRPr="00B90135">
        <w:rPr>
          <w:rFonts w:ascii="BISans" w:eastAsia="BISans" w:hAnsi="BISans" w:cstheme="minorHAnsi"/>
          <w:sz w:val="20"/>
          <w:szCs w:val="20"/>
        </w:rPr>
        <w:t xml:space="preserve"> che richiede terapia permanente. E’, quindi, importante valutare l’efficacia e la sicurezza di lungo termine delle terapie per la FPI come nintedanib</w:t>
      </w:r>
      <w:r w:rsidR="00F171F3" w:rsidRPr="00B90135">
        <w:rPr>
          <w:rFonts w:ascii="BISans" w:eastAsia="BISans" w:hAnsi="BISans" w:cstheme="minorHAnsi"/>
          <w:sz w:val="20"/>
          <w:szCs w:val="20"/>
        </w:rPr>
        <w:t>,</w:t>
      </w:r>
      <w:r w:rsidRPr="00B90135">
        <w:rPr>
          <w:rFonts w:ascii="BISans" w:eastAsia="BISans" w:hAnsi="BISans" w:cstheme="minorHAnsi"/>
          <w:sz w:val="20"/>
          <w:szCs w:val="20"/>
        </w:rPr>
        <w:t xml:space="preserve"> per garantire il mantenimento della funzionalità polmonare e ridurre la progressione della malattia, senza esacerbare patologie concomitanti” - ha dichiarato Imre </w:t>
      </w:r>
      <w:proofErr w:type="spellStart"/>
      <w:r w:rsidRPr="00B90135">
        <w:rPr>
          <w:rFonts w:ascii="BISans" w:eastAsia="BISans" w:hAnsi="BISans" w:cstheme="minorHAnsi"/>
          <w:sz w:val="20"/>
          <w:szCs w:val="20"/>
        </w:rPr>
        <w:t>Noth</w:t>
      </w:r>
      <w:proofErr w:type="spellEnd"/>
      <w:r w:rsidRPr="00B90135">
        <w:rPr>
          <w:rFonts w:ascii="BISans" w:eastAsia="BISans" w:hAnsi="BISans" w:cstheme="minorHAnsi"/>
          <w:sz w:val="20"/>
          <w:szCs w:val="20"/>
        </w:rPr>
        <w:t>, Professore di Medicina e Direttore del Programma sulle Interstiziopatie Polmonari dell’Università di Chicago - “Questi nuovi risultati contribuiscono a rafforzare ulteriormente i dati scientifici</w:t>
      </w:r>
      <w:r w:rsidR="00F171F3" w:rsidRPr="00B90135">
        <w:rPr>
          <w:rFonts w:ascii="BISans" w:eastAsia="BISans" w:hAnsi="BISans" w:cstheme="minorHAnsi"/>
          <w:sz w:val="20"/>
          <w:szCs w:val="20"/>
        </w:rPr>
        <w:t>,</w:t>
      </w:r>
      <w:r w:rsidRPr="00B90135">
        <w:rPr>
          <w:rFonts w:ascii="BISans" w:eastAsia="BISans" w:hAnsi="BISans" w:cstheme="minorHAnsi"/>
          <w:sz w:val="20"/>
          <w:szCs w:val="20"/>
        </w:rPr>
        <w:t xml:space="preserve"> che confermano l’efficacia e la sicurezza di nintedanib, in riferimento a un periodo di trattamento sino a 96 settimane e offrono ai medici ulteriori evidenze a sostegno delle loro decisioni terapeutiche”.</w:t>
      </w:r>
    </w:p>
    <w:p w:rsidR="007C65F8" w:rsidRPr="00B90135" w:rsidRDefault="007C65F8" w:rsidP="00B90135">
      <w:pPr>
        <w:spacing w:after="0" w:line="283" w:lineRule="atLeast"/>
        <w:jc w:val="both"/>
        <w:rPr>
          <w:rFonts w:ascii="BISans" w:eastAsia="BISans" w:hAnsi="BISans" w:cstheme="minorHAnsi"/>
          <w:b/>
          <w:iCs/>
          <w:sz w:val="20"/>
          <w:szCs w:val="20"/>
        </w:rPr>
      </w:pPr>
    </w:p>
    <w:p w:rsidR="007C65F8" w:rsidRPr="00407D8E" w:rsidRDefault="007C65F8" w:rsidP="00B90135">
      <w:pPr>
        <w:spacing w:after="0" w:line="283" w:lineRule="atLeast"/>
        <w:jc w:val="both"/>
        <w:rPr>
          <w:rFonts w:ascii="BISans" w:eastAsia="BISans" w:hAnsi="BISans" w:cstheme="minorHAnsi"/>
          <w:b/>
          <w:bCs/>
          <w:color w:val="003366"/>
          <w:sz w:val="20"/>
        </w:rPr>
      </w:pPr>
      <w:r w:rsidRPr="00407D8E">
        <w:rPr>
          <w:rFonts w:ascii="BISans" w:eastAsia="BISans" w:hAnsi="BISans" w:cstheme="minorHAnsi"/>
          <w:b/>
          <w:bCs/>
          <w:color w:val="003366"/>
          <w:sz w:val="20"/>
        </w:rPr>
        <w:t xml:space="preserve">Nuove Conoscenze sui Pazienti con FPI </w:t>
      </w:r>
    </w:p>
    <w:p w:rsidR="007C65F8" w:rsidRPr="00B90135" w:rsidRDefault="007C65F8" w:rsidP="00B90135">
      <w:pPr>
        <w:spacing w:after="0" w:line="283" w:lineRule="atLeast"/>
        <w:jc w:val="both"/>
        <w:rPr>
          <w:rFonts w:ascii="BISans" w:eastAsia="BISans" w:hAnsi="BISans" w:cstheme="minorHAnsi"/>
          <w:sz w:val="20"/>
          <w:szCs w:val="20"/>
        </w:rPr>
      </w:pPr>
      <w:r w:rsidRPr="00B90135">
        <w:rPr>
          <w:rFonts w:ascii="BISans" w:eastAsia="BISans" w:hAnsi="BISans" w:cstheme="minorHAnsi"/>
          <w:sz w:val="20"/>
          <w:szCs w:val="20"/>
        </w:rPr>
        <w:t>Un’analisi separata</w:t>
      </w:r>
      <w:r w:rsidR="00F171F3" w:rsidRPr="00B90135">
        <w:rPr>
          <w:rFonts w:ascii="BISans" w:eastAsia="BISans" w:hAnsi="BISans" w:cstheme="minorHAnsi"/>
          <w:sz w:val="20"/>
          <w:szCs w:val="20"/>
        </w:rPr>
        <w:t>,</w:t>
      </w:r>
      <w:r w:rsidRPr="00B90135">
        <w:rPr>
          <w:rFonts w:ascii="BISans" w:eastAsia="BISans" w:hAnsi="BISans" w:cstheme="minorHAnsi"/>
          <w:sz w:val="20"/>
          <w:szCs w:val="20"/>
        </w:rPr>
        <w:t xml:space="preserve"> </w:t>
      </w:r>
      <w:r w:rsidR="00F171F3" w:rsidRPr="00B90135">
        <w:rPr>
          <w:rFonts w:ascii="BISans" w:eastAsia="BISans" w:hAnsi="BISans" w:cstheme="minorHAnsi"/>
          <w:sz w:val="20"/>
          <w:szCs w:val="20"/>
        </w:rPr>
        <w:t xml:space="preserve">sempre </w:t>
      </w:r>
      <w:r w:rsidRPr="00B90135">
        <w:rPr>
          <w:rFonts w:ascii="BISans" w:eastAsia="BISans" w:hAnsi="BISans" w:cstheme="minorHAnsi"/>
          <w:sz w:val="20"/>
          <w:szCs w:val="20"/>
        </w:rPr>
        <w:t>presentata al Congresso ATS</w:t>
      </w:r>
      <w:r w:rsidR="00F171F3" w:rsidRPr="00B90135">
        <w:rPr>
          <w:rFonts w:ascii="BISans" w:eastAsia="BISans" w:hAnsi="BISans" w:cstheme="minorHAnsi"/>
          <w:sz w:val="20"/>
          <w:szCs w:val="20"/>
        </w:rPr>
        <w:t>,</w:t>
      </w:r>
      <w:r w:rsidRPr="00B90135">
        <w:rPr>
          <w:rFonts w:ascii="BISans" w:eastAsia="BISans" w:hAnsi="BISans" w:cstheme="minorHAnsi"/>
          <w:sz w:val="20"/>
          <w:szCs w:val="20"/>
        </w:rPr>
        <w:t xml:space="preserve"> ha esaminato dati del registro IPF- PRO su pazienti di 18 </w:t>
      </w:r>
      <w:r w:rsidR="00F171F3" w:rsidRPr="00B90135">
        <w:rPr>
          <w:rFonts w:ascii="BISans" w:eastAsia="BISans" w:hAnsi="BISans" w:cstheme="minorHAnsi"/>
          <w:sz w:val="20"/>
          <w:szCs w:val="20"/>
        </w:rPr>
        <w:t>C</w:t>
      </w:r>
      <w:r w:rsidRPr="00B90135">
        <w:rPr>
          <w:rFonts w:ascii="BISans" w:eastAsia="BISans" w:hAnsi="BISans" w:cstheme="minorHAnsi"/>
          <w:sz w:val="20"/>
          <w:szCs w:val="20"/>
        </w:rPr>
        <w:t xml:space="preserve">entri di </w:t>
      </w:r>
      <w:r w:rsidR="00E670D4" w:rsidRPr="00B90135">
        <w:rPr>
          <w:rFonts w:ascii="BISans" w:eastAsia="BISans" w:hAnsi="BISans" w:cstheme="minorHAnsi"/>
          <w:sz w:val="20"/>
          <w:szCs w:val="20"/>
        </w:rPr>
        <w:t>pneumologia</w:t>
      </w:r>
      <w:r w:rsidRPr="00B90135">
        <w:rPr>
          <w:rFonts w:ascii="BISans" w:eastAsia="BISans" w:hAnsi="BISans" w:cstheme="minorHAnsi"/>
          <w:sz w:val="20"/>
          <w:szCs w:val="20"/>
        </w:rPr>
        <w:t xml:space="preserve"> per individuare le caratteristiche cliniche dei pazienti con FPI, con deterioramento avanzato della funzionalità polmonare. La maggior parte degli studi clinici comprende, infatti, pazienti con FPI con deterioramento della funzionalità polmonare da lieve a moderato, e i ricercatori volevano conoscere gli aspetti di diversità nei pazienti con malattia in fase più avanzata. I risultati indicano che, nei pazienti con FPI avanzata al basale, c’è maggior compromissione fisica rispetto ai pazienti con malattia di grado da lieve a moderato, compresa minor distanza percorsa al test del cammino in sei minuti (320 piedi 97,5 metri contro 397 piedi 121 metri). Nei pazienti con FPI più avanzata c’è anche maggiore prevalenza di ipossiemia (ridotto ossigeno nel sangue), sia a riposo (36,6% contro 7,4%)</w:t>
      </w:r>
      <w:r w:rsidR="00F171F3" w:rsidRPr="00B90135">
        <w:rPr>
          <w:rFonts w:ascii="BISans" w:eastAsia="BISans" w:hAnsi="BISans" w:cstheme="minorHAnsi"/>
          <w:sz w:val="20"/>
          <w:szCs w:val="20"/>
        </w:rPr>
        <w:t>,</w:t>
      </w:r>
      <w:r w:rsidRPr="00B90135">
        <w:rPr>
          <w:rFonts w:ascii="BISans" w:eastAsia="BISans" w:hAnsi="BISans" w:cstheme="minorHAnsi"/>
          <w:sz w:val="20"/>
          <w:szCs w:val="20"/>
        </w:rPr>
        <w:t xml:space="preserve"> sia in attività (62,4% contro 20,2%) con aumentato fabbisogno di ossigeno e storia di ipertensione polmonare, ovvero alta pressione arteriosa polmonare (14,0% contro 6,4%). Inoltre, anche i punteggi di qualità della vita correlata alle condizioni di salute (HRQL) sono significativamente peggiori nei soggetti con deterioramento avanzato della funzionalità polmonare.</w:t>
      </w:r>
      <w:r w:rsidRPr="00B90135">
        <w:rPr>
          <w:rFonts w:ascii="BISans" w:eastAsia="BISans" w:hAnsi="BISans" w:cstheme="minorHAnsi"/>
          <w:sz w:val="20"/>
          <w:szCs w:val="20"/>
          <w:vertAlign w:val="superscript"/>
        </w:rPr>
        <w:t>6</w:t>
      </w:r>
    </w:p>
    <w:p w:rsidR="007C65F8" w:rsidRPr="00B90135" w:rsidRDefault="007C65F8" w:rsidP="00B90135">
      <w:pPr>
        <w:spacing w:after="0" w:line="283" w:lineRule="atLeast"/>
        <w:jc w:val="both"/>
        <w:rPr>
          <w:rFonts w:ascii="BISans" w:eastAsia="BISans" w:hAnsi="BISans" w:cstheme="minorHAnsi"/>
          <w:sz w:val="20"/>
          <w:szCs w:val="20"/>
        </w:rPr>
      </w:pPr>
    </w:p>
    <w:p w:rsidR="007C65F8" w:rsidRPr="00B90135" w:rsidRDefault="007C65F8" w:rsidP="00B90135">
      <w:pPr>
        <w:spacing w:after="0" w:line="283" w:lineRule="atLeast"/>
        <w:jc w:val="both"/>
        <w:rPr>
          <w:rFonts w:ascii="BISans" w:eastAsia="BISans" w:hAnsi="BISans" w:cstheme="minorHAnsi"/>
          <w:sz w:val="20"/>
          <w:szCs w:val="20"/>
        </w:rPr>
      </w:pPr>
      <w:r w:rsidRPr="00B90135">
        <w:rPr>
          <w:rFonts w:ascii="BISans" w:eastAsia="BISans" w:hAnsi="BISans" w:cstheme="minorHAnsi"/>
          <w:sz w:val="20"/>
          <w:szCs w:val="20"/>
        </w:rPr>
        <w:t xml:space="preserve">“Boehringer Ingelheim resta impegnata nella ricerca sulla FPI per offrire ulteriori progressi clinici a coloro che soffrono di questa </w:t>
      </w:r>
      <w:r w:rsidR="00F171F3" w:rsidRPr="00B90135">
        <w:rPr>
          <w:rFonts w:ascii="BISans" w:eastAsia="BISans" w:hAnsi="BISans" w:cstheme="minorHAnsi"/>
          <w:sz w:val="20"/>
          <w:szCs w:val="20"/>
        </w:rPr>
        <w:t>grave</w:t>
      </w:r>
      <w:r w:rsidRPr="00B90135">
        <w:rPr>
          <w:rFonts w:ascii="BISans" w:eastAsia="BISans" w:hAnsi="BISans" w:cstheme="minorHAnsi"/>
          <w:sz w:val="20"/>
          <w:szCs w:val="20"/>
        </w:rPr>
        <w:t xml:space="preserve"> malattia”  - ha </w:t>
      </w:r>
      <w:r w:rsidRPr="00B90135">
        <w:rPr>
          <w:rFonts w:ascii="BISans" w:eastAsia="BISans" w:hAnsi="BISans" w:cstheme="minorHAnsi"/>
          <w:sz w:val="20"/>
          <w:szCs w:val="20"/>
        </w:rPr>
        <w:lastRenderedPageBreak/>
        <w:t xml:space="preserve">dichiarato la Dottoressa Susanne Stowasser, Global Team Lead Medicina, Interstiziopatie Polmonari, Area Terapeutica Respiratoria di Boehringer Ingelheim Pharma GmbH &amp; Co KG - “Sulla base dei nostri recenti progressi clinici continuiamo le nostre attività di ricerca e sviluppo e le estendiamo anche ad altre malattie interstiziali polmonari fibrosanti, per rispondere ai forti bisogni ancora insoddisfatti di coloro che sono colpiti da queste </w:t>
      </w:r>
      <w:r w:rsidR="00F171F3" w:rsidRPr="00B90135">
        <w:rPr>
          <w:rFonts w:ascii="BISans" w:eastAsia="BISans" w:hAnsi="BISans" w:cstheme="minorHAnsi"/>
          <w:sz w:val="20"/>
          <w:szCs w:val="20"/>
        </w:rPr>
        <w:t>patologie</w:t>
      </w:r>
      <w:r w:rsidRPr="00B90135">
        <w:rPr>
          <w:rFonts w:ascii="BISans" w:eastAsia="BISans" w:hAnsi="BISans" w:cstheme="minorHAnsi"/>
          <w:sz w:val="20"/>
          <w:szCs w:val="20"/>
        </w:rPr>
        <w:t>”.</w:t>
      </w:r>
    </w:p>
    <w:p w:rsidR="007C65F8" w:rsidRPr="00B90135" w:rsidRDefault="007C65F8" w:rsidP="00B90135">
      <w:pPr>
        <w:spacing w:after="0" w:line="283" w:lineRule="atLeast"/>
        <w:jc w:val="both"/>
        <w:rPr>
          <w:rFonts w:ascii="BISans" w:eastAsia="BISans" w:hAnsi="BISans" w:cstheme="minorHAnsi"/>
          <w:sz w:val="20"/>
          <w:szCs w:val="20"/>
        </w:rPr>
      </w:pPr>
    </w:p>
    <w:p w:rsidR="007C65F8" w:rsidRPr="00B90135" w:rsidRDefault="007C65F8" w:rsidP="00B90135">
      <w:pPr>
        <w:autoSpaceDE w:val="0"/>
        <w:autoSpaceDN w:val="0"/>
        <w:adjustRightInd w:val="0"/>
        <w:spacing w:after="0" w:line="283" w:lineRule="atLeast"/>
        <w:jc w:val="both"/>
        <w:rPr>
          <w:rFonts w:ascii="BISans" w:eastAsia="BISans" w:hAnsi="BISans" w:cstheme="minorHAnsi"/>
          <w:sz w:val="20"/>
          <w:szCs w:val="20"/>
        </w:rPr>
      </w:pPr>
      <w:r w:rsidRPr="00B90135">
        <w:rPr>
          <w:rFonts w:ascii="BISans" w:eastAsia="BISans" w:hAnsi="BISans" w:cstheme="minorHAnsi"/>
          <w:sz w:val="20"/>
          <w:szCs w:val="20"/>
        </w:rPr>
        <w:t xml:space="preserve">La ricerca su nintedanib va avanti non solo nella </w:t>
      </w:r>
      <w:r w:rsidR="00F171F3" w:rsidRPr="00B90135">
        <w:rPr>
          <w:rFonts w:ascii="BISans" w:eastAsia="BISans" w:hAnsi="BISans" w:cstheme="minorHAnsi"/>
          <w:sz w:val="20"/>
          <w:szCs w:val="20"/>
        </w:rPr>
        <w:t>Fibrosi P</w:t>
      </w:r>
      <w:r w:rsidRPr="00B90135">
        <w:rPr>
          <w:rFonts w:ascii="BISans" w:eastAsia="BISans" w:hAnsi="BISans" w:cstheme="minorHAnsi"/>
          <w:sz w:val="20"/>
          <w:szCs w:val="20"/>
        </w:rPr>
        <w:t xml:space="preserve">olmonare </w:t>
      </w:r>
      <w:r w:rsidR="00F171F3" w:rsidRPr="00B90135">
        <w:rPr>
          <w:rFonts w:ascii="BISans" w:eastAsia="BISans" w:hAnsi="BISans" w:cstheme="minorHAnsi"/>
          <w:sz w:val="20"/>
          <w:szCs w:val="20"/>
        </w:rPr>
        <w:t>I</w:t>
      </w:r>
      <w:r w:rsidRPr="00B90135">
        <w:rPr>
          <w:rFonts w:ascii="BISans" w:eastAsia="BISans" w:hAnsi="BISans" w:cstheme="minorHAnsi"/>
          <w:sz w:val="20"/>
          <w:szCs w:val="20"/>
        </w:rPr>
        <w:t>diopatica, ma anche in altre malattie interstiziali polmonari. Nintedanib è in studio come terapia della sclerosi sistemica, con malattia interstiziale polmonare (</w:t>
      </w:r>
      <w:proofErr w:type="spellStart"/>
      <w:r w:rsidRPr="00B90135">
        <w:rPr>
          <w:rFonts w:ascii="BISans" w:eastAsia="BISans" w:hAnsi="BISans" w:cstheme="minorHAnsi"/>
          <w:sz w:val="20"/>
          <w:szCs w:val="20"/>
        </w:rPr>
        <w:t>SSc</w:t>
      </w:r>
      <w:proofErr w:type="spellEnd"/>
      <w:r w:rsidRPr="00B90135">
        <w:rPr>
          <w:rFonts w:ascii="BISans" w:eastAsia="BISans" w:hAnsi="BISans" w:cstheme="minorHAnsi"/>
          <w:sz w:val="20"/>
          <w:szCs w:val="20"/>
        </w:rPr>
        <w:t xml:space="preserve">-ILD) associata, oltre che nella Malattia Interstiziale Polmonare Progressiva Fibrosante (PF-ILD). </w:t>
      </w:r>
      <w:r w:rsidR="00EB34AE" w:rsidRPr="00B90135">
        <w:rPr>
          <w:rFonts w:ascii="BISans" w:eastAsia="BISans" w:hAnsi="BISans" w:cstheme="minorHAnsi"/>
          <w:sz w:val="20"/>
          <w:szCs w:val="20"/>
        </w:rPr>
        <w:t>È</w:t>
      </w:r>
      <w:r w:rsidR="00E670D4" w:rsidRPr="00B90135">
        <w:rPr>
          <w:rFonts w:ascii="BISans" w:eastAsia="BISans" w:hAnsi="BISans" w:cstheme="minorHAnsi"/>
          <w:sz w:val="20"/>
          <w:szCs w:val="20"/>
        </w:rPr>
        <w:t>,</w:t>
      </w:r>
      <w:r w:rsidRPr="00B90135">
        <w:rPr>
          <w:rFonts w:ascii="BISans" w:eastAsia="BISans" w:hAnsi="BISans" w:cstheme="minorHAnsi"/>
          <w:sz w:val="20"/>
          <w:szCs w:val="20"/>
        </w:rPr>
        <w:t xml:space="preserve"> inoltre, completato il primo studio di </w:t>
      </w:r>
      <w:hyperlink r:id="rId8" w:history="1">
        <w:r w:rsidRPr="00B90135">
          <w:rPr>
            <w:rFonts w:ascii="BISans" w:eastAsia="BISans" w:hAnsi="BISans" w:cstheme="minorHAnsi"/>
            <w:sz w:val="20"/>
          </w:rPr>
          <w:t xml:space="preserve">Fase IV, </w:t>
        </w:r>
      </w:hyperlink>
      <w:r w:rsidRPr="00B90135">
        <w:rPr>
          <w:rFonts w:ascii="BISans" w:eastAsia="BISans" w:hAnsi="BISans" w:cstheme="minorHAnsi"/>
          <w:sz w:val="20"/>
          <w:szCs w:val="20"/>
        </w:rPr>
        <w:t xml:space="preserve"> post-approvazione di nintedanib, come trattamento della FPI</w:t>
      </w:r>
      <w:r w:rsidR="006A26A8" w:rsidRPr="00B90135">
        <w:rPr>
          <w:rFonts w:ascii="BISans" w:eastAsia="BISans" w:hAnsi="BISans" w:cstheme="minorHAnsi"/>
          <w:sz w:val="20"/>
          <w:szCs w:val="20"/>
        </w:rPr>
        <w:t>,</w:t>
      </w:r>
      <w:r w:rsidRPr="00B90135">
        <w:rPr>
          <w:rFonts w:ascii="BISans" w:eastAsia="BISans" w:hAnsi="BISans" w:cstheme="minorHAnsi"/>
          <w:sz w:val="20"/>
          <w:szCs w:val="20"/>
        </w:rPr>
        <w:t xml:space="preserve"> e</w:t>
      </w:r>
      <w:r w:rsidR="00E670D4" w:rsidRPr="00B90135">
        <w:rPr>
          <w:rFonts w:ascii="BISans" w:eastAsia="BISans" w:hAnsi="BISans" w:cstheme="minorHAnsi"/>
          <w:sz w:val="20"/>
          <w:szCs w:val="20"/>
        </w:rPr>
        <w:t>d</w:t>
      </w:r>
      <w:r w:rsidRPr="00B90135">
        <w:rPr>
          <w:rFonts w:ascii="BISans" w:eastAsia="BISans" w:hAnsi="BISans" w:cstheme="minorHAnsi"/>
          <w:sz w:val="20"/>
          <w:szCs w:val="20"/>
        </w:rPr>
        <w:t xml:space="preserve"> i risultati aggiungeranno ulteriori evidenze sulla sicurezza e tollerabilità del farmaco in associazione a pirfenidone. I risultati dello studio randomizzato di 12 settimane INJOURNEY® verranno presentati in occasione di un prossimo Congresso medico internazionale. </w:t>
      </w:r>
    </w:p>
    <w:p w:rsidR="007C65F8" w:rsidRPr="00B90135" w:rsidRDefault="007C65F8" w:rsidP="00B90135">
      <w:pPr>
        <w:autoSpaceDE w:val="0"/>
        <w:autoSpaceDN w:val="0"/>
        <w:adjustRightInd w:val="0"/>
        <w:spacing w:after="0" w:line="283" w:lineRule="atLeast"/>
        <w:jc w:val="both"/>
        <w:rPr>
          <w:rFonts w:ascii="BISans" w:eastAsia="BISans" w:hAnsi="BISans" w:cstheme="minorHAnsi"/>
          <w:sz w:val="20"/>
          <w:szCs w:val="20"/>
        </w:rPr>
      </w:pPr>
    </w:p>
    <w:p w:rsidR="007C65F8" w:rsidRPr="00B90135" w:rsidRDefault="007C65F8" w:rsidP="00B90135">
      <w:pPr>
        <w:spacing w:after="240" w:line="283" w:lineRule="atLeast"/>
        <w:jc w:val="both"/>
        <w:rPr>
          <w:rFonts w:ascii="BISans" w:eastAsia="BISans" w:hAnsi="BISans" w:cstheme="minorHAnsi"/>
          <w:sz w:val="20"/>
          <w:szCs w:val="20"/>
        </w:rPr>
      </w:pPr>
      <w:r w:rsidRPr="00B90135">
        <w:rPr>
          <w:rFonts w:ascii="BISans" w:eastAsia="BISans" w:hAnsi="BISans" w:cstheme="minorHAnsi"/>
          <w:sz w:val="20"/>
          <w:szCs w:val="20"/>
        </w:rPr>
        <w:t xml:space="preserve">I rispettivi abstract si trovano nel programma online all’indirizzo </w:t>
      </w:r>
      <w:hyperlink r:id="rId9" w:history="1">
        <w:r w:rsidRPr="00B90135">
          <w:rPr>
            <w:rFonts w:ascii="BISans" w:eastAsia="BISans" w:hAnsi="BISans" w:cstheme="minorHAnsi"/>
            <w:sz w:val="20"/>
            <w:szCs w:val="20"/>
          </w:rPr>
          <w:t>https://cms.psav.com/ats2017/confcal</w:t>
        </w:r>
      </w:hyperlink>
    </w:p>
    <w:p w:rsidR="007C65F8" w:rsidRPr="00B90135" w:rsidRDefault="007C65F8" w:rsidP="00B90135">
      <w:pPr>
        <w:spacing w:after="0" w:line="283" w:lineRule="atLeast"/>
        <w:jc w:val="both"/>
        <w:rPr>
          <w:rFonts w:ascii="BISans" w:eastAsia="BISans" w:hAnsi="BISans" w:cstheme="minorHAnsi"/>
          <w:b/>
          <w:bCs/>
          <w:color w:val="003366"/>
          <w:sz w:val="20"/>
        </w:rPr>
      </w:pPr>
      <w:r w:rsidRPr="00B90135">
        <w:rPr>
          <w:rFonts w:ascii="BISans" w:eastAsia="BISans" w:hAnsi="BISans" w:cstheme="minorHAnsi"/>
          <w:b/>
          <w:bCs/>
          <w:color w:val="003366"/>
          <w:sz w:val="20"/>
        </w:rPr>
        <w:t>La Fibrosi Polmonare Idiopatica (FPI)</w:t>
      </w:r>
    </w:p>
    <w:p w:rsidR="007C65F8" w:rsidRPr="00B90135" w:rsidRDefault="007C65F8" w:rsidP="00B90135">
      <w:pPr>
        <w:spacing w:after="0" w:line="283" w:lineRule="atLeast"/>
        <w:jc w:val="both"/>
        <w:rPr>
          <w:rFonts w:ascii="BISans" w:eastAsia="BISans" w:hAnsi="BISans" w:cstheme="minorHAnsi"/>
          <w:bCs/>
          <w:sz w:val="20"/>
          <w:vertAlign w:val="superscript"/>
        </w:rPr>
      </w:pPr>
      <w:r w:rsidRPr="00B90135">
        <w:rPr>
          <w:rFonts w:ascii="BISans" w:eastAsia="BISans" w:hAnsi="BISans" w:cstheme="minorHAnsi"/>
          <w:bCs/>
          <w:sz w:val="20"/>
        </w:rPr>
        <w:t>La FPI colpisce circa 3 milioni di persone nel mondo,</w:t>
      </w:r>
      <w:r w:rsidRPr="00B90135">
        <w:rPr>
          <w:rFonts w:ascii="BISans" w:eastAsia="BISans" w:hAnsi="BISans" w:cstheme="minorHAnsi"/>
          <w:bCs/>
          <w:sz w:val="20"/>
          <w:vertAlign w:val="superscript"/>
        </w:rPr>
        <w:t>7,8</w:t>
      </w:r>
      <w:r w:rsidRPr="00B90135">
        <w:rPr>
          <w:rFonts w:ascii="BISans" w:eastAsia="BISans" w:hAnsi="BISans" w:cstheme="minorHAnsi"/>
          <w:bCs/>
          <w:sz w:val="20"/>
        </w:rPr>
        <w:t xml:space="preserve"> è una malattia rara e molto grave, con aspettativa di vita mediana dalla diagnosi di circa 2-3 anni.</w:t>
      </w:r>
      <w:r w:rsidRPr="00B90135">
        <w:rPr>
          <w:rFonts w:ascii="BISans" w:eastAsia="BISans" w:hAnsi="BISans" w:cstheme="minorHAnsi"/>
          <w:bCs/>
          <w:sz w:val="20"/>
          <w:vertAlign w:val="superscript"/>
        </w:rPr>
        <w:t>9</w:t>
      </w:r>
    </w:p>
    <w:p w:rsidR="007C65F8" w:rsidRPr="00B90135" w:rsidRDefault="007C65F8" w:rsidP="00B90135">
      <w:pPr>
        <w:spacing w:after="0" w:line="283" w:lineRule="atLeast"/>
        <w:jc w:val="both"/>
        <w:rPr>
          <w:rFonts w:ascii="BISans" w:eastAsia="BISans" w:hAnsi="BISans" w:cstheme="minorHAnsi"/>
          <w:bCs/>
          <w:sz w:val="20"/>
        </w:rPr>
      </w:pPr>
    </w:p>
    <w:p w:rsidR="007C65F8" w:rsidRPr="00B90135" w:rsidRDefault="007C65F8" w:rsidP="00B90135">
      <w:pPr>
        <w:spacing w:after="0" w:line="283" w:lineRule="atLeast"/>
        <w:jc w:val="both"/>
        <w:rPr>
          <w:rFonts w:ascii="BISans" w:eastAsia="Times New Roman" w:hAnsi="BISans" w:cstheme="minorHAnsi"/>
          <w:b/>
          <w:bCs/>
          <w:color w:val="003366"/>
          <w:sz w:val="20"/>
          <w:szCs w:val="26"/>
        </w:rPr>
      </w:pPr>
      <w:r w:rsidRPr="00B90135">
        <w:rPr>
          <w:rFonts w:ascii="BISans" w:eastAsia="Times New Roman" w:hAnsi="BISans" w:cstheme="minorHAnsi"/>
          <w:b/>
          <w:bCs/>
          <w:color w:val="003366"/>
          <w:sz w:val="20"/>
          <w:szCs w:val="26"/>
        </w:rPr>
        <w:t xml:space="preserve">Gli studi INPULSIS® </w:t>
      </w:r>
    </w:p>
    <w:p w:rsidR="00B90135" w:rsidRPr="00B90135" w:rsidRDefault="007C65F8" w:rsidP="00B90135">
      <w:pPr>
        <w:spacing w:after="0" w:line="283" w:lineRule="atLeast"/>
        <w:jc w:val="both"/>
        <w:rPr>
          <w:rFonts w:ascii="BISans" w:eastAsia="BISans" w:hAnsi="BISans" w:cstheme="minorHAnsi"/>
          <w:sz w:val="20"/>
          <w:szCs w:val="20"/>
        </w:rPr>
      </w:pPr>
      <w:r w:rsidRPr="00B90135">
        <w:rPr>
          <w:rFonts w:ascii="BISans" w:eastAsia="BISans" w:hAnsi="BISans" w:cstheme="minorHAnsi"/>
          <w:sz w:val="20"/>
          <w:szCs w:val="20"/>
        </w:rPr>
        <w:t>INPULSIS</w:t>
      </w:r>
      <w:r w:rsidRPr="00B90135">
        <w:rPr>
          <w:rFonts w:ascii="BISans" w:hAnsi="BISans" w:cstheme="minorHAnsi"/>
          <w:b/>
          <w:bCs/>
          <w:sz w:val="20"/>
          <w:szCs w:val="20"/>
        </w:rPr>
        <w:t xml:space="preserve">® </w:t>
      </w:r>
      <w:r w:rsidRPr="00B90135">
        <w:rPr>
          <w:rFonts w:ascii="BISans" w:eastAsia="BISans" w:hAnsi="BISans" w:cstheme="minorHAnsi"/>
          <w:sz w:val="20"/>
          <w:szCs w:val="20"/>
        </w:rPr>
        <w:t xml:space="preserve">1 e 2 sono due studi internazionali di Fase III, che hanno valutato efficacia e sicurezza di nintedanib nella </w:t>
      </w:r>
      <w:r w:rsidR="00E670D4" w:rsidRPr="00B90135">
        <w:rPr>
          <w:rFonts w:ascii="BISans" w:eastAsia="BISans" w:hAnsi="BISans" w:cstheme="minorHAnsi"/>
          <w:sz w:val="20"/>
          <w:szCs w:val="20"/>
        </w:rPr>
        <w:t>f</w:t>
      </w:r>
      <w:r w:rsidRPr="00B90135">
        <w:rPr>
          <w:rFonts w:ascii="BISans" w:eastAsia="BISans" w:hAnsi="BISans" w:cstheme="minorHAnsi"/>
          <w:sz w:val="20"/>
          <w:szCs w:val="20"/>
        </w:rPr>
        <w:t>ibrosi polmonare idiopatica (FPI). Gli studi INPULSIS</w:t>
      </w:r>
      <w:r w:rsidRPr="00B90135">
        <w:rPr>
          <w:rFonts w:ascii="BISans" w:hAnsi="BISans" w:cstheme="minorHAnsi"/>
          <w:bCs/>
          <w:sz w:val="20"/>
          <w:szCs w:val="20"/>
        </w:rPr>
        <w:t>®</w:t>
      </w:r>
      <w:r w:rsidRPr="00B90135">
        <w:rPr>
          <w:rFonts w:ascii="BISans" w:eastAsia="BISans" w:hAnsi="BISans" w:cstheme="minorHAnsi"/>
          <w:sz w:val="20"/>
          <w:szCs w:val="20"/>
        </w:rPr>
        <w:t xml:space="preserve"> hanno avuto identico disegno, tra cui criteri di inclusione, endpoint e dosaggio corrispondenti. Gli studi INPULSIS</w:t>
      </w:r>
      <w:r w:rsidRPr="00B90135">
        <w:rPr>
          <w:rFonts w:ascii="BISans" w:hAnsi="BISans" w:cstheme="minorHAnsi"/>
          <w:bCs/>
          <w:sz w:val="20"/>
          <w:szCs w:val="20"/>
        </w:rPr>
        <w:t>®</w:t>
      </w:r>
      <w:r w:rsidRPr="00B90135">
        <w:rPr>
          <w:rFonts w:ascii="BISans" w:eastAsia="BISans" w:hAnsi="BISans" w:cstheme="minorHAnsi"/>
          <w:sz w:val="20"/>
          <w:szCs w:val="20"/>
        </w:rPr>
        <w:t xml:space="preserve"> hanno reclutato diverse tipologie di pazienti, simili a quelle che si incontrano nella pratica clinica, tra cui pazienti con malattia in fase iniziale (FVC &gt; 90% del predetto), assenza di ispessimento interstiziale a nido d’ape (</w:t>
      </w:r>
      <w:proofErr w:type="spellStart"/>
      <w:r w:rsidRPr="00B90135">
        <w:rPr>
          <w:rFonts w:ascii="BISans" w:eastAsia="BISans" w:hAnsi="BISans" w:cstheme="minorHAnsi"/>
          <w:sz w:val="20"/>
          <w:szCs w:val="20"/>
        </w:rPr>
        <w:t>honeycombing</w:t>
      </w:r>
      <w:proofErr w:type="spellEnd"/>
      <w:r w:rsidRPr="00B90135">
        <w:rPr>
          <w:rFonts w:ascii="BISans" w:eastAsia="BISans" w:hAnsi="BISans" w:cstheme="minorHAnsi"/>
          <w:sz w:val="20"/>
          <w:szCs w:val="20"/>
        </w:rPr>
        <w:t>) alla TAC toracica ad alta risoluzione (HRCT) e/o concomitante enfisema. Ai pazienti che hanno completato il periodo di trattamento di 52 settimane e 4 settimane di follow-up negli studi INPULSIS</w:t>
      </w:r>
      <w:r w:rsidRPr="00B90135">
        <w:rPr>
          <w:rFonts w:ascii="BISans" w:hAnsi="BISans" w:cstheme="minorHAnsi"/>
          <w:bCs/>
          <w:sz w:val="20"/>
          <w:szCs w:val="20"/>
        </w:rPr>
        <w:t>®</w:t>
      </w:r>
      <w:r w:rsidRPr="00B90135">
        <w:rPr>
          <w:rFonts w:ascii="BISans" w:eastAsia="BISans" w:hAnsi="BISans" w:cstheme="minorHAnsi"/>
          <w:sz w:val="20"/>
          <w:szCs w:val="20"/>
        </w:rPr>
        <w:t xml:space="preserve"> è stato offerto di continuare la terapia con nintedanib in aperto, come prosecuzione di studio, per valutare sicurezza e tollerabilità </w:t>
      </w:r>
      <w:r w:rsidR="00E670D4" w:rsidRPr="00B90135">
        <w:rPr>
          <w:rFonts w:ascii="BISans" w:eastAsia="BISans" w:hAnsi="BISans" w:cstheme="minorHAnsi"/>
          <w:sz w:val="20"/>
          <w:szCs w:val="20"/>
        </w:rPr>
        <w:t xml:space="preserve">del farmaco nel </w:t>
      </w:r>
      <w:r w:rsidRPr="00B90135">
        <w:rPr>
          <w:rFonts w:ascii="BISans" w:eastAsia="BISans" w:hAnsi="BISans" w:cstheme="minorHAnsi"/>
          <w:sz w:val="20"/>
          <w:szCs w:val="20"/>
        </w:rPr>
        <w:t xml:space="preserve">lungo termine. Lo studio di prosecuzione in aperto INPULSIS®-ON, (identificativo dello studio clinicaltrial.gov: NCT01619085), ha compreso 734 pazienti ed è tuttora in corso. </w:t>
      </w:r>
    </w:p>
    <w:p w:rsidR="00B90135" w:rsidRPr="00B90135" w:rsidRDefault="00B90135" w:rsidP="00B90135">
      <w:pPr>
        <w:spacing w:after="0" w:line="283" w:lineRule="atLeast"/>
        <w:jc w:val="both"/>
        <w:rPr>
          <w:rFonts w:ascii="BISans" w:eastAsia="BISans" w:hAnsi="BISans" w:cstheme="minorHAnsi"/>
          <w:sz w:val="20"/>
          <w:szCs w:val="20"/>
        </w:rPr>
      </w:pPr>
    </w:p>
    <w:p w:rsidR="007C65F8" w:rsidRPr="00B90135" w:rsidRDefault="007C65F8" w:rsidP="00B90135">
      <w:pPr>
        <w:spacing w:after="0" w:line="283" w:lineRule="atLeast"/>
        <w:jc w:val="both"/>
        <w:rPr>
          <w:rFonts w:ascii="BISans" w:eastAsia="BISans" w:hAnsi="BISans" w:cstheme="minorHAnsi"/>
          <w:sz w:val="20"/>
          <w:szCs w:val="20"/>
        </w:rPr>
      </w:pPr>
      <w:r w:rsidRPr="00B90135">
        <w:rPr>
          <w:rFonts w:ascii="BISans" w:eastAsia="Times New Roman" w:hAnsi="BISans" w:cstheme="minorHAnsi"/>
          <w:b/>
          <w:bCs/>
          <w:color w:val="003366"/>
          <w:sz w:val="20"/>
          <w:szCs w:val="26"/>
        </w:rPr>
        <w:lastRenderedPageBreak/>
        <w:t>Nintedanib</w:t>
      </w:r>
    </w:p>
    <w:p w:rsidR="007C65F8" w:rsidRPr="00B90135" w:rsidRDefault="007C65F8" w:rsidP="00B90135">
      <w:pPr>
        <w:spacing w:after="0" w:line="283" w:lineRule="atLeast"/>
        <w:jc w:val="both"/>
        <w:rPr>
          <w:rFonts w:ascii="BISans" w:eastAsia="BISans" w:hAnsi="BISans" w:cstheme="minorHAnsi"/>
          <w:sz w:val="20"/>
        </w:rPr>
      </w:pPr>
      <w:r w:rsidRPr="00B90135">
        <w:rPr>
          <w:rFonts w:ascii="BISans" w:eastAsia="BISans" w:hAnsi="BISans" w:cstheme="minorHAnsi"/>
          <w:sz w:val="20"/>
        </w:rPr>
        <w:t>Nintedanib è un farmaco approvato per il trattamento della fibrosi polmonare idiopatica (FPI), una malattia polmonare rara.</w:t>
      </w:r>
      <w:r w:rsidRPr="00B90135">
        <w:rPr>
          <w:rFonts w:ascii="BISans" w:eastAsia="BISans" w:hAnsi="BISans" w:cstheme="minorHAnsi"/>
          <w:sz w:val="20"/>
          <w:vertAlign w:val="superscript"/>
        </w:rPr>
        <w:t xml:space="preserve">10,11,12 </w:t>
      </w:r>
      <w:r w:rsidRPr="00B90135">
        <w:rPr>
          <w:rFonts w:ascii="BISans" w:eastAsia="BISans" w:hAnsi="BISans" w:cstheme="minorHAnsi"/>
          <w:sz w:val="20"/>
        </w:rPr>
        <w:t xml:space="preserve">Nintedanib </w:t>
      </w:r>
      <w:r w:rsidR="00E670D4" w:rsidRPr="00B90135">
        <w:rPr>
          <w:rFonts w:ascii="BISans" w:eastAsia="BISans" w:hAnsi="BISans" w:cstheme="minorHAnsi"/>
          <w:sz w:val="20"/>
        </w:rPr>
        <w:t>è una molecola il cui bersaglio sono</w:t>
      </w:r>
      <w:r w:rsidRPr="00B90135">
        <w:rPr>
          <w:rFonts w:ascii="BISans" w:eastAsia="BISans" w:hAnsi="BISans" w:cstheme="minorHAnsi"/>
          <w:sz w:val="20"/>
        </w:rPr>
        <w:t xml:space="preserve"> i recettori del fattore di crescita che hanno dimostrato essere coinvolti nella patogenesi della patologia. Si ritiene che nintedanib, bloccando le vie di passaggio dei segnali coinvolte nei processi fibrotici, rallenti il declino della funzionalità polmonare e la progressione della Fibrosi Polmonare Idiopatica.</w:t>
      </w:r>
      <w:r w:rsidRPr="00B90135">
        <w:rPr>
          <w:rFonts w:ascii="BISans" w:eastAsia="BISans" w:hAnsi="BISans" w:cstheme="minorHAnsi"/>
          <w:sz w:val="20"/>
          <w:vertAlign w:val="superscript"/>
        </w:rPr>
        <w:t>14,15,16</w:t>
      </w:r>
      <w:r w:rsidRPr="00B90135">
        <w:rPr>
          <w:rFonts w:ascii="BISans" w:eastAsia="BISans" w:hAnsi="BISans" w:cstheme="minorHAnsi"/>
          <w:sz w:val="20"/>
        </w:rPr>
        <w:t xml:space="preserve"> In modelli animali, l’attività anti-fibrotica di nintedanib ha dimostrato di essere indipendente dalla causa della malattia polmonare fibrosante.</w:t>
      </w:r>
      <w:r w:rsidRPr="00B90135">
        <w:rPr>
          <w:rFonts w:ascii="BISans" w:eastAsia="BISans" w:hAnsi="BISans" w:cstheme="minorHAnsi"/>
          <w:sz w:val="20"/>
          <w:vertAlign w:val="superscript"/>
        </w:rPr>
        <w:t>16</w:t>
      </w:r>
    </w:p>
    <w:p w:rsidR="007C65F8" w:rsidRPr="00B90135" w:rsidRDefault="007C65F8" w:rsidP="00B90135">
      <w:pPr>
        <w:spacing w:after="0" w:line="283" w:lineRule="atLeast"/>
        <w:jc w:val="both"/>
        <w:rPr>
          <w:rFonts w:ascii="BISans" w:eastAsia="BISans" w:hAnsi="BISans" w:cstheme="minorHAnsi"/>
          <w:sz w:val="20"/>
        </w:rPr>
      </w:pPr>
    </w:p>
    <w:p w:rsidR="007C65F8" w:rsidRPr="00B90135" w:rsidRDefault="007C65F8" w:rsidP="00B90135">
      <w:pPr>
        <w:keepNext/>
        <w:keepLines/>
        <w:spacing w:after="0" w:line="283" w:lineRule="atLeast"/>
        <w:jc w:val="both"/>
        <w:outlineLvl w:val="1"/>
        <w:rPr>
          <w:rFonts w:ascii="BISans" w:eastAsia="Times New Roman" w:hAnsi="BISans" w:cstheme="minorHAnsi"/>
          <w:b/>
          <w:bCs/>
          <w:color w:val="003366"/>
          <w:sz w:val="20"/>
          <w:szCs w:val="26"/>
        </w:rPr>
      </w:pPr>
      <w:r w:rsidRPr="00B90135">
        <w:rPr>
          <w:rFonts w:ascii="BISans" w:eastAsia="Times New Roman" w:hAnsi="BISans" w:cstheme="minorHAnsi"/>
          <w:b/>
          <w:bCs/>
          <w:color w:val="003366"/>
          <w:sz w:val="20"/>
          <w:szCs w:val="26"/>
        </w:rPr>
        <w:t>Boehringer Ingelheim</w:t>
      </w:r>
    </w:p>
    <w:p w:rsidR="007C65F8" w:rsidRPr="00B90135" w:rsidRDefault="007C65F8" w:rsidP="00B90135">
      <w:pPr>
        <w:spacing w:after="0" w:line="283" w:lineRule="atLeast"/>
        <w:jc w:val="both"/>
        <w:rPr>
          <w:rFonts w:ascii="BISans" w:eastAsia="BISans" w:hAnsi="BISans" w:cstheme="minorHAnsi"/>
          <w:sz w:val="20"/>
        </w:rPr>
      </w:pPr>
      <w:r w:rsidRPr="00B90135">
        <w:rPr>
          <w:rFonts w:ascii="BISans" w:eastAsia="BISans" w:hAnsi="BISans" w:cstheme="minorHAnsi"/>
          <w:sz w:val="20"/>
        </w:rPr>
        <w:t xml:space="preserve">Farmaci innovativi per la salute umana e animale. Questo è quello per cui opera, da oltre 130 anni, </w:t>
      </w:r>
      <w:r w:rsidR="000D7014" w:rsidRPr="00B90135">
        <w:rPr>
          <w:rFonts w:ascii="BISans" w:eastAsia="BISans" w:hAnsi="BISans" w:cstheme="minorHAnsi"/>
          <w:sz w:val="20"/>
        </w:rPr>
        <w:t>partendo dalla ricerca</w:t>
      </w:r>
      <w:r w:rsidRPr="00B90135">
        <w:rPr>
          <w:rFonts w:ascii="BISans" w:eastAsia="BISans" w:hAnsi="BISans" w:cstheme="minorHAnsi"/>
          <w:sz w:val="20"/>
        </w:rPr>
        <w:t>, Boehringer Ingelheim, una delle prime 20 aziende farmaceutiche al mondo, e tuttora un’azienda a proprietà familiare. I suoi circa 50.000 addetti</w:t>
      </w:r>
      <w:r w:rsidR="000D7014" w:rsidRPr="00B90135">
        <w:rPr>
          <w:rFonts w:ascii="BISans" w:eastAsia="BISans" w:hAnsi="BISans" w:cstheme="minorHAnsi"/>
          <w:sz w:val="20"/>
        </w:rPr>
        <w:t>,</w:t>
      </w:r>
      <w:r w:rsidRPr="00B90135">
        <w:rPr>
          <w:rFonts w:ascii="BISans" w:eastAsia="BISans" w:hAnsi="BISans" w:cstheme="minorHAnsi"/>
          <w:sz w:val="20"/>
        </w:rPr>
        <w:t xml:space="preserve"> ogni giorno creano valore attraverso l’innovazione, nelle sue tre aree di business: farmaceutici per uso umano, salute animale e produzione biofarmaceutica per clienti industriali. Con un fatturato netto di circa 15,9 miliardi di euro nel 2016, Boehringer Ingelheim ha investito in ricerca e sviluppo una somma superiore ai tre miliardi di euro e pari al 19,6 percento di tale fatturato netto.</w:t>
      </w:r>
    </w:p>
    <w:p w:rsidR="007C65F8" w:rsidRPr="00B90135" w:rsidRDefault="007C65F8" w:rsidP="00B90135">
      <w:pPr>
        <w:spacing w:after="0" w:line="283" w:lineRule="atLeast"/>
        <w:jc w:val="both"/>
        <w:rPr>
          <w:rFonts w:ascii="BISans" w:eastAsia="BISans" w:hAnsi="BISans" w:cstheme="minorHAnsi"/>
          <w:sz w:val="20"/>
        </w:rPr>
      </w:pPr>
    </w:p>
    <w:p w:rsidR="007C65F8" w:rsidRPr="00B90135" w:rsidRDefault="007C65F8" w:rsidP="00B90135">
      <w:pPr>
        <w:spacing w:after="0" w:line="283" w:lineRule="atLeast"/>
        <w:jc w:val="both"/>
        <w:rPr>
          <w:rFonts w:ascii="BISans" w:eastAsia="BISans" w:hAnsi="BISans" w:cstheme="minorHAnsi"/>
          <w:sz w:val="20"/>
        </w:rPr>
      </w:pPr>
      <w:r w:rsidRPr="00B90135">
        <w:rPr>
          <w:rFonts w:ascii="BISans" w:eastAsia="BISans" w:hAnsi="BISans" w:cstheme="minorHAnsi"/>
          <w:sz w:val="20"/>
        </w:rPr>
        <w:t xml:space="preserve">Per Boehringer Ingelheim la responsabilità sociale è </w:t>
      </w:r>
      <w:r w:rsidR="000D7014" w:rsidRPr="00B90135">
        <w:rPr>
          <w:rFonts w:ascii="BISans" w:eastAsia="BISans" w:hAnsi="BISans" w:cstheme="minorHAnsi"/>
          <w:sz w:val="20"/>
        </w:rPr>
        <w:t>un punto centrale della propria cultura</w:t>
      </w:r>
      <w:r w:rsidRPr="00B90135">
        <w:rPr>
          <w:rFonts w:ascii="BISans" w:eastAsia="BISans" w:hAnsi="BISans" w:cstheme="minorHAnsi"/>
          <w:sz w:val="20"/>
        </w:rPr>
        <w:t xml:space="preserve">, </w:t>
      </w:r>
      <w:r w:rsidR="000D7014" w:rsidRPr="00B90135">
        <w:rPr>
          <w:rFonts w:ascii="BISans" w:eastAsia="BISans" w:hAnsi="BISans" w:cstheme="minorHAnsi"/>
          <w:sz w:val="20"/>
        </w:rPr>
        <w:t xml:space="preserve">che include l’impegno in progetti </w:t>
      </w:r>
      <w:r w:rsidRPr="00B90135">
        <w:rPr>
          <w:rFonts w:ascii="BISans" w:eastAsia="BISans" w:hAnsi="BISans" w:cstheme="minorHAnsi"/>
          <w:sz w:val="20"/>
        </w:rPr>
        <w:t>come, ad esempio, l’iniziativa “</w:t>
      </w:r>
      <w:r w:rsidRPr="00B90135">
        <w:rPr>
          <w:rFonts w:ascii="BISans" w:eastAsia="BISans" w:hAnsi="BISans" w:cstheme="minorHAnsi"/>
          <w:i/>
          <w:sz w:val="20"/>
        </w:rPr>
        <w:t>Making More Health</w:t>
      </w:r>
      <w:r w:rsidRPr="00B90135">
        <w:rPr>
          <w:rFonts w:ascii="BISans" w:eastAsia="BISans" w:hAnsi="BISans" w:cstheme="minorHAnsi"/>
          <w:sz w:val="20"/>
        </w:rPr>
        <w:t xml:space="preserve">”, la valorizzazione attiva </w:t>
      </w:r>
      <w:r w:rsidR="000D7014" w:rsidRPr="00B90135">
        <w:rPr>
          <w:rFonts w:ascii="BISans" w:eastAsia="BISans" w:hAnsi="BISans" w:cstheme="minorHAnsi"/>
          <w:sz w:val="20"/>
        </w:rPr>
        <w:t xml:space="preserve">delle differenze che caratterizzano le proprie </w:t>
      </w:r>
      <w:r w:rsidRPr="00B90135">
        <w:rPr>
          <w:rFonts w:ascii="BISans" w:eastAsia="BISans" w:hAnsi="BISans" w:cstheme="minorHAnsi"/>
          <w:sz w:val="20"/>
        </w:rPr>
        <w:t>risorse umane</w:t>
      </w:r>
      <w:r w:rsidR="000D7014" w:rsidRPr="00B90135">
        <w:rPr>
          <w:rFonts w:ascii="BISans" w:eastAsia="BISans" w:hAnsi="BISans" w:cstheme="minorHAnsi"/>
          <w:sz w:val="20"/>
        </w:rPr>
        <w:t xml:space="preserve"> </w:t>
      </w:r>
      <w:r w:rsidRPr="00B90135">
        <w:rPr>
          <w:rFonts w:ascii="BISans" w:eastAsia="BISans" w:hAnsi="BISans" w:cstheme="minorHAnsi"/>
          <w:sz w:val="20"/>
        </w:rPr>
        <w:t>che</w:t>
      </w:r>
      <w:r w:rsidR="000D7014" w:rsidRPr="00B90135">
        <w:rPr>
          <w:rFonts w:ascii="BISans" w:eastAsia="BISans" w:hAnsi="BISans" w:cstheme="minorHAnsi"/>
          <w:sz w:val="20"/>
        </w:rPr>
        <w:t>,</w:t>
      </w:r>
      <w:r w:rsidRPr="00B90135">
        <w:rPr>
          <w:rFonts w:ascii="BISans" w:eastAsia="BISans" w:hAnsi="BISans" w:cstheme="minorHAnsi"/>
          <w:sz w:val="20"/>
        </w:rPr>
        <w:t xml:space="preserve"> con le rispettive di</w:t>
      </w:r>
      <w:r w:rsidR="000D7014" w:rsidRPr="00B90135">
        <w:rPr>
          <w:rFonts w:ascii="BISans" w:eastAsia="BISans" w:hAnsi="BISans" w:cstheme="minorHAnsi"/>
          <w:sz w:val="20"/>
        </w:rPr>
        <w:t>verse</w:t>
      </w:r>
      <w:r w:rsidRPr="00B90135">
        <w:rPr>
          <w:rFonts w:ascii="BISans" w:eastAsia="BISans" w:hAnsi="BISans" w:cstheme="minorHAnsi"/>
          <w:sz w:val="20"/>
        </w:rPr>
        <w:t xml:space="preserve"> competenze ed esperienze</w:t>
      </w:r>
      <w:r w:rsidR="000D7014" w:rsidRPr="00B90135">
        <w:rPr>
          <w:rFonts w:ascii="BISans" w:eastAsia="BISans" w:hAnsi="BISans" w:cstheme="minorHAnsi"/>
          <w:sz w:val="20"/>
        </w:rPr>
        <w:t>,</w:t>
      </w:r>
      <w:r w:rsidRPr="00B90135">
        <w:rPr>
          <w:rFonts w:ascii="BISans" w:eastAsia="BISans" w:hAnsi="BISans" w:cstheme="minorHAnsi"/>
          <w:sz w:val="20"/>
        </w:rPr>
        <w:t xml:space="preserve"> portano </w:t>
      </w:r>
      <w:r w:rsidR="000D7014" w:rsidRPr="00B90135">
        <w:rPr>
          <w:rFonts w:ascii="BISans" w:eastAsia="BISans" w:hAnsi="BISans" w:cstheme="minorHAnsi"/>
          <w:sz w:val="20"/>
        </w:rPr>
        <w:t>valore</w:t>
      </w:r>
      <w:r w:rsidRPr="00B90135">
        <w:rPr>
          <w:rFonts w:ascii="BISans" w:eastAsia="BISans" w:hAnsi="BISans" w:cstheme="minorHAnsi"/>
          <w:sz w:val="20"/>
        </w:rPr>
        <w:t xml:space="preserve"> all’azienda, e il suo essere sempre attenta alla sostenibilità e alla tutela dell’ambiente in ogni sua attività. </w:t>
      </w:r>
    </w:p>
    <w:p w:rsidR="007C65F8" w:rsidRPr="00B90135" w:rsidRDefault="007C65F8" w:rsidP="00B90135">
      <w:pPr>
        <w:spacing w:after="0" w:line="283" w:lineRule="atLeast"/>
        <w:jc w:val="both"/>
        <w:rPr>
          <w:rFonts w:ascii="BISans" w:eastAsia="BISans" w:hAnsi="BISans" w:cstheme="minorHAnsi"/>
          <w:sz w:val="20"/>
        </w:rPr>
      </w:pPr>
    </w:p>
    <w:p w:rsidR="007C65F8" w:rsidRPr="00B90135" w:rsidRDefault="007C65F8" w:rsidP="00B90135">
      <w:pPr>
        <w:spacing w:after="0" w:line="283" w:lineRule="atLeast"/>
        <w:jc w:val="both"/>
        <w:rPr>
          <w:rFonts w:ascii="BISans" w:eastAsia="BISans" w:hAnsi="BISans" w:cstheme="minorHAnsi"/>
          <w:sz w:val="20"/>
        </w:rPr>
      </w:pPr>
      <w:r w:rsidRPr="00B90135">
        <w:rPr>
          <w:rFonts w:ascii="BISans" w:eastAsia="BISans" w:hAnsi="BISans" w:cstheme="minorHAnsi"/>
          <w:sz w:val="20"/>
        </w:rPr>
        <w:t xml:space="preserve">Per maggior informazioni visitate il sito www.boehringer-ingelheim.com o consultate il Bilancio all’indirizzo: </w:t>
      </w:r>
      <w:hyperlink r:id="rId10" w:history="1">
        <w:r w:rsidRPr="00B90135">
          <w:rPr>
            <w:rStyle w:val="Collegamentoipertestuale"/>
            <w:rFonts w:ascii="BISans" w:eastAsia="BISans" w:hAnsi="BISans" w:cstheme="minorHAnsi"/>
            <w:sz w:val="20"/>
          </w:rPr>
          <w:t>http://annualreport.boehringer-ingelheim.com</w:t>
        </w:r>
      </w:hyperlink>
      <w:r w:rsidRPr="00B90135">
        <w:rPr>
          <w:rFonts w:ascii="BISans" w:eastAsia="BISans" w:hAnsi="BISans" w:cstheme="minorHAnsi"/>
          <w:sz w:val="20"/>
        </w:rPr>
        <w:t>.</w:t>
      </w:r>
      <w:r w:rsidR="00B90135" w:rsidRPr="00B90135">
        <w:rPr>
          <w:rFonts w:ascii="BISans" w:eastAsia="BISans" w:hAnsi="BISans" w:cstheme="minorHAnsi"/>
          <w:sz w:val="20"/>
        </w:rPr>
        <w:t xml:space="preserve"> </w:t>
      </w:r>
    </w:p>
    <w:p w:rsidR="007C65F8" w:rsidRPr="00EB34AE" w:rsidRDefault="007C65F8" w:rsidP="00EB34AE">
      <w:pPr>
        <w:keepNext/>
        <w:keepLines/>
        <w:spacing w:after="0" w:line="283" w:lineRule="atLeast"/>
        <w:jc w:val="both"/>
        <w:outlineLvl w:val="1"/>
        <w:rPr>
          <w:rFonts w:ascii="BISans" w:eastAsia="Times New Roman" w:hAnsi="BISans" w:cstheme="minorHAnsi"/>
          <w:b/>
          <w:bCs/>
          <w:color w:val="003366"/>
          <w:sz w:val="18"/>
          <w:szCs w:val="26"/>
        </w:rPr>
      </w:pPr>
      <w:r w:rsidRPr="00EB34AE">
        <w:rPr>
          <w:rFonts w:ascii="BISans" w:eastAsia="Times New Roman" w:hAnsi="BISans" w:cstheme="minorHAnsi"/>
          <w:b/>
          <w:bCs/>
          <w:color w:val="003366"/>
          <w:sz w:val="18"/>
          <w:szCs w:val="26"/>
        </w:rPr>
        <w:lastRenderedPageBreak/>
        <w:t>Bibliografia</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lang w:val="en-GB"/>
        </w:rPr>
        <w:t xml:space="preserve">Flaherty, K., </w:t>
      </w:r>
      <w:r w:rsidRPr="00B90135">
        <w:rPr>
          <w:rFonts w:ascii="BISans" w:eastAsia="BISans" w:hAnsi="BISans" w:cstheme="minorHAnsi"/>
          <w:i/>
          <w:sz w:val="18"/>
          <w:szCs w:val="18"/>
          <w:lang w:val="en-GB"/>
        </w:rPr>
        <w:t>et al</w:t>
      </w:r>
      <w:r w:rsidRPr="00B90135">
        <w:rPr>
          <w:rFonts w:ascii="BISans" w:eastAsia="BISans" w:hAnsi="BISans" w:cstheme="minorHAnsi"/>
          <w:sz w:val="18"/>
          <w:szCs w:val="18"/>
          <w:lang w:val="en-GB"/>
        </w:rPr>
        <w:t xml:space="preserve">. Accepted ATS abstract: Improvement in forced vital capacity (FVC) with nintedanib in patients with idiopathic pulmonary fibrosis (IPF): results from the INPULSIS trials. </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t>Crestani</w:t>
      </w:r>
      <w:proofErr w:type="spellEnd"/>
      <w:r w:rsidRPr="00B90135">
        <w:rPr>
          <w:rFonts w:ascii="BISans" w:eastAsia="BISans" w:hAnsi="BISans" w:cstheme="minorHAnsi"/>
          <w:sz w:val="18"/>
          <w:szCs w:val="18"/>
          <w:lang w:val="en-GB"/>
        </w:rPr>
        <w:t xml:space="preserve">, B., </w:t>
      </w:r>
      <w:r w:rsidRPr="00B90135">
        <w:rPr>
          <w:rFonts w:ascii="BISans" w:eastAsia="BISans" w:hAnsi="BISans" w:cstheme="minorHAnsi"/>
          <w:i/>
          <w:sz w:val="18"/>
          <w:szCs w:val="18"/>
          <w:lang w:val="en-GB"/>
        </w:rPr>
        <w:t>et al</w:t>
      </w:r>
      <w:r w:rsidRPr="00B90135">
        <w:rPr>
          <w:rFonts w:ascii="BISans" w:eastAsia="BISans" w:hAnsi="BISans" w:cstheme="minorHAnsi"/>
          <w:sz w:val="18"/>
          <w:szCs w:val="18"/>
          <w:lang w:val="en-GB"/>
        </w:rPr>
        <w:t>. Accepted ATS abstract: Long-term efficacy of nintedanib is maintained in patients with idiopathic pulmonary fibrosis (IPF) irrespective of dose: subgroup analysis of INPULSIS-ON.</w:t>
      </w:r>
    </w:p>
    <w:p w:rsidR="007C65F8" w:rsidRPr="00B90135" w:rsidRDefault="007C65F8" w:rsidP="00B90135">
      <w:pPr>
        <w:keepNext/>
        <w:keepLines/>
        <w:widowControl w:val="0"/>
        <w:numPr>
          <w:ilvl w:val="0"/>
          <w:numId w:val="11"/>
        </w:numPr>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t>Noth</w:t>
      </w:r>
      <w:proofErr w:type="spellEnd"/>
      <w:r w:rsidRPr="00B90135">
        <w:rPr>
          <w:rFonts w:ascii="BISans" w:eastAsia="BISans" w:hAnsi="BISans" w:cstheme="minorHAnsi"/>
          <w:sz w:val="18"/>
          <w:szCs w:val="18"/>
          <w:lang w:val="en-GB"/>
        </w:rPr>
        <w:t xml:space="preserve">, I., </w:t>
      </w:r>
      <w:r w:rsidRPr="00B90135">
        <w:rPr>
          <w:rFonts w:ascii="BISans" w:eastAsia="BISans" w:hAnsi="BISans" w:cstheme="minorHAnsi"/>
          <w:i/>
          <w:sz w:val="18"/>
          <w:szCs w:val="18"/>
          <w:lang w:val="en-GB"/>
        </w:rPr>
        <w:t>et al</w:t>
      </w:r>
      <w:r w:rsidRPr="00B90135">
        <w:rPr>
          <w:rFonts w:ascii="BISans" w:eastAsia="BISans" w:hAnsi="BISans" w:cstheme="minorHAnsi"/>
          <w:sz w:val="18"/>
          <w:szCs w:val="18"/>
          <w:lang w:val="en-GB"/>
        </w:rPr>
        <w:t>. Accepted ATS abstract: Cardiovascular safety of nintedanib in subgroups by cardiovascular risk at baseline in the TOMORROW and INPULSIS trials.</w:t>
      </w:r>
    </w:p>
    <w:p w:rsidR="007C65F8" w:rsidRPr="00B90135" w:rsidRDefault="007C65F8" w:rsidP="00B90135">
      <w:pPr>
        <w:keepNext/>
        <w:keepLines/>
        <w:widowControl w:val="0"/>
        <w:numPr>
          <w:ilvl w:val="0"/>
          <w:numId w:val="11"/>
        </w:numPr>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lang w:val="en-GB"/>
        </w:rPr>
        <w:t xml:space="preserve">Raghu G, Collard H, </w:t>
      </w:r>
      <w:r w:rsidRPr="00B90135">
        <w:rPr>
          <w:rFonts w:ascii="BISans" w:eastAsia="BISans" w:hAnsi="BISans" w:cstheme="minorHAnsi"/>
          <w:i/>
          <w:sz w:val="18"/>
          <w:szCs w:val="18"/>
          <w:lang w:val="en-GB"/>
        </w:rPr>
        <w:t>et al</w:t>
      </w:r>
      <w:r w:rsidRPr="00B90135">
        <w:rPr>
          <w:rFonts w:ascii="BISans" w:eastAsia="BISans" w:hAnsi="BISans" w:cstheme="minorHAnsi"/>
          <w:sz w:val="18"/>
          <w:szCs w:val="18"/>
          <w:lang w:val="en-GB"/>
        </w:rPr>
        <w:t xml:space="preserve">. An Official ATS/ERS/JRS/ALAT Statement: Idiopathic Pulmonary Fibrosis: Evidence-based Guidelines for Diagnosis and Management. </w:t>
      </w:r>
      <w:r w:rsidRPr="00B90135">
        <w:rPr>
          <w:rFonts w:ascii="BISans" w:eastAsia="BISans" w:hAnsi="BISans" w:cstheme="minorHAnsi"/>
          <w:i/>
          <w:sz w:val="18"/>
          <w:szCs w:val="18"/>
          <w:lang w:val="en-GB"/>
        </w:rPr>
        <w:t>American Journal of Respiratory and Critical Care Medicine</w:t>
      </w:r>
      <w:r w:rsidRPr="00B90135">
        <w:rPr>
          <w:rFonts w:ascii="BISans" w:eastAsia="BISans" w:hAnsi="BISans" w:cstheme="minorHAnsi"/>
          <w:sz w:val="18"/>
          <w:szCs w:val="18"/>
          <w:lang w:val="en-GB"/>
        </w:rPr>
        <w:t>. 2011; 183: 788–824, 2011.</w:t>
      </w:r>
    </w:p>
    <w:p w:rsidR="007C65F8" w:rsidRPr="00B90135" w:rsidRDefault="007C65F8" w:rsidP="00B90135">
      <w:pPr>
        <w:keepNext/>
        <w:keepLines/>
        <w:widowControl w:val="0"/>
        <w:numPr>
          <w:ilvl w:val="0"/>
          <w:numId w:val="11"/>
        </w:numPr>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lang w:val="en-GB"/>
        </w:rPr>
        <w:t xml:space="preserve">Raghu, G. </w:t>
      </w:r>
      <w:proofErr w:type="gramStart"/>
      <w:r w:rsidRPr="00B90135">
        <w:rPr>
          <w:rFonts w:ascii="BISans" w:eastAsia="BISans" w:hAnsi="BISans" w:cstheme="minorHAnsi"/>
          <w:sz w:val="18"/>
          <w:szCs w:val="18"/>
          <w:lang w:val="en-GB"/>
        </w:rPr>
        <w:t>Incidence</w:t>
      </w:r>
      <w:proofErr w:type="gramEnd"/>
      <w:r w:rsidRPr="00B90135">
        <w:rPr>
          <w:rFonts w:ascii="BISans" w:eastAsia="BISans" w:hAnsi="BISans" w:cstheme="minorHAnsi"/>
          <w:sz w:val="18"/>
          <w:szCs w:val="18"/>
          <w:lang w:val="en-GB"/>
        </w:rPr>
        <w:t xml:space="preserve"> and Prevalence of Idiopathic Pulmonary Fibrosis. </w:t>
      </w:r>
      <w:r w:rsidRPr="00B90135">
        <w:rPr>
          <w:rFonts w:ascii="BISans" w:eastAsia="BISans" w:hAnsi="BISans" w:cstheme="minorHAnsi"/>
          <w:i/>
          <w:sz w:val="18"/>
          <w:szCs w:val="18"/>
          <w:lang w:val="en-GB"/>
        </w:rPr>
        <w:t>American Journal of Respiratory and Critical Care Medicine</w:t>
      </w:r>
      <w:r w:rsidRPr="00B90135">
        <w:rPr>
          <w:rFonts w:ascii="BISans" w:eastAsia="BISans" w:hAnsi="BISans" w:cstheme="minorHAnsi"/>
          <w:sz w:val="18"/>
          <w:szCs w:val="18"/>
          <w:lang w:val="en-GB"/>
        </w:rPr>
        <w:t xml:space="preserve">, Vol. 174, No. 7 (2006), pp. 810-816. </w:t>
      </w:r>
      <w:proofErr w:type="spellStart"/>
      <w:r w:rsidRPr="00B90135">
        <w:rPr>
          <w:rFonts w:ascii="BISans" w:eastAsia="BISans" w:hAnsi="BISans" w:cstheme="minorHAnsi"/>
          <w:sz w:val="18"/>
          <w:szCs w:val="18"/>
          <w:lang w:val="en-GB"/>
        </w:rPr>
        <w:t>doi</w:t>
      </w:r>
      <w:proofErr w:type="spellEnd"/>
      <w:r w:rsidRPr="00B90135">
        <w:rPr>
          <w:rFonts w:ascii="BISans" w:eastAsia="BISans" w:hAnsi="BISans" w:cstheme="minorHAnsi"/>
          <w:sz w:val="18"/>
          <w:szCs w:val="18"/>
          <w:lang w:val="en-GB"/>
        </w:rPr>
        <w:t>: 10.1164/rccm.200602-163OC.</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rPr>
        <w:t xml:space="preserve">de </w:t>
      </w:r>
      <w:proofErr w:type="spellStart"/>
      <w:r w:rsidRPr="00B90135">
        <w:rPr>
          <w:rFonts w:ascii="BISans" w:eastAsia="BISans" w:hAnsi="BISans" w:cstheme="minorHAnsi"/>
          <w:sz w:val="18"/>
          <w:szCs w:val="18"/>
        </w:rPr>
        <w:t>Andrade</w:t>
      </w:r>
      <w:proofErr w:type="spellEnd"/>
      <w:r w:rsidRPr="00B90135">
        <w:rPr>
          <w:rFonts w:ascii="BISans" w:eastAsia="BISans" w:hAnsi="BISans" w:cstheme="minorHAnsi"/>
          <w:sz w:val="18"/>
          <w:szCs w:val="18"/>
        </w:rPr>
        <w:t xml:space="preserve">, J., </w:t>
      </w:r>
      <w:r w:rsidRPr="00B90135">
        <w:rPr>
          <w:rFonts w:ascii="BISans" w:eastAsia="BISans" w:hAnsi="BISans" w:cstheme="minorHAnsi"/>
          <w:i/>
          <w:sz w:val="18"/>
          <w:szCs w:val="18"/>
        </w:rPr>
        <w:t>et al</w:t>
      </w:r>
      <w:r w:rsidRPr="00B90135">
        <w:rPr>
          <w:rFonts w:ascii="BISans" w:eastAsia="BISans" w:hAnsi="BISans" w:cstheme="minorHAnsi"/>
          <w:sz w:val="18"/>
          <w:szCs w:val="18"/>
        </w:rPr>
        <w:t xml:space="preserve">. </w:t>
      </w:r>
      <w:r w:rsidRPr="00B90135">
        <w:rPr>
          <w:rFonts w:ascii="BISans" w:eastAsia="BISans" w:hAnsi="BISans" w:cstheme="minorHAnsi"/>
          <w:sz w:val="18"/>
          <w:szCs w:val="18"/>
          <w:lang w:val="en-GB"/>
        </w:rPr>
        <w:t>Accepted ATS abstract: Clinical characteristics of patients with advanced idiopathic pulmonary fibrosis</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lang w:val="en-GB"/>
        </w:rPr>
        <w:t xml:space="preserve">Nalysnyk L., et al. Incidence and prevalence of idiopathic pulmonary fibrosis: review of the literature. </w:t>
      </w:r>
      <w:proofErr w:type="spellStart"/>
      <w:r w:rsidRPr="00B90135">
        <w:rPr>
          <w:rFonts w:ascii="BISans" w:eastAsia="BISans" w:hAnsi="BISans" w:cstheme="minorHAnsi"/>
          <w:sz w:val="18"/>
          <w:szCs w:val="18"/>
          <w:lang w:val="en-GB"/>
        </w:rPr>
        <w:t>Eur</w:t>
      </w:r>
      <w:proofErr w:type="spellEnd"/>
      <w:r w:rsidRPr="00B90135">
        <w:rPr>
          <w:rFonts w:ascii="BISans" w:eastAsia="BISans" w:hAnsi="BISans" w:cstheme="minorHAnsi"/>
          <w:sz w:val="18"/>
          <w:szCs w:val="18"/>
          <w:lang w:val="en-GB"/>
        </w:rPr>
        <w:t xml:space="preserve"> </w:t>
      </w:r>
      <w:proofErr w:type="spellStart"/>
      <w:r w:rsidRPr="00B90135">
        <w:rPr>
          <w:rFonts w:ascii="BISans" w:eastAsia="BISans" w:hAnsi="BISans" w:cstheme="minorHAnsi"/>
          <w:sz w:val="18"/>
          <w:szCs w:val="18"/>
          <w:lang w:val="en-GB"/>
        </w:rPr>
        <w:t>Respir</w:t>
      </w:r>
      <w:proofErr w:type="spellEnd"/>
      <w:r w:rsidRPr="00B90135">
        <w:rPr>
          <w:rFonts w:ascii="BISans" w:eastAsia="BISans" w:hAnsi="BISans" w:cstheme="minorHAnsi"/>
          <w:sz w:val="18"/>
          <w:szCs w:val="18"/>
          <w:lang w:val="en-GB"/>
        </w:rPr>
        <w:t xml:space="preserve"> Rev. 2012;21(126):355-361</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lang w:val="en-GB"/>
        </w:rPr>
        <w:t>Data on file. Boehringer Ingelheim. DOF</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lang w:val="en-GB"/>
        </w:rPr>
        <w:t xml:space="preserve">Ley B., et al. Clinical </w:t>
      </w:r>
      <w:proofErr w:type="gramStart"/>
      <w:r w:rsidRPr="00B90135">
        <w:rPr>
          <w:rFonts w:ascii="BISans" w:eastAsia="BISans" w:hAnsi="BISans" w:cstheme="minorHAnsi"/>
          <w:sz w:val="18"/>
          <w:szCs w:val="18"/>
          <w:lang w:val="en-GB"/>
        </w:rPr>
        <w:t>course</w:t>
      </w:r>
      <w:proofErr w:type="gramEnd"/>
      <w:r w:rsidRPr="00B90135">
        <w:rPr>
          <w:rFonts w:ascii="BISans" w:eastAsia="BISans" w:hAnsi="BISans" w:cstheme="minorHAnsi"/>
          <w:sz w:val="18"/>
          <w:szCs w:val="18"/>
          <w:lang w:val="en-GB"/>
        </w:rPr>
        <w:t xml:space="preserve"> and prediction of survival in idiopathic pulmonary fibrosis. Am J </w:t>
      </w:r>
      <w:proofErr w:type="spellStart"/>
      <w:r w:rsidRPr="00B90135">
        <w:rPr>
          <w:rFonts w:ascii="BISans" w:eastAsia="BISans" w:hAnsi="BISans" w:cstheme="minorHAnsi"/>
          <w:sz w:val="18"/>
          <w:szCs w:val="18"/>
          <w:lang w:val="en-GB"/>
        </w:rPr>
        <w:t>Respir</w:t>
      </w:r>
      <w:proofErr w:type="spellEnd"/>
      <w:r w:rsidRPr="00B90135">
        <w:rPr>
          <w:rFonts w:ascii="BISans" w:eastAsia="BISans" w:hAnsi="BISans" w:cstheme="minorHAnsi"/>
          <w:sz w:val="18"/>
          <w:szCs w:val="18"/>
          <w:lang w:val="en-GB"/>
        </w:rPr>
        <w:t xml:space="preserve"> </w:t>
      </w:r>
      <w:proofErr w:type="spellStart"/>
      <w:r w:rsidRPr="00B90135">
        <w:rPr>
          <w:rFonts w:ascii="BISans" w:eastAsia="BISans" w:hAnsi="BISans" w:cstheme="minorHAnsi"/>
          <w:sz w:val="18"/>
          <w:szCs w:val="18"/>
          <w:lang w:val="en-GB"/>
        </w:rPr>
        <w:t>Crit</w:t>
      </w:r>
      <w:proofErr w:type="spellEnd"/>
      <w:r w:rsidRPr="00B90135">
        <w:rPr>
          <w:rFonts w:ascii="BISans" w:eastAsia="BISans" w:hAnsi="BISans" w:cstheme="minorHAnsi"/>
          <w:sz w:val="18"/>
          <w:szCs w:val="18"/>
          <w:lang w:val="en-GB"/>
        </w:rPr>
        <w:t xml:space="preserve"> Care Med. 2011 Feb 15;183(4):431-40. </w:t>
      </w:r>
      <w:proofErr w:type="spellStart"/>
      <w:r w:rsidRPr="00B90135">
        <w:rPr>
          <w:rFonts w:ascii="BISans" w:eastAsia="BISans" w:hAnsi="BISans" w:cstheme="minorHAnsi"/>
          <w:sz w:val="18"/>
          <w:szCs w:val="18"/>
          <w:lang w:val="en-GB"/>
        </w:rPr>
        <w:t>doi</w:t>
      </w:r>
      <w:proofErr w:type="spellEnd"/>
      <w:r w:rsidRPr="00B90135">
        <w:rPr>
          <w:rFonts w:ascii="BISans" w:eastAsia="BISans" w:hAnsi="BISans" w:cstheme="minorHAnsi"/>
          <w:sz w:val="18"/>
          <w:szCs w:val="18"/>
          <w:lang w:val="en-GB"/>
        </w:rPr>
        <w:t xml:space="preserve">: 10.1164/rccm.201006-0894CI. </w:t>
      </w:r>
      <w:proofErr w:type="spellStart"/>
      <w:r w:rsidRPr="00B90135">
        <w:rPr>
          <w:rFonts w:ascii="BISans" w:eastAsia="BISans" w:hAnsi="BISans" w:cstheme="minorHAnsi"/>
          <w:sz w:val="18"/>
          <w:szCs w:val="18"/>
          <w:lang w:val="en-GB"/>
        </w:rPr>
        <w:t>Epub</w:t>
      </w:r>
      <w:proofErr w:type="spellEnd"/>
      <w:r w:rsidRPr="00B90135">
        <w:rPr>
          <w:rFonts w:ascii="BISans" w:eastAsia="BISans" w:hAnsi="BISans" w:cstheme="minorHAnsi"/>
          <w:sz w:val="18"/>
          <w:szCs w:val="18"/>
          <w:lang w:val="en-GB"/>
        </w:rPr>
        <w:t xml:space="preserve"> 2010 Oct 8.</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r w:rsidRPr="00B90135">
        <w:rPr>
          <w:rFonts w:ascii="BISans" w:eastAsia="BISans" w:hAnsi="BISans" w:cstheme="minorHAnsi"/>
          <w:sz w:val="18"/>
          <w:szCs w:val="18"/>
          <w:lang w:val="en-GB"/>
        </w:rPr>
        <w:t>OFEV® Summary of Product Characteristics. Boehringer Ingelheim International GmbH. January 2017</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t>Richeldi</w:t>
      </w:r>
      <w:proofErr w:type="spellEnd"/>
      <w:r w:rsidRPr="00B90135">
        <w:rPr>
          <w:rFonts w:ascii="BISans" w:eastAsia="BISans" w:hAnsi="BISans" w:cstheme="minorHAnsi"/>
          <w:sz w:val="18"/>
          <w:szCs w:val="18"/>
          <w:lang w:val="en-GB"/>
        </w:rPr>
        <w:t xml:space="preserve"> L, et al. Design of the INPULSIS® Trials: Two phase 3 trials of nintedanib in patients with idiopathic pulmonary fibrosis. </w:t>
      </w:r>
      <w:proofErr w:type="spellStart"/>
      <w:r w:rsidRPr="00B90135">
        <w:rPr>
          <w:rFonts w:ascii="BISans" w:eastAsia="BISans" w:hAnsi="BISans" w:cstheme="minorHAnsi"/>
          <w:sz w:val="18"/>
          <w:szCs w:val="18"/>
          <w:lang w:val="en-GB"/>
        </w:rPr>
        <w:t>Respir</w:t>
      </w:r>
      <w:proofErr w:type="spellEnd"/>
      <w:r w:rsidRPr="00B90135">
        <w:rPr>
          <w:rFonts w:ascii="BISans" w:eastAsia="BISans" w:hAnsi="BISans" w:cstheme="minorHAnsi"/>
          <w:sz w:val="18"/>
          <w:szCs w:val="18"/>
          <w:lang w:val="en-GB"/>
        </w:rPr>
        <w:t xml:space="preserve"> Med. </w:t>
      </w:r>
      <w:proofErr w:type="gramStart"/>
      <w:r w:rsidRPr="00B90135">
        <w:rPr>
          <w:rFonts w:ascii="BISans" w:eastAsia="BISans" w:hAnsi="BISans" w:cstheme="minorHAnsi"/>
          <w:sz w:val="18"/>
          <w:szCs w:val="18"/>
          <w:lang w:val="en-GB"/>
        </w:rPr>
        <w:t>2014;108:1023</w:t>
      </w:r>
      <w:proofErr w:type="gramEnd"/>
      <w:r w:rsidRPr="00B90135">
        <w:rPr>
          <w:rFonts w:ascii="BISans" w:eastAsia="BISans" w:hAnsi="BISans" w:cstheme="minorHAnsi"/>
          <w:sz w:val="18"/>
          <w:szCs w:val="18"/>
          <w:lang w:val="en-GB"/>
        </w:rPr>
        <w:t>-30</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t>Richeldi</w:t>
      </w:r>
      <w:proofErr w:type="spellEnd"/>
      <w:r w:rsidRPr="00B90135">
        <w:rPr>
          <w:rFonts w:ascii="BISans" w:eastAsia="BISans" w:hAnsi="BISans" w:cstheme="minorHAnsi"/>
          <w:sz w:val="18"/>
          <w:szCs w:val="18"/>
          <w:lang w:val="en-GB"/>
        </w:rPr>
        <w:t xml:space="preserve"> L, et al. Efficacy of a tyrosine kinase inhibitor in idiopathic pulmonary fibrosis. N </w:t>
      </w:r>
      <w:proofErr w:type="spellStart"/>
      <w:r w:rsidRPr="00B90135">
        <w:rPr>
          <w:rFonts w:ascii="BISans" w:eastAsia="BISans" w:hAnsi="BISans" w:cstheme="minorHAnsi"/>
          <w:sz w:val="18"/>
          <w:szCs w:val="18"/>
          <w:lang w:val="en-GB"/>
        </w:rPr>
        <w:t>Engl</w:t>
      </w:r>
      <w:proofErr w:type="spellEnd"/>
      <w:r w:rsidRPr="00B90135">
        <w:rPr>
          <w:rFonts w:ascii="BISans" w:eastAsia="BISans" w:hAnsi="BISans" w:cstheme="minorHAnsi"/>
          <w:sz w:val="18"/>
          <w:szCs w:val="18"/>
          <w:lang w:val="en-GB"/>
        </w:rPr>
        <w:t xml:space="preserve"> J Med. </w:t>
      </w:r>
      <w:proofErr w:type="gramStart"/>
      <w:r w:rsidRPr="00B90135">
        <w:rPr>
          <w:rFonts w:ascii="BISans" w:eastAsia="BISans" w:hAnsi="BISans" w:cstheme="minorHAnsi"/>
          <w:sz w:val="18"/>
          <w:szCs w:val="18"/>
          <w:lang w:val="en-GB"/>
        </w:rPr>
        <w:t>2011;365:1079</w:t>
      </w:r>
      <w:proofErr w:type="gramEnd"/>
      <w:r w:rsidRPr="00B90135">
        <w:rPr>
          <w:rFonts w:ascii="BISans" w:eastAsia="BISans" w:hAnsi="BISans" w:cstheme="minorHAnsi"/>
          <w:sz w:val="18"/>
          <w:szCs w:val="18"/>
          <w:lang w:val="en-GB"/>
        </w:rPr>
        <w:t>-1087</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t>Richeldi</w:t>
      </w:r>
      <w:proofErr w:type="spellEnd"/>
      <w:r w:rsidRPr="00B90135">
        <w:rPr>
          <w:rFonts w:ascii="BISans" w:eastAsia="BISans" w:hAnsi="BISans" w:cstheme="minorHAnsi"/>
          <w:sz w:val="18"/>
          <w:szCs w:val="18"/>
          <w:lang w:val="en-GB"/>
        </w:rPr>
        <w:t xml:space="preserve"> L, et al. Nintedanib in patients with idiopathic pulmonary fibrosis: Combined evidence from the TOMORROW and INPULSIS® trials. </w:t>
      </w:r>
      <w:proofErr w:type="spellStart"/>
      <w:r w:rsidRPr="00B90135">
        <w:rPr>
          <w:rFonts w:ascii="BISans" w:eastAsia="BISans" w:hAnsi="BISans" w:cstheme="minorHAnsi"/>
          <w:sz w:val="18"/>
          <w:szCs w:val="18"/>
          <w:lang w:val="en-GB"/>
        </w:rPr>
        <w:t>Respir</w:t>
      </w:r>
      <w:proofErr w:type="spellEnd"/>
      <w:r w:rsidRPr="00B90135">
        <w:rPr>
          <w:rFonts w:ascii="BISans" w:eastAsia="BISans" w:hAnsi="BISans" w:cstheme="minorHAnsi"/>
          <w:sz w:val="18"/>
          <w:szCs w:val="18"/>
          <w:lang w:val="en-GB"/>
        </w:rPr>
        <w:t xml:space="preserve"> Med. </w:t>
      </w:r>
      <w:proofErr w:type="gramStart"/>
      <w:r w:rsidRPr="00B90135">
        <w:rPr>
          <w:rFonts w:ascii="BISans" w:eastAsia="BISans" w:hAnsi="BISans" w:cstheme="minorHAnsi"/>
          <w:sz w:val="18"/>
          <w:szCs w:val="18"/>
          <w:lang w:val="en-GB"/>
        </w:rPr>
        <w:t>2016;113:74</w:t>
      </w:r>
      <w:proofErr w:type="gramEnd"/>
      <w:r w:rsidRPr="00B90135">
        <w:rPr>
          <w:rFonts w:ascii="BISans" w:eastAsia="BISans" w:hAnsi="BISans" w:cstheme="minorHAnsi"/>
          <w:sz w:val="18"/>
          <w:szCs w:val="18"/>
          <w:lang w:val="en-GB"/>
        </w:rPr>
        <w:t>–79</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t>Hilberg</w:t>
      </w:r>
      <w:proofErr w:type="spellEnd"/>
      <w:r w:rsidRPr="00B90135">
        <w:rPr>
          <w:rFonts w:ascii="BISans" w:eastAsia="BISans" w:hAnsi="BISans" w:cstheme="minorHAnsi"/>
          <w:sz w:val="18"/>
          <w:szCs w:val="18"/>
          <w:lang w:val="en-GB"/>
        </w:rPr>
        <w:t xml:space="preserve"> F, et al. BIBF 1120: Triple Angiokinase Inhibitor with Sustained Receptor Blockade and Good Antitumor Efficacy. Cancer Res </w:t>
      </w:r>
      <w:proofErr w:type="gramStart"/>
      <w:r w:rsidRPr="00B90135">
        <w:rPr>
          <w:rFonts w:ascii="BISans" w:eastAsia="BISans" w:hAnsi="BISans" w:cstheme="minorHAnsi"/>
          <w:sz w:val="18"/>
          <w:szCs w:val="18"/>
          <w:lang w:val="en-GB"/>
        </w:rPr>
        <w:t>2008;68:4774</w:t>
      </w:r>
      <w:proofErr w:type="gramEnd"/>
      <w:r w:rsidRPr="00B90135">
        <w:rPr>
          <w:rFonts w:ascii="BISans" w:eastAsia="BISans" w:hAnsi="BISans" w:cstheme="minorHAnsi"/>
          <w:sz w:val="18"/>
          <w:szCs w:val="18"/>
          <w:lang w:val="en-GB"/>
        </w:rPr>
        <w:t>-4782</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t>Wollin</w:t>
      </w:r>
      <w:proofErr w:type="spellEnd"/>
      <w:r w:rsidRPr="00B90135">
        <w:rPr>
          <w:rFonts w:ascii="BISans" w:eastAsia="BISans" w:hAnsi="BISans" w:cstheme="minorHAnsi"/>
          <w:sz w:val="18"/>
          <w:szCs w:val="18"/>
          <w:lang w:val="en-GB"/>
        </w:rPr>
        <w:t xml:space="preserve"> L, et al. Antifibrotic and Anti-inflammatory Activity of the Tyrosine Kinase Inhibitor Nintedanib in Experimental Models of Lung Fibrosis. J </w:t>
      </w:r>
      <w:proofErr w:type="spellStart"/>
      <w:r w:rsidRPr="00B90135">
        <w:rPr>
          <w:rFonts w:ascii="BISans" w:eastAsia="BISans" w:hAnsi="BISans" w:cstheme="minorHAnsi"/>
          <w:sz w:val="18"/>
          <w:szCs w:val="18"/>
          <w:lang w:val="en-GB"/>
        </w:rPr>
        <w:t>Pharmacol</w:t>
      </w:r>
      <w:proofErr w:type="spellEnd"/>
      <w:r w:rsidRPr="00B90135">
        <w:rPr>
          <w:rFonts w:ascii="BISans" w:eastAsia="BISans" w:hAnsi="BISans" w:cstheme="minorHAnsi"/>
          <w:sz w:val="18"/>
          <w:szCs w:val="18"/>
          <w:lang w:val="en-GB"/>
        </w:rPr>
        <w:t xml:space="preserve"> </w:t>
      </w:r>
      <w:proofErr w:type="spellStart"/>
      <w:r w:rsidRPr="00B90135">
        <w:rPr>
          <w:rFonts w:ascii="BISans" w:eastAsia="BISans" w:hAnsi="BISans" w:cstheme="minorHAnsi"/>
          <w:sz w:val="18"/>
          <w:szCs w:val="18"/>
          <w:lang w:val="en-GB"/>
        </w:rPr>
        <w:t>Exp</w:t>
      </w:r>
      <w:proofErr w:type="spellEnd"/>
      <w:r w:rsidRPr="00B90135">
        <w:rPr>
          <w:rFonts w:ascii="BISans" w:eastAsia="BISans" w:hAnsi="BISans" w:cstheme="minorHAnsi"/>
          <w:sz w:val="18"/>
          <w:szCs w:val="18"/>
          <w:lang w:val="en-GB"/>
        </w:rPr>
        <w:t xml:space="preserve"> </w:t>
      </w:r>
      <w:proofErr w:type="spellStart"/>
      <w:r w:rsidRPr="00B90135">
        <w:rPr>
          <w:rFonts w:ascii="BISans" w:eastAsia="BISans" w:hAnsi="BISans" w:cstheme="minorHAnsi"/>
          <w:sz w:val="18"/>
          <w:szCs w:val="18"/>
          <w:lang w:val="en-GB"/>
        </w:rPr>
        <w:t>Ther</w:t>
      </w:r>
      <w:proofErr w:type="spellEnd"/>
      <w:r w:rsidRPr="00B90135">
        <w:rPr>
          <w:rFonts w:ascii="BISans" w:eastAsia="BISans" w:hAnsi="BISans" w:cstheme="minorHAnsi"/>
          <w:sz w:val="18"/>
          <w:szCs w:val="18"/>
          <w:lang w:val="en-GB"/>
        </w:rPr>
        <w:t xml:space="preserve"> </w:t>
      </w:r>
      <w:proofErr w:type="gramStart"/>
      <w:r w:rsidRPr="00B90135">
        <w:rPr>
          <w:rFonts w:ascii="BISans" w:eastAsia="BISans" w:hAnsi="BISans" w:cstheme="minorHAnsi"/>
          <w:sz w:val="18"/>
          <w:szCs w:val="18"/>
          <w:lang w:val="en-GB"/>
        </w:rPr>
        <w:t>2014;349:209</w:t>
      </w:r>
      <w:proofErr w:type="gramEnd"/>
      <w:r w:rsidRPr="00B90135">
        <w:rPr>
          <w:rFonts w:ascii="BISans" w:eastAsia="BISans" w:hAnsi="BISans" w:cstheme="minorHAnsi"/>
          <w:sz w:val="18"/>
          <w:szCs w:val="18"/>
          <w:lang w:val="en-GB"/>
        </w:rPr>
        <w:t>–220</w:t>
      </w:r>
    </w:p>
    <w:p w:rsidR="007C65F8" w:rsidRPr="00B90135" w:rsidRDefault="007C65F8" w:rsidP="00B90135">
      <w:pPr>
        <w:keepNext/>
        <w:keepLines/>
        <w:widowControl w:val="0"/>
        <w:numPr>
          <w:ilvl w:val="0"/>
          <w:numId w:val="11"/>
        </w:numPr>
        <w:tabs>
          <w:tab w:val="left" w:pos="2552"/>
        </w:tabs>
        <w:spacing w:after="0" w:line="283" w:lineRule="atLeast"/>
        <w:contextualSpacing/>
        <w:jc w:val="both"/>
        <w:rPr>
          <w:rFonts w:ascii="BISans" w:eastAsia="BISans" w:hAnsi="BISans" w:cstheme="minorHAnsi"/>
          <w:sz w:val="18"/>
          <w:szCs w:val="18"/>
          <w:lang w:val="en-GB"/>
        </w:rPr>
      </w:pPr>
      <w:proofErr w:type="spellStart"/>
      <w:r w:rsidRPr="00B90135">
        <w:rPr>
          <w:rFonts w:ascii="BISans" w:eastAsia="BISans" w:hAnsi="BISans" w:cstheme="minorHAnsi"/>
          <w:sz w:val="18"/>
          <w:szCs w:val="18"/>
          <w:lang w:val="en-GB"/>
        </w:rPr>
        <w:lastRenderedPageBreak/>
        <w:t>Wollin</w:t>
      </w:r>
      <w:proofErr w:type="spellEnd"/>
      <w:r w:rsidRPr="00B90135">
        <w:rPr>
          <w:rFonts w:ascii="BISans" w:eastAsia="BISans" w:hAnsi="BISans" w:cstheme="minorHAnsi"/>
          <w:sz w:val="18"/>
          <w:szCs w:val="18"/>
          <w:lang w:val="en-GB"/>
        </w:rPr>
        <w:t xml:space="preserve"> L, et al. Mode of action of nintedanib in the treatment of idiopathic pulmonary fibrosis. </w:t>
      </w:r>
      <w:proofErr w:type="spellStart"/>
      <w:r w:rsidRPr="00B90135">
        <w:rPr>
          <w:rFonts w:ascii="BISans" w:eastAsia="BISans" w:hAnsi="BISans" w:cstheme="minorHAnsi"/>
          <w:sz w:val="18"/>
          <w:szCs w:val="18"/>
          <w:lang w:val="en-GB"/>
        </w:rPr>
        <w:t>Eur</w:t>
      </w:r>
      <w:proofErr w:type="spellEnd"/>
      <w:r w:rsidRPr="00B90135">
        <w:rPr>
          <w:rFonts w:ascii="BISans" w:eastAsia="BISans" w:hAnsi="BISans" w:cstheme="minorHAnsi"/>
          <w:sz w:val="18"/>
          <w:szCs w:val="18"/>
          <w:lang w:val="en-GB"/>
        </w:rPr>
        <w:t xml:space="preserve"> </w:t>
      </w:r>
      <w:proofErr w:type="spellStart"/>
      <w:r w:rsidRPr="00B90135">
        <w:rPr>
          <w:rFonts w:ascii="BISans" w:eastAsia="BISans" w:hAnsi="BISans" w:cstheme="minorHAnsi"/>
          <w:sz w:val="18"/>
          <w:szCs w:val="18"/>
          <w:lang w:val="en-GB"/>
        </w:rPr>
        <w:t>Respir</w:t>
      </w:r>
      <w:proofErr w:type="spellEnd"/>
      <w:r w:rsidRPr="00B90135">
        <w:rPr>
          <w:rFonts w:ascii="BISans" w:eastAsia="BISans" w:hAnsi="BISans" w:cstheme="minorHAnsi"/>
          <w:sz w:val="18"/>
          <w:szCs w:val="18"/>
          <w:lang w:val="en-GB"/>
        </w:rPr>
        <w:t xml:space="preserve"> J </w:t>
      </w:r>
      <w:r w:rsidR="00B90135" w:rsidRPr="00B90135">
        <w:rPr>
          <w:rFonts w:ascii="BISans" w:eastAsia="BISans" w:hAnsi="BISans" w:cstheme="minorHAnsi"/>
          <w:sz w:val="18"/>
          <w:szCs w:val="18"/>
          <w:lang w:val="en-GB"/>
        </w:rPr>
        <w:t>2015; 45:1434</w:t>
      </w:r>
      <w:r w:rsidRPr="00B90135">
        <w:rPr>
          <w:rFonts w:ascii="BISans" w:eastAsia="BISans" w:hAnsi="BISans" w:cstheme="minorHAnsi"/>
          <w:sz w:val="18"/>
          <w:szCs w:val="18"/>
          <w:lang w:val="en-GB"/>
        </w:rPr>
        <w:t>–1445</w:t>
      </w:r>
    </w:p>
    <w:p w:rsidR="007C65F8" w:rsidRPr="00B90135" w:rsidRDefault="007C65F8" w:rsidP="00B90135">
      <w:pPr>
        <w:jc w:val="both"/>
        <w:rPr>
          <w:rFonts w:ascii="BISans" w:hAnsi="BISans" w:cstheme="minorHAnsi"/>
          <w:lang w:val="en-GB"/>
        </w:rPr>
      </w:pPr>
    </w:p>
    <w:p w:rsidR="00764DD6" w:rsidRPr="00EB34AE" w:rsidRDefault="00764DD6" w:rsidP="00EB34AE">
      <w:pPr>
        <w:keepNext/>
        <w:keepLines/>
        <w:spacing w:after="0" w:line="283" w:lineRule="atLeast"/>
        <w:jc w:val="both"/>
        <w:outlineLvl w:val="1"/>
        <w:rPr>
          <w:rFonts w:ascii="BISans" w:eastAsia="Times New Roman" w:hAnsi="BISans" w:cstheme="minorHAnsi"/>
          <w:b/>
          <w:bCs/>
          <w:color w:val="003366"/>
          <w:sz w:val="18"/>
          <w:szCs w:val="26"/>
        </w:rPr>
      </w:pPr>
      <w:r w:rsidRPr="00EB34AE">
        <w:rPr>
          <w:rFonts w:ascii="BISans" w:eastAsia="Times New Roman" w:hAnsi="BISans" w:cstheme="minorHAnsi"/>
          <w:b/>
          <w:bCs/>
          <w:color w:val="003366"/>
          <w:sz w:val="18"/>
          <w:szCs w:val="26"/>
        </w:rPr>
        <w:t>Per ulteriori informazioni:</w:t>
      </w:r>
    </w:p>
    <w:p w:rsidR="007C65F8" w:rsidRPr="00B90135" w:rsidRDefault="007C65F8" w:rsidP="00B90135">
      <w:pPr>
        <w:spacing w:after="0" w:line="283" w:lineRule="atLeast"/>
        <w:ind w:right="29"/>
        <w:jc w:val="both"/>
        <w:rPr>
          <w:rFonts w:ascii="BISans" w:eastAsia="BISans" w:hAnsi="BISans" w:cs="Angsana New"/>
          <w:sz w:val="18"/>
          <w:szCs w:val="18"/>
        </w:rPr>
      </w:pPr>
      <w:bookmarkStart w:id="0" w:name="_GoBack"/>
      <w:bookmarkEnd w:id="0"/>
    </w:p>
    <w:p w:rsidR="00764DD6" w:rsidRPr="00B90135" w:rsidRDefault="00764DD6" w:rsidP="00B90135">
      <w:pPr>
        <w:spacing w:after="0" w:line="283" w:lineRule="atLeast"/>
        <w:ind w:right="28"/>
        <w:jc w:val="both"/>
        <w:rPr>
          <w:rFonts w:ascii="BISans" w:eastAsia="BISans" w:hAnsi="BISans" w:cs="Angsana New"/>
          <w:sz w:val="18"/>
          <w:szCs w:val="18"/>
        </w:rPr>
      </w:pPr>
      <w:r w:rsidRPr="00B90135">
        <w:rPr>
          <w:rFonts w:ascii="BISans" w:eastAsia="BISans" w:hAnsi="BISans" w:cs="Angsana New"/>
          <w:sz w:val="18"/>
          <w:szCs w:val="18"/>
        </w:rPr>
        <w:t>Marina Guffanti</w:t>
      </w:r>
    </w:p>
    <w:p w:rsidR="00764DD6" w:rsidRPr="00B90135" w:rsidRDefault="00764DD6" w:rsidP="00B90135">
      <w:pPr>
        <w:spacing w:after="0" w:line="283" w:lineRule="atLeast"/>
        <w:ind w:right="28"/>
        <w:jc w:val="both"/>
        <w:rPr>
          <w:rFonts w:ascii="BISans" w:eastAsia="BISans" w:hAnsi="BISans" w:cs="Angsana New"/>
          <w:sz w:val="18"/>
          <w:szCs w:val="18"/>
        </w:rPr>
      </w:pPr>
      <w:r w:rsidRPr="00B90135">
        <w:rPr>
          <w:rFonts w:ascii="BISans" w:eastAsia="BISans" w:hAnsi="BISans" w:cs="Angsana New"/>
          <w:sz w:val="18"/>
          <w:szCs w:val="18"/>
        </w:rPr>
        <w:t>Comunicazione</w:t>
      </w:r>
    </w:p>
    <w:p w:rsidR="00764DD6" w:rsidRPr="00B90135" w:rsidRDefault="00764DD6" w:rsidP="00B90135">
      <w:pPr>
        <w:spacing w:after="0" w:line="283" w:lineRule="atLeast"/>
        <w:ind w:right="28"/>
        <w:jc w:val="both"/>
        <w:rPr>
          <w:rFonts w:ascii="BISans" w:eastAsia="BISans" w:hAnsi="BISans" w:cs="Angsana New"/>
          <w:b/>
          <w:sz w:val="18"/>
          <w:szCs w:val="18"/>
        </w:rPr>
      </w:pPr>
      <w:r w:rsidRPr="00B90135">
        <w:rPr>
          <w:rFonts w:ascii="BISans" w:eastAsia="BISans" w:hAnsi="BISans" w:cs="Angsana New"/>
          <w:b/>
          <w:sz w:val="18"/>
          <w:szCs w:val="18"/>
        </w:rPr>
        <w:t>Boehringer Ingelheim Italia SpA</w:t>
      </w:r>
    </w:p>
    <w:p w:rsidR="00764DD6" w:rsidRPr="00B90135" w:rsidRDefault="00764DD6" w:rsidP="00B90135">
      <w:pPr>
        <w:spacing w:after="0" w:line="283" w:lineRule="atLeast"/>
        <w:ind w:right="28"/>
        <w:jc w:val="both"/>
        <w:rPr>
          <w:rFonts w:ascii="BISans" w:eastAsia="BISans" w:hAnsi="BISans" w:cs="Angsana New"/>
          <w:sz w:val="18"/>
          <w:szCs w:val="18"/>
        </w:rPr>
      </w:pPr>
      <w:r w:rsidRPr="00B90135">
        <w:rPr>
          <w:rFonts w:ascii="BISans" w:eastAsia="BISans" w:hAnsi="BISans" w:cs="Angsana New"/>
          <w:sz w:val="18"/>
          <w:szCs w:val="18"/>
        </w:rPr>
        <w:t>Telefono: 02 5355453</w:t>
      </w:r>
    </w:p>
    <w:p w:rsidR="00764DD6" w:rsidRPr="00B90135" w:rsidRDefault="00764DD6" w:rsidP="00B90135">
      <w:pPr>
        <w:spacing w:after="0" w:line="283" w:lineRule="atLeast"/>
        <w:ind w:right="28"/>
        <w:jc w:val="both"/>
        <w:rPr>
          <w:rFonts w:ascii="BISans" w:eastAsia="BISans" w:hAnsi="BISans" w:cs="Angsana New"/>
          <w:sz w:val="18"/>
          <w:szCs w:val="18"/>
          <w:lang w:val="en-GB"/>
        </w:rPr>
      </w:pPr>
      <w:r w:rsidRPr="00B90135">
        <w:rPr>
          <w:rFonts w:ascii="BISans" w:eastAsia="BISans" w:hAnsi="BISans" w:cs="Angsana New"/>
          <w:sz w:val="18"/>
          <w:szCs w:val="18"/>
          <w:lang w:val="en-GB"/>
        </w:rPr>
        <w:t>Cell: 348 3995284</w:t>
      </w:r>
    </w:p>
    <w:p w:rsidR="00764DD6" w:rsidRPr="00B90135" w:rsidRDefault="00764DD6" w:rsidP="00B90135">
      <w:pPr>
        <w:spacing w:after="0" w:line="283" w:lineRule="atLeast"/>
        <w:ind w:right="28"/>
        <w:jc w:val="both"/>
        <w:rPr>
          <w:rFonts w:ascii="BISans" w:eastAsia="BISans" w:hAnsi="BISans" w:cs="Angsana New"/>
          <w:sz w:val="18"/>
          <w:szCs w:val="18"/>
          <w:lang w:val="en-GB"/>
        </w:rPr>
      </w:pPr>
      <w:r w:rsidRPr="00B90135">
        <w:rPr>
          <w:rFonts w:ascii="BISans" w:eastAsia="BISans" w:hAnsi="BISans" w:cs="Angsana New"/>
          <w:sz w:val="18"/>
          <w:szCs w:val="18"/>
          <w:lang w:val="en-GB"/>
        </w:rPr>
        <w:t xml:space="preserve">Mail: </w:t>
      </w:r>
      <w:hyperlink r:id="rId11" w:history="1">
        <w:r w:rsidRPr="00B90135">
          <w:rPr>
            <w:rFonts w:ascii="BISans" w:eastAsia="BISans" w:hAnsi="BISans" w:cs="Angsana New"/>
            <w:sz w:val="18"/>
            <w:szCs w:val="18"/>
            <w:lang w:val="en-GB"/>
          </w:rPr>
          <w:t>marina.guffanti@boehringer-ingelheim.com</w:t>
        </w:r>
      </w:hyperlink>
    </w:p>
    <w:p w:rsidR="00764DD6" w:rsidRPr="00B90135" w:rsidRDefault="00764DD6" w:rsidP="00B90135">
      <w:pPr>
        <w:spacing w:after="0" w:line="264" w:lineRule="auto"/>
        <w:jc w:val="both"/>
        <w:rPr>
          <w:rFonts w:ascii="BISans" w:eastAsia="BISans" w:hAnsi="BISans" w:cs="Angsana New"/>
          <w:b/>
          <w:bCs/>
          <w:color w:val="003366"/>
          <w:sz w:val="18"/>
          <w:szCs w:val="18"/>
          <w:lang w:val="en-GB"/>
        </w:rPr>
      </w:pPr>
    </w:p>
    <w:p w:rsidR="007C65F8" w:rsidRPr="00B90135" w:rsidRDefault="007C65F8" w:rsidP="00B90135">
      <w:pPr>
        <w:spacing w:after="0"/>
        <w:ind w:right="28"/>
        <w:jc w:val="both"/>
        <w:rPr>
          <w:rFonts w:ascii="BISans" w:hAnsi="BISans"/>
          <w:sz w:val="18"/>
          <w:szCs w:val="18"/>
        </w:rPr>
      </w:pPr>
      <w:r w:rsidRPr="00B90135">
        <w:rPr>
          <w:rFonts w:ascii="BISans" w:hAnsi="BISans"/>
          <w:sz w:val="18"/>
          <w:szCs w:val="18"/>
        </w:rPr>
        <w:t>Maria Luisa Paleari</w:t>
      </w:r>
    </w:p>
    <w:p w:rsidR="007C65F8" w:rsidRPr="00B90135" w:rsidRDefault="007C65F8" w:rsidP="00B90135">
      <w:pPr>
        <w:spacing w:after="0"/>
        <w:ind w:right="28"/>
        <w:jc w:val="both"/>
        <w:rPr>
          <w:rFonts w:ascii="BISans" w:hAnsi="BISans"/>
          <w:b/>
          <w:sz w:val="18"/>
          <w:szCs w:val="18"/>
        </w:rPr>
      </w:pPr>
      <w:r w:rsidRPr="00B90135">
        <w:rPr>
          <w:rFonts w:ascii="BISans" w:hAnsi="BISans"/>
          <w:b/>
          <w:sz w:val="18"/>
          <w:szCs w:val="18"/>
        </w:rPr>
        <w:t>Value Relations Srl</w:t>
      </w:r>
    </w:p>
    <w:p w:rsidR="007C65F8" w:rsidRPr="00B90135" w:rsidRDefault="007C65F8" w:rsidP="00B90135">
      <w:pPr>
        <w:spacing w:after="0"/>
        <w:ind w:right="28"/>
        <w:jc w:val="both"/>
        <w:rPr>
          <w:rFonts w:ascii="BISans" w:hAnsi="BISans"/>
          <w:sz w:val="18"/>
          <w:szCs w:val="18"/>
        </w:rPr>
      </w:pPr>
      <w:r w:rsidRPr="00B90135">
        <w:rPr>
          <w:rFonts w:ascii="BISans" w:hAnsi="BISans"/>
          <w:sz w:val="18"/>
          <w:szCs w:val="18"/>
        </w:rPr>
        <w:t>Telefono: 02 20424941</w:t>
      </w:r>
    </w:p>
    <w:p w:rsidR="007C65F8" w:rsidRPr="00B90135" w:rsidRDefault="007C65F8" w:rsidP="00B90135">
      <w:pPr>
        <w:spacing w:after="0"/>
        <w:ind w:right="28"/>
        <w:jc w:val="both"/>
        <w:rPr>
          <w:rFonts w:ascii="BISans" w:hAnsi="BISans"/>
          <w:sz w:val="18"/>
          <w:szCs w:val="18"/>
        </w:rPr>
      </w:pPr>
      <w:r w:rsidRPr="00B90135">
        <w:rPr>
          <w:rFonts w:ascii="BISans" w:hAnsi="BISans"/>
          <w:sz w:val="18"/>
          <w:szCs w:val="18"/>
        </w:rPr>
        <w:t>Cell: 331 6718518</w:t>
      </w:r>
    </w:p>
    <w:p w:rsidR="007C65F8" w:rsidRPr="00B90135" w:rsidRDefault="007C65F8" w:rsidP="00B90135">
      <w:pPr>
        <w:spacing w:after="0"/>
        <w:ind w:right="28"/>
        <w:jc w:val="both"/>
        <w:rPr>
          <w:rFonts w:ascii="BISans" w:eastAsia="BISans" w:hAnsi="BISans"/>
          <w:sz w:val="18"/>
          <w:szCs w:val="18"/>
        </w:rPr>
      </w:pPr>
      <w:r w:rsidRPr="00B90135">
        <w:rPr>
          <w:rFonts w:ascii="BISans" w:hAnsi="BISans"/>
          <w:sz w:val="18"/>
          <w:szCs w:val="18"/>
        </w:rPr>
        <w:t xml:space="preserve">Mail: </w:t>
      </w:r>
      <w:hyperlink r:id="rId12" w:history="1">
        <w:r w:rsidRPr="00B90135">
          <w:rPr>
            <w:rStyle w:val="Collegamentoipertestuale"/>
            <w:rFonts w:ascii="BISans" w:hAnsi="BISans"/>
            <w:sz w:val="18"/>
            <w:szCs w:val="18"/>
          </w:rPr>
          <w:t>ml.paleari@vrelations.it</w:t>
        </w:r>
      </w:hyperlink>
    </w:p>
    <w:p w:rsidR="00764DD6" w:rsidRPr="00B90135" w:rsidRDefault="00764DD6" w:rsidP="00764DD6">
      <w:pPr>
        <w:spacing w:after="0" w:line="264" w:lineRule="auto"/>
        <w:rPr>
          <w:rFonts w:ascii="BISans" w:eastAsia="BISans" w:hAnsi="BISans" w:cs="Angsana New"/>
          <w:b/>
          <w:bCs/>
          <w:color w:val="003366"/>
          <w:sz w:val="20"/>
        </w:rPr>
      </w:pPr>
    </w:p>
    <w:sectPr w:rsidR="00764DD6" w:rsidRPr="00B90135" w:rsidSect="005E2946">
      <w:headerReference w:type="default" r:id="rId13"/>
      <w:footerReference w:type="default" r:id="rId14"/>
      <w:headerReference w:type="first" r:id="rId15"/>
      <w:footerReference w:type="first" r:id="rId16"/>
      <w:footnotePr>
        <w:numFmt w:val="chicago"/>
      </w:footnotePr>
      <w:endnotePr>
        <w:numFmt w:val="decimal"/>
      </w:endnotePr>
      <w:pgSz w:w="11906" w:h="16838"/>
      <w:pgMar w:top="3420" w:right="3969" w:bottom="1530"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E9" w:rsidRDefault="00B833E9" w:rsidP="00AC7343">
      <w:pPr>
        <w:spacing w:after="0" w:line="240" w:lineRule="auto"/>
      </w:pPr>
      <w:r>
        <w:separator/>
      </w:r>
    </w:p>
  </w:endnote>
  <w:endnote w:type="continuationSeparator" w:id="0">
    <w:p w:rsidR="00B833E9" w:rsidRDefault="00B833E9" w:rsidP="00AC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SansNEXTCond-Bold">
    <w:altName w:val="Wide Lati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50" w:rsidRPr="00977337" w:rsidRDefault="00DE5F50">
    <w:pPr>
      <w:pStyle w:val="Pidipagina"/>
    </w:pPr>
    <w:r w:rsidRPr="00977337">
      <w:rPr>
        <w:rFonts w:cs="Arial"/>
        <w:sz w:val="16"/>
        <w:szCs w:val="16"/>
      </w:rPr>
      <w:t xml:space="preserve">Boehringer Ingelheim </w:t>
    </w:r>
    <w:r>
      <w:rPr>
        <w:rFonts w:cs="Arial"/>
        <w:sz w:val="16"/>
        <w:szCs w:val="16"/>
      </w:rPr>
      <w:t>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EB34AE">
      <w:rPr>
        <w:rFonts w:cs="Arial"/>
        <w:noProof/>
        <w:sz w:val="16"/>
        <w:szCs w:val="16"/>
      </w:rPr>
      <w:t>6</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EB34AE">
      <w:rPr>
        <w:rFonts w:cs="Arial"/>
        <w:noProof/>
        <w:sz w:val="16"/>
        <w:szCs w:val="16"/>
      </w:rPr>
      <w:t>6</w:t>
    </w:r>
    <w:r w:rsidRPr="00977337">
      <w:rPr>
        <w:rFonts w:cs="Arial"/>
        <w:sz w:val="16"/>
        <w:szCs w:val="16"/>
      </w:rPr>
      <w:fldChar w:fldCharType="end"/>
    </w:r>
    <w:r w:rsidRPr="00977337">
      <w:rPr>
        <w:rFonts w:cs="Arial"/>
        <w:color w:val="FF0000"/>
        <w:sz w:val="16"/>
        <w:szCs w:val="16"/>
      </w:rPr>
      <w:t xml:space="preserve"> </w:t>
    </w:r>
    <w:r w:rsidRPr="00977337">
      <w:rPr>
        <w:rFonts w:cs="Arial"/>
        <w:color w:val="FF0000"/>
        <w:sz w:val="16"/>
        <w:szCs w:val="16"/>
      </w:rPr>
      <w:tab/>
    </w:r>
    <w:r w:rsidRPr="00977337">
      <w:rPr>
        <w:rFonts w:cs="Arial"/>
        <w:color w:val="FF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50" w:rsidRPr="00977337" w:rsidRDefault="00DE5F50">
    <w:pPr>
      <w:pStyle w:val="Pidipagina"/>
      <w:rPr>
        <w:rFonts w:cs="Arial"/>
        <w:sz w:val="16"/>
        <w:szCs w:val="16"/>
      </w:rPr>
    </w:pPr>
    <w:r>
      <w:rPr>
        <w:rFonts w:cs="Arial"/>
        <w:sz w:val="16"/>
        <w:szCs w:val="16"/>
      </w:rPr>
      <w:t>Boehringer Ingelheim 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8D3232">
      <w:rPr>
        <w:rFonts w:cs="Arial"/>
        <w:noProof/>
        <w:sz w:val="16"/>
        <w:szCs w:val="16"/>
      </w:rPr>
      <w:t>1</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8D3232">
      <w:rPr>
        <w:rFonts w:cs="Arial"/>
        <w:noProof/>
        <w:sz w:val="16"/>
        <w:szCs w:val="16"/>
      </w:rPr>
      <w:t>6</w:t>
    </w:r>
    <w:r w:rsidRPr="00977337">
      <w:rPr>
        <w:rFonts w:cs="Arial"/>
        <w:sz w:val="16"/>
        <w:szCs w:val="16"/>
      </w:rPr>
      <w:fldChar w:fldCharType="end"/>
    </w:r>
    <w:r w:rsidRPr="00977337">
      <w:rPr>
        <w:rFonts w:cs="Arial"/>
        <w:sz w:val="16"/>
        <w:szCs w:val="16"/>
      </w:rPr>
      <w:tab/>
    </w:r>
    <w:r w:rsidRPr="00977337">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E9" w:rsidRDefault="00B833E9" w:rsidP="00AC7343">
      <w:pPr>
        <w:spacing w:after="0" w:line="240" w:lineRule="auto"/>
      </w:pPr>
      <w:r>
        <w:separator/>
      </w:r>
    </w:p>
  </w:footnote>
  <w:footnote w:type="continuationSeparator" w:id="0">
    <w:p w:rsidR="00B833E9" w:rsidRDefault="00B833E9" w:rsidP="00AC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50" w:rsidRDefault="009F6C9F">
    <w:pPr>
      <w:pStyle w:val="Intestazione"/>
    </w:pP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-550545</wp:posOffset>
              </wp:positionH>
              <wp:positionV relativeFrom="paragraph">
                <wp:posOffset>-106680</wp:posOffset>
              </wp:positionV>
              <wp:extent cx="450215" cy="19939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93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50" w:rsidRPr="0055412A" w:rsidRDefault="00DE5F50"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EB34AE">
                            <w:rPr>
                              <w:noProof/>
                              <w:sz w:val="18"/>
                            </w:rPr>
                            <w:t>6</w:t>
                          </w:r>
                          <w:r w:rsidRPr="0055412A">
                            <w:rPr>
                              <w:sz w:val="18"/>
                            </w:rPr>
                            <w:fldChar w:fldCharType="end"/>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35pt;margin-top:-8.4pt;width:35.45pt;height:1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" fillcolor="#036" stroked="f">
              <v:textbox inset="1.5mm,1.5mm,1.5mm,1.5mm">
                <w:txbxContent>
                  <w:p w:rsidR="00DE5F50" w:rsidRPr="0055412A" w:rsidRDefault="00DE5F50"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EB34AE">
                      <w:rPr>
                        <w:noProof/>
                        <w:sz w:val="18"/>
                      </w:rPr>
                      <w:t>6</w:t>
                    </w:r>
                    <w:r w:rsidRPr="0055412A">
                      <w:rPr>
                        <w:sz w:val="18"/>
                      </w:rPr>
                      <w:fldChar w:fldCharType="end"/>
                    </w:r>
                  </w:p>
                </w:txbxContent>
              </v:textbox>
            </v:rect>
          </w:pict>
        </mc:Fallback>
      </mc:AlternateContent>
    </w:r>
    <w:r>
      <w:rPr>
        <w:noProof/>
        <w:lang w:eastAsia="it-IT"/>
      </w:rPr>
      <mc:AlternateContent>
        <mc:Choice Requires="wps">
          <w:drawing>
            <wp:anchor distT="0" distB="0" distL="114300" distR="114300" simplePos="0" relativeHeight="251659776" behindDoc="0" locked="0" layoutInCell="1" allowOverlap="1">
              <wp:simplePos x="0" y="0"/>
              <wp:positionH relativeFrom="page">
                <wp:posOffset>5192395</wp:posOffset>
              </wp:positionH>
              <wp:positionV relativeFrom="page">
                <wp:posOffset>350520</wp:posOffset>
              </wp:positionV>
              <wp:extent cx="2521585" cy="5397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txbx>
                      <w:txbxContent>
                        <w:p w:rsidR="00DE5F50" w:rsidRPr="00E90EC2" w:rsidRDefault="00DE5F50" w:rsidP="005E2946">
                          <w:pPr>
                            <w:rPr>
                              <w:rFonts w:cs="Arial"/>
                              <w:b/>
                              <w:color w:val="FFFFFF"/>
                              <w:sz w:val="30"/>
                              <w:szCs w:val="30"/>
                            </w:rPr>
                          </w:pPr>
                          <w:r>
                            <w:rPr>
                              <w:rFonts w:cs="Arial"/>
                              <w:b/>
                              <w:color w:val="FFFFFF"/>
                              <w:sz w:val="30"/>
                              <w:szCs w:val="30"/>
                            </w:rPr>
                            <w:t>Comunicato Stampa</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8.85pt;margin-top:27.6pt;width:198.55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" fillcolor="#f90" stroked="f" strokecolor="#f2f2f2" strokeweight="3pt">
              <v:shadow color="#651919" opacity=".5" offset="1pt"/>
              <v:textbox inset="7.2mm,5mm,1.25mm,1.25mm">
                <w:txbxContent>
                  <w:p w:rsidR="00DE5F50" w:rsidRPr="00E90EC2" w:rsidRDefault="00DE5F50" w:rsidP="005E2946">
                    <w:pPr>
                      <w:rPr>
                        <w:rFonts w:cs="Arial"/>
                        <w:b/>
                        <w:color w:val="FFFFFF"/>
                        <w:sz w:val="30"/>
                        <w:szCs w:val="30"/>
                      </w:rPr>
                    </w:pPr>
                    <w:r>
                      <w:rPr>
                        <w:rFonts w:cs="Arial"/>
                        <w:b/>
                        <w:color w:val="FFFFFF"/>
                        <w:sz w:val="30"/>
                        <w:szCs w:val="30"/>
                      </w:rPr>
                      <w:t>Comunicato Stampa</w:t>
                    </w:r>
                  </w:p>
                </w:txbxContent>
              </v:textbox>
              <w10:wrap anchorx="page" anchory="page"/>
            </v:rect>
          </w:pict>
        </mc:Fallback>
      </mc:AlternateContent>
    </w:r>
    <w:r>
      <w:rPr>
        <w:noProof/>
        <w:lang w:eastAsia="it-IT"/>
      </w:rPr>
      <mc:AlternateContent>
        <mc:Choice Requires="wps">
          <w:drawing>
            <wp:anchor distT="4294967291" distB="4294967291" distL="114300" distR="114300" simplePos="0" relativeHeight="251657728" behindDoc="0" locked="0" layoutInCell="1" allowOverlap="1">
              <wp:simplePos x="0" y="0"/>
              <wp:positionH relativeFrom="column">
                <wp:posOffset>-1093470</wp:posOffset>
              </wp:positionH>
              <wp:positionV relativeFrom="paragraph">
                <wp:posOffset>-97791</wp:posOffset>
              </wp:positionV>
              <wp:extent cx="7579995" cy="0"/>
              <wp:effectExtent l="0" t="0" r="190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E995A" id="_x0000_t32" coordsize="21600,21600" o:spt="32" o:oned="t" path="m,l21600,21600e" filled="f">
              <v:path arrowok="t" fillok="f" o:connecttype="none"/>
              <o:lock v:ext="edit" shapetype="t"/>
            </v:shapetype>
            <v:shape id="AutoShape 3" o:spid="_x0000_s1026" type="#_x0000_t32" style="position:absolute;margin-left:-86.1pt;margin-top:-7.7pt;width:596.8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" strokecolor="#f90" strokeweight="1pt"/>
          </w:pict>
        </mc:Fallback>
      </mc:AlternateContent>
    </w:r>
    <w:r>
      <w:rPr>
        <w:noProof/>
        <w:lang w:eastAsia="it-IT"/>
      </w:rPr>
      <mc:AlternateContent>
        <mc:Choice Requires="wps">
          <w:drawing>
            <wp:anchor distT="4294967291" distB="4294967291" distL="114300" distR="114300" simplePos="0" relativeHeight="251656704" behindDoc="0" locked="0" layoutInCell="1" allowOverlap="1">
              <wp:simplePos x="0" y="0"/>
              <wp:positionH relativeFrom="column">
                <wp:posOffset>-1093470</wp:posOffset>
              </wp:positionH>
              <wp:positionV relativeFrom="paragraph">
                <wp:posOffset>92709</wp:posOffset>
              </wp:positionV>
              <wp:extent cx="7579995" cy="0"/>
              <wp:effectExtent l="0" t="0" r="190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CB548" id="AutoShape 4" o:spid="_x0000_s1026" type="#_x0000_t32" style="position:absolute;margin-left:-86.1pt;margin-top:7.3pt;width:596.8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" strokecolor="#f9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50" w:rsidRPr="0036108C" w:rsidRDefault="009F6C9F">
    <w:pPr>
      <w:pStyle w:val="Intestazione"/>
      <w:rPr>
        <w:lang w:val="en-US"/>
      </w:rPr>
    </w:pPr>
    <w:r>
      <w:rPr>
        <w:noProof/>
        <w:lang w:eastAsia="it-IT"/>
      </w:rPr>
      <mc:AlternateContent>
        <mc:Choice Requires="wps">
          <w:drawing>
            <wp:anchor distT="4294967291" distB="4294967291" distL="114300" distR="114300" simplePos="0" relativeHeight="251660800" behindDoc="0" locked="0" layoutInCell="1" allowOverlap="1">
              <wp:simplePos x="0" y="0"/>
              <wp:positionH relativeFrom="column">
                <wp:posOffset>-1093470</wp:posOffset>
              </wp:positionH>
              <wp:positionV relativeFrom="paragraph">
                <wp:posOffset>1412874</wp:posOffset>
              </wp:positionV>
              <wp:extent cx="7579995" cy="0"/>
              <wp:effectExtent l="0" t="0" r="190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52988" id="_x0000_t32" coordsize="21600,21600" o:spt="32" o:oned="t" path="m,l21600,21600e" filled="f">
              <v:path arrowok="t" fillok="f" o:connecttype="none"/>
              <o:lock v:ext="edit" shapetype="t"/>
            </v:shapetype>
            <v:shape id="AutoShape 6" o:spid="_x0000_s1026" type="#_x0000_t32" style="position:absolute;margin-left:-86.1pt;margin-top:111.25pt;width:596.8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" strokecolor="#f90" strokeweight="1pt"/>
          </w:pict>
        </mc:Fallback>
      </mc:AlternateContent>
    </w:r>
    <w:r>
      <w:rPr>
        <w:noProof/>
        <w:lang w:eastAsia="it-IT"/>
      </w:rPr>
      <mc:AlternateContent>
        <mc:Choice Requires="wps">
          <w:drawing>
            <wp:anchor distT="4294967291" distB="4294967291" distL="114300" distR="114300" simplePos="0" relativeHeight="251658752" behindDoc="0" locked="0" layoutInCell="1" allowOverlap="1">
              <wp:simplePos x="0" y="0"/>
              <wp:positionH relativeFrom="column">
                <wp:posOffset>-1080135</wp:posOffset>
              </wp:positionH>
              <wp:positionV relativeFrom="paragraph">
                <wp:posOffset>142874</wp:posOffset>
              </wp:positionV>
              <wp:extent cx="7579995" cy="0"/>
              <wp:effectExtent l="0" t="0" r="190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AD01B" id="AutoShape 7" o:spid="_x0000_s1026" type="#_x0000_t32" style="position:absolute;margin-left:-85.05pt;margin-top:11.25pt;width:596.8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BEHwIAADw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" strokecolor="white" strokeweight="1pt"/>
          </w:pict>
        </mc:Fallback>
      </mc:AlternateContent>
    </w:r>
    <w:r>
      <w:rPr>
        <w:noProof/>
        <w:lang w:eastAsia="it-IT"/>
      </w:rPr>
      <mc:AlternateContent>
        <mc:Choice Requires="wps">
          <w:drawing>
            <wp:anchor distT="0" distB="0" distL="114300" distR="114300" simplePos="0" relativeHeight="251653632" behindDoc="0" locked="0" layoutInCell="1" allowOverlap="1">
              <wp:simplePos x="0" y="0"/>
              <wp:positionH relativeFrom="page">
                <wp:posOffset>5039995</wp:posOffset>
              </wp:positionH>
              <wp:positionV relativeFrom="page">
                <wp:posOffset>607695</wp:posOffset>
              </wp:positionV>
              <wp:extent cx="2521585" cy="12598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3A6D" id="Rectangle 10" o:spid="_x0000_s1026" style="position:absolute;margin-left:396.85pt;margin-top:47.85pt;width:198.55pt;height:9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" fillcolor="#036" stroked="f">
              <w10:wrap anchorx="page" anchory="page"/>
            </v:rect>
          </w:pict>
        </mc:Fallback>
      </mc:AlternateContent>
    </w:r>
    <w:r>
      <w:rPr>
        <w:noProof/>
        <w:lang w:eastAsia="it-IT"/>
      </w:rPr>
      <mc:AlternateContent>
        <mc:Choice Requires="wps">
          <w:drawing>
            <wp:anchor distT="0" distB="0" distL="114300" distR="114300" simplePos="0" relativeHeight="251662848" behindDoc="0" locked="1" layoutInCell="1" allowOverlap="1">
              <wp:simplePos x="0" y="0"/>
              <wp:positionH relativeFrom="page">
                <wp:posOffset>5229225</wp:posOffset>
              </wp:positionH>
              <wp:positionV relativeFrom="page">
                <wp:posOffset>2141855</wp:posOffset>
              </wp:positionV>
              <wp:extent cx="2000250" cy="6391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50" w:rsidRPr="00651BA7" w:rsidRDefault="009F6C9F" w:rsidP="005E2946">
                          <w:r>
                            <w:rPr>
                              <w:noProof/>
                              <w:lang w:eastAsia="it-IT"/>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DE5F50" w:rsidRDefault="009F6C9F" w:rsidP="005E2946">
                          <w:pPr>
                            <w:ind w:left="42"/>
                            <w:rPr>
                              <w:b/>
                              <w:color w:val="003366"/>
                            </w:rPr>
                          </w:pPr>
                          <w:r w:rsidRPr="0067598B">
                            <w:rPr>
                              <w:rFonts w:eastAsia="BISans" w:cs="Angsana New"/>
                              <w:noProof/>
                              <w:lang w:eastAsia="it-IT"/>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DE5F50" w:rsidRPr="00956D7E" w:rsidRDefault="00DE5F50" w:rsidP="00A75E18">
                          <w:pPr>
                            <w:spacing w:after="0" w:line="240" w:lineRule="auto"/>
                            <w:rPr>
                              <w:b/>
                              <w:color w:val="003366"/>
                            </w:rPr>
                          </w:pPr>
                          <w:r w:rsidRPr="00956D7E">
                            <w:rPr>
                              <w:b/>
                              <w:color w:val="003366"/>
                            </w:rPr>
                            <w:t>Contatti:</w:t>
                          </w:r>
                        </w:p>
                        <w:p w:rsidR="00DE5F50" w:rsidRPr="00956D7E" w:rsidRDefault="00DE5F50" w:rsidP="00A75E18">
                          <w:pPr>
                            <w:spacing w:after="0" w:line="240" w:lineRule="auto"/>
                            <w:rPr>
                              <w:b/>
                              <w:color w:val="003366"/>
                            </w:rPr>
                          </w:pPr>
                          <w:r w:rsidRPr="00956D7E">
                            <w:rPr>
                              <w:b/>
                              <w:color w:val="003366"/>
                            </w:rPr>
                            <w:t>Boehringer Ingelheim</w:t>
                          </w:r>
                        </w:p>
                        <w:p w:rsidR="00DE5F50" w:rsidRPr="00197380" w:rsidRDefault="00DE5F50" w:rsidP="00A75E18">
                          <w:pPr>
                            <w:spacing w:after="0" w:line="240" w:lineRule="auto"/>
                            <w:rPr>
                              <w:b/>
                              <w:color w:val="003366"/>
                            </w:rPr>
                          </w:pPr>
                          <w:r w:rsidRPr="00197380">
                            <w:rPr>
                              <w:b/>
                              <w:color w:val="003366"/>
                            </w:rPr>
                            <w:t>Comunicazione:</w:t>
                          </w:r>
                        </w:p>
                        <w:p w:rsidR="00DE5F50" w:rsidRPr="00956D7E" w:rsidRDefault="00DE5F50" w:rsidP="00A75E18">
                          <w:pPr>
                            <w:pStyle w:val="Intestazione"/>
                            <w:rPr>
                              <w:b/>
                              <w:color w:val="1F497D"/>
                            </w:rPr>
                          </w:pPr>
                        </w:p>
                        <w:p w:rsidR="00DE5F50" w:rsidRPr="00956D7E" w:rsidRDefault="00DE5F50" w:rsidP="00A75E18">
                          <w:pPr>
                            <w:pStyle w:val="Intestazione"/>
                            <w:jc w:val="both"/>
                          </w:pPr>
                          <w:r w:rsidRPr="00956D7E">
                            <w:t>Marina Guffanti</w:t>
                          </w:r>
                        </w:p>
                        <w:p w:rsidR="00DE5F50" w:rsidRPr="00956D7E" w:rsidRDefault="00DE5F50" w:rsidP="00A75E18">
                          <w:pPr>
                            <w:pStyle w:val="Intestazione"/>
                            <w:jc w:val="both"/>
                            <w:rPr>
                              <w:lang w:val="en-US"/>
                            </w:rPr>
                          </w:pPr>
                          <w:r w:rsidRPr="00956D7E">
                            <w:rPr>
                              <w:lang w:val="en-US"/>
                            </w:rPr>
                            <w:t>Phone: + 39 – 02 5355453</w:t>
                          </w:r>
                        </w:p>
                        <w:p w:rsidR="00DE5F50" w:rsidRPr="00956D7E" w:rsidRDefault="00DE5F50" w:rsidP="00A75E18">
                          <w:pPr>
                            <w:pStyle w:val="Intestazione"/>
                            <w:jc w:val="both"/>
                            <w:rPr>
                              <w:lang w:val="en-US"/>
                            </w:rPr>
                          </w:pPr>
                          <w:r w:rsidRPr="00956D7E">
                            <w:rPr>
                              <w:lang w:val="en-US"/>
                            </w:rPr>
                            <w:t>Cell. +39 348 3995284</w:t>
                          </w:r>
                        </w:p>
                        <w:p w:rsidR="00DE5F50" w:rsidRPr="00956D7E" w:rsidRDefault="00DE5F50" w:rsidP="00A75E18">
                          <w:pPr>
                            <w:pStyle w:val="Intestazione"/>
                            <w:jc w:val="both"/>
                            <w:rPr>
                              <w:lang w:val="en-US"/>
                            </w:rPr>
                          </w:pPr>
                          <w:r w:rsidRPr="00956D7E">
                            <w:rPr>
                              <w:lang w:val="en-US"/>
                            </w:rPr>
                            <w:t>e- mail:</w:t>
                          </w:r>
                        </w:p>
                        <w:p w:rsidR="00DE5F50" w:rsidRDefault="00EB34AE" w:rsidP="00A75E18">
                          <w:pPr>
                            <w:spacing w:after="0" w:line="240" w:lineRule="auto"/>
                            <w:rPr>
                              <w:lang w:val="en-US"/>
                            </w:rPr>
                          </w:pPr>
                          <w:hyperlink r:id="rId3" w:history="1">
                            <w:r w:rsidR="00DE5F50" w:rsidRPr="009D1A01">
                              <w:rPr>
                                <w:rStyle w:val="Collegamentoipertestuale"/>
                                <w:lang w:val="en-US"/>
                              </w:rPr>
                              <w:t>marina.guffanti@boehringer-ingelheim.com</w:t>
                            </w:r>
                          </w:hyperlink>
                        </w:p>
                        <w:p w:rsidR="00DE5F50" w:rsidRPr="00956D7E" w:rsidRDefault="00DE5F50" w:rsidP="00A75E18">
                          <w:pPr>
                            <w:spacing w:after="0" w:line="240" w:lineRule="auto"/>
                            <w:rPr>
                              <w:lang w:val="en-US"/>
                            </w:rPr>
                          </w:pPr>
                        </w:p>
                        <w:p w:rsidR="00DE5F50" w:rsidRDefault="009F6C9F" w:rsidP="005E2946">
                          <w:r>
                            <w:rPr>
                              <w:noProof/>
                              <w:lang w:eastAsia="it-IT"/>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it-IT"/>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DE5F50" w:rsidRPr="00324A83" w:rsidRDefault="00DE5F50" w:rsidP="005E2946">
                          <w:pPr>
                            <w:rPr>
                              <w:b/>
                              <w:color w:val="003366"/>
                            </w:rPr>
                          </w:pPr>
                          <w:r w:rsidRPr="00324A83">
                            <w:rPr>
                              <w:b/>
                              <w:color w:val="003366"/>
                            </w:rPr>
                            <w:t>Per maggiori informazioni</w:t>
                          </w:r>
                        </w:p>
                        <w:p w:rsidR="00DE5F50" w:rsidRPr="00324A83" w:rsidRDefault="00EB34AE" w:rsidP="005E2946">
                          <w:pPr>
                            <w:spacing w:after="120"/>
                            <w:ind w:left="42"/>
                          </w:pPr>
                          <w:hyperlink r:id="rId5" w:history="1">
                            <w:r w:rsidR="00DE5F50" w:rsidRPr="00324A83">
                              <w:rPr>
                                <w:rStyle w:val="Collegamentoipertestuale"/>
                              </w:rPr>
                              <w:t>www.boehringer-ingelheim.com</w:t>
                            </w:r>
                          </w:hyperlink>
                        </w:p>
                        <w:p w:rsidR="00DE5F50" w:rsidRPr="002C4B3E" w:rsidRDefault="009F6C9F" w:rsidP="005E2946">
                          <w:r>
                            <w:rPr>
                              <w:noProof/>
                              <w:lang w:eastAsia="it-IT"/>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11.75pt;margin-top:168.65pt;width:157.5pt;height:50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" stroked="f">
              <v:textbox>
                <w:txbxContent>
                  <w:p w:rsidR="00DE5F50" w:rsidRPr="00651BA7" w:rsidRDefault="009F6C9F" w:rsidP="005E2946">
                    <w:r>
                      <w:rPr>
                        <w:noProof/>
                        <w:lang w:eastAsia="it-IT"/>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DE5F50" w:rsidRDefault="009F6C9F" w:rsidP="005E2946">
                    <w:pPr>
                      <w:ind w:left="42"/>
                      <w:rPr>
                        <w:b/>
                        <w:color w:val="003366"/>
                      </w:rPr>
                    </w:pPr>
                    <w:r w:rsidRPr="0067598B">
                      <w:rPr>
                        <w:rFonts w:eastAsia="BISans" w:cs="Angsana New"/>
                        <w:noProof/>
                        <w:lang w:eastAsia="it-IT"/>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DE5F50" w:rsidRPr="00956D7E" w:rsidRDefault="00DE5F50" w:rsidP="00A75E18">
                    <w:pPr>
                      <w:spacing w:after="0" w:line="240" w:lineRule="auto"/>
                      <w:rPr>
                        <w:b/>
                        <w:color w:val="003366"/>
                      </w:rPr>
                    </w:pPr>
                    <w:r w:rsidRPr="00956D7E">
                      <w:rPr>
                        <w:b/>
                        <w:color w:val="003366"/>
                      </w:rPr>
                      <w:t>Contatti:</w:t>
                    </w:r>
                  </w:p>
                  <w:p w:rsidR="00DE5F50" w:rsidRPr="00956D7E" w:rsidRDefault="00DE5F50" w:rsidP="00A75E18">
                    <w:pPr>
                      <w:spacing w:after="0" w:line="240" w:lineRule="auto"/>
                      <w:rPr>
                        <w:b/>
                        <w:color w:val="003366"/>
                      </w:rPr>
                    </w:pPr>
                    <w:r w:rsidRPr="00956D7E">
                      <w:rPr>
                        <w:b/>
                        <w:color w:val="003366"/>
                      </w:rPr>
                      <w:t>Boehringer Ingelheim</w:t>
                    </w:r>
                  </w:p>
                  <w:p w:rsidR="00DE5F50" w:rsidRPr="00197380" w:rsidRDefault="00DE5F50" w:rsidP="00A75E18">
                    <w:pPr>
                      <w:spacing w:after="0" w:line="240" w:lineRule="auto"/>
                      <w:rPr>
                        <w:b/>
                        <w:color w:val="003366"/>
                      </w:rPr>
                    </w:pPr>
                    <w:r w:rsidRPr="00197380">
                      <w:rPr>
                        <w:b/>
                        <w:color w:val="003366"/>
                      </w:rPr>
                      <w:t>Comunicazione:</w:t>
                    </w:r>
                  </w:p>
                  <w:p w:rsidR="00DE5F50" w:rsidRPr="00956D7E" w:rsidRDefault="00DE5F50" w:rsidP="00A75E18">
                    <w:pPr>
                      <w:pStyle w:val="Intestazione"/>
                      <w:rPr>
                        <w:b/>
                        <w:color w:val="1F497D"/>
                      </w:rPr>
                    </w:pPr>
                  </w:p>
                  <w:p w:rsidR="00DE5F50" w:rsidRPr="00956D7E" w:rsidRDefault="00DE5F50" w:rsidP="00A75E18">
                    <w:pPr>
                      <w:pStyle w:val="Intestazione"/>
                      <w:jc w:val="both"/>
                    </w:pPr>
                    <w:r w:rsidRPr="00956D7E">
                      <w:t>Marina Guffanti</w:t>
                    </w:r>
                  </w:p>
                  <w:p w:rsidR="00DE5F50" w:rsidRPr="00956D7E" w:rsidRDefault="00DE5F50" w:rsidP="00A75E18">
                    <w:pPr>
                      <w:pStyle w:val="Intestazione"/>
                      <w:jc w:val="both"/>
                      <w:rPr>
                        <w:lang w:val="en-US"/>
                      </w:rPr>
                    </w:pPr>
                    <w:r w:rsidRPr="00956D7E">
                      <w:rPr>
                        <w:lang w:val="en-US"/>
                      </w:rPr>
                      <w:t>Phone: + 39 – 02 5355453</w:t>
                    </w:r>
                  </w:p>
                  <w:p w:rsidR="00DE5F50" w:rsidRPr="00956D7E" w:rsidRDefault="00DE5F50" w:rsidP="00A75E18">
                    <w:pPr>
                      <w:pStyle w:val="Intestazione"/>
                      <w:jc w:val="both"/>
                      <w:rPr>
                        <w:lang w:val="en-US"/>
                      </w:rPr>
                    </w:pPr>
                    <w:r w:rsidRPr="00956D7E">
                      <w:rPr>
                        <w:lang w:val="en-US"/>
                      </w:rPr>
                      <w:t>Cell. +39 348 3995284</w:t>
                    </w:r>
                  </w:p>
                  <w:p w:rsidR="00DE5F50" w:rsidRPr="00956D7E" w:rsidRDefault="00DE5F50" w:rsidP="00A75E18">
                    <w:pPr>
                      <w:pStyle w:val="Intestazione"/>
                      <w:jc w:val="both"/>
                      <w:rPr>
                        <w:lang w:val="en-US"/>
                      </w:rPr>
                    </w:pPr>
                    <w:r w:rsidRPr="00956D7E">
                      <w:rPr>
                        <w:lang w:val="en-US"/>
                      </w:rPr>
                      <w:t>e- mail:</w:t>
                    </w:r>
                  </w:p>
                  <w:p w:rsidR="00DE5F50" w:rsidRDefault="00EB34AE" w:rsidP="00A75E18">
                    <w:pPr>
                      <w:spacing w:after="0" w:line="240" w:lineRule="auto"/>
                      <w:rPr>
                        <w:lang w:val="en-US"/>
                      </w:rPr>
                    </w:pPr>
                    <w:hyperlink r:id="rId7" w:history="1">
                      <w:r w:rsidR="00DE5F50" w:rsidRPr="009D1A01">
                        <w:rPr>
                          <w:rStyle w:val="Collegamentoipertestuale"/>
                          <w:lang w:val="en-US"/>
                        </w:rPr>
                        <w:t>marina.guffanti@boehringer-ingelheim.com</w:t>
                      </w:r>
                    </w:hyperlink>
                  </w:p>
                  <w:p w:rsidR="00DE5F50" w:rsidRPr="00956D7E" w:rsidRDefault="00DE5F50" w:rsidP="00A75E18">
                    <w:pPr>
                      <w:spacing w:after="0" w:line="240" w:lineRule="auto"/>
                      <w:rPr>
                        <w:lang w:val="en-US"/>
                      </w:rPr>
                    </w:pPr>
                  </w:p>
                  <w:p w:rsidR="00DE5F50" w:rsidRDefault="009F6C9F" w:rsidP="005E2946">
                    <w:r>
                      <w:rPr>
                        <w:noProof/>
                        <w:lang w:eastAsia="it-IT"/>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it-IT"/>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DE5F50" w:rsidRPr="00324A83" w:rsidRDefault="00DE5F50" w:rsidP="005E2946">
                    <w:pPr>
                      <w:rPr>
                        <w:b/>
                        <w:color w:val="003366"/>
                      </w:rPr>
                    </w:pPr>
                    <w:r w:rsidRPr="00324A83">
                      <w:rPr>
                        <w:b/>
                        <w:color w:val="003366"/>
                      </w:rPr>
                      <w:t>Per maggiori informazioni</w:t>
                    </w:r>
                  </w:p>
                  <w:p w:rsidR="00DE5F50" w:rsidRPr="00324A83" w:rsidRDefault="00EB34AE" w:rsidP="005E2946">
                    <w:pPr>
                      <w:spacing w:after="120"/>
                      <w:ind w:left="42"/>
                    </w:pPr>
                    <w:hyperlink r:id="rId8" w:history="1">
                      <w:r w:rsidR="00DE5F50" w:rsidRPr="00324A83">
                        <w:rPr>
                          <w:rStyle w:val="Collegamentoipertestuale"/>
                        </w:rPr>
                        <w:t>www.boehringer-ingelheim.com</w:t>
                      </w:r>
                    </w:hyperlink>
                  </w:p>
                  <w:p w:rsidR="00DE5F50" w:rsidRPr="002C4B3E" w:rsidRDefault="009F6C9F" w:rsidP="005E2946">
                    <w:r>
                      <w:rPr>
                        <w:noProof/>
                        <w:lang w:eastAsia="it-IT"/>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v:textbox>
              <w10:wrap anchorx="page" anchory="page"/>
              <w10:anchorlock/>
            </v:shape>
          </w:pict>
        </mc:Fallback>
      </mc:AlternateContent>
    </w:r>
    <w:r>
      <w:rPr>
        <w:noProof/>
        <w:lang w:eastAsia="it-IT"/>
      </w:rPr>
      <mc:AlternateContent>
        <mc:Choice Requires="wps">
          <w:drawing>
            <wp:anchor distT="0" distB="0" distL="114300" distR="114300" simplePos="0" relativeHeight="251655680" behindDoc="0" locked="1" layoutInCell="0" allowOverlap="1">
              <wp:simplePos x="0" y="0"/>
              <wp:positionH relativeFrom="page">
                <wp:posOffset>520700</wp:posOffset>
              </wp:positionH>
              <wp:positionV relativeFrom="page">
                <wp:posOffset>1166495</wp:posOffset>
              </wp:positionV>
              <wp:extent cx="4434205" cy="6362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F50" w:rsidRPr="00E90EC2" w:rsidRDefault="00DE5F50" w:rsidP="005E2946">
                          <w:pPr>
                            <w:rPr>
                              <w:rFonts w:cs="Arial"/>
                              <w:b/>
                              <w:color w:val="FFFFFF"/>
                              <w:sz w:val="72"/>
                              <w:szCs w:val="72"/>
                            </w:rPr>
                          </w:pPr>
                          <w:r>
                            <w:rPr>
                              <w:rFonts w:cs="Arial"/>
                              <w:b/>
                              <w:color w:val="FFFFFF"/>
                              <w:sz w:val="72"/>
                              <w:szCs w:val="72"/>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pt;margin-top:91.85pt;width:349.15pt;height:5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C0swIAALA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" o:allowincell="f" filled="f" stroked="f">
              <v:textbox inset="0,0,0,0">
                <w:txbxContent>
                  <w:p w:rsidR="00DE5F50" w:rsidRPr="00E90EC2" w:rsidRDefault="00DE5F50" w:rsidP="005E2946">
                    <w:pPr>
                      <w:rPr>
                        <w:rFonts w:cs="Arial"/>
                        <w:b/>
                        <w:color w:val="FFFFFF"/>
                        <w:sz w:val="72"/>
                        <w:szCs w:val="72"/>
                      </w:rPr>
                    </w:pPr>
                    <w:r>
                      <w:rPr>
                        <w:rFonts w:cs="Arial"/>
                        <w:b/>
                        <w:color w:val="FFFFFF"/>
                        <w:sz w:val="72"/>
                        <w:szCs w:val="72"/>
                      </w:rPr>
                      <w:t>Comunicato Stampa</w:t>
                    </w:r>
                  </w:p>
                </w:txbxContent>
              </v:textbox>
              <w10:wrap anchorx="page" anchory="page"/>
              <w10:anchorlock/>
            </v:shape>
          </w:pict>
        </mc:Fallback>
      </mc:AlternateContent>
    </w:r>
    <w:r>
      <w:rPr>
        <w:noProof/>
        <w:lang w:eastAsia="it-IT"/>
      </w:rPr>
      <w:drawing>
        <wp:anchor distT="0" distB="0" distL="114300" distR="114300" simplePos="0" relativeHeight="251661824" behindDoc="0" locked="0" layoutInCell="1" allowOverlap="1">
          <wp:simplePos x="0" y="0"/>
          <wp:positionH relativeFrom="page">
            <wp:posOffset>5431155</wp:posOffset>
          </wp:positionH>
          <wp:positionV relativeFrom="page">
            <wp:posOffset>954405</wp:posOffset>
          </wp:positionV>
          <wp:extent cx="1543685" cy="478155"/>
          <wp:effectExtent l="0" t="0" r="0" b="0"/>
          <wp:wrapNone/>
          <wp:docPr id="21" name="Bild 1" descr="BI-Logo_36pt_blu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ogo_36pt_blue_n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478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2608" behindDoc="1" locked="1" layoutInCell="1" allowOverlap="1">
              <wp:simplePos x="0" y="0"/>
              <wp:positionH relativeFrom="page">
                <wp:posOffset>0</wp:posOffset>
              </wp:positionH>
              <wp:positionV relativeFrom="page">
                <wp:posOffset>601345</wp:posOffset>
              </wp:positionV>
              <wp:extent cx="5039995" cy="125984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1021" id="Rectangle 11" o:spid="_x0000_s1026" style="position:absolute;margin-left:0;margin-top:47.35pt;width:396.85pt;height:99.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" fillcolor="#f90" stroked="f" strokecolor="#f2f2f2" strokeweight="3pt">
              <v:shadow color="#651919" opacity=".5" offse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E03"/>
    <w:multiLevelType w:val="multilevel"/>
    <w:tmpl w:val="7E54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57BE"/>
    <w:multiLevelType w:val="hybridMultilevel"/>
    <w:tmpl w:val="A1C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75F49"/>
    <w:multiLevelType w:val="hybridMultilevel"/>
    <w:tmpl w:val="73B4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4689D"/>
    <w:multiLevelType w:val="hybridMultilevel"/>
    <w:tmpl w:val="53EAA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32077"/>
    <w:multiLevelType w:val="hybridMultilevel"/>
    <w:tmpl w:val="79A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59F"/>
    <w:multiLevelType w:val="hybridMultilevel"/>
    <w:tmpl w:val="E836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B1552"/>
    <w:multiLevelType w:val="hybridMultilevel"/>
    <w:tmpl w:val="46127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BB5788"/>
    <w:multiLevelType w:val="hybridMultilevel"/>
    <w:tmpl w:val="A61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C7EEB"/>
    <w:multiLevelType w:val="hybridMultilevel"/>
    <w:tmpl w:val="B120A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925D8A"/>
    <w:multiLevelType w:val="hybridMultilevel"/>
    <w:tmpl w:val="8C8AF798"/>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0" w15:restartNumberingAfterBreak="0">
    <w:nsid w:val="64BA04EC"/>
    <w:multiLevelType w:val="hybridMultilevel"/>
    <w:tmpl w:val="06D0C0FA"/>
    <w:lvl w:ilvl="0" w:tplc="F0CEC4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10BCB"/>
    <w:multiLevelType w:val="hybridMultilevel"/>
    <w:tmpl w:val="CB6A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7"/>
  </w:num>
  <w:num w:numId="6">
    <w:abstractNumId w:val="8"/>
  </w:num>
  <w:num w:numId="7">
    <w:abstractNumId w:val="9"/>
  </w:num>
  <w:num w:numId="8">
    <w:abstractNumId w:val="1"/>
  </w:num>
  <w:num w:numId="9">
    <w:abstractNumId w:val="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740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43"/>
    <w:rsid w:val="000233D3"/>
    <w:rsid w:val="00024DD8"/>
    <w:rsid w:val="00085D47"/>
    <w:rsid w:val="000D7014"/>
    <w:rsid w:val="0013505B"/>
    <w:rsid w:val="0014331A"/>
    <w:rsid w:val="001C65B1"/>
    <w:rsid w:val="001E1700"/>
    <w:rsid w:val="001E30CE"/>
    <w:rsid w:val="0020498F"/>
    <w:rsid w:val="00221DF5"/>
    <w:rsid w:val="00251758"/>
    <w:rsid w:val="0029629C"/>
    <w:rsid w:val="002C3CF5"/>
    <w:rsid w:val="002D79EF"/>
    <w:rsid w:val="00324A83"/>
    <w:rsid w:val="00376DC9"/>
    <w:rsid w:val="00381EDD"/>
    <w:rsid w:val="003A1A46"/>
    <w:rsid w:val="003D0975"/>
    <w:rsid w:val="003F5C4D"/>
    <w:rsid w:val="00407D8E"/>
    <w:rsid w:val="00415BE2"/>
    <w:rsid w:val="0043247C"/>
    <w:rsid w:val="00452E42"/>
    <w:rsid w:val="004617F6"/>
    <w:rsid w:val="00497E3A"/>
    <w:rsid w:val="004A0372"/>
    <w:rsid w:val="004B7F04"/>
    <w:rsid w:val="004E6AA3"/>
    <w:rsid w:val="00516BF2"/>
    <w:rsid w:val="00590103"/>
    <w:rsid w:val="005E0FCC"/>
    <w:rsid w:val="005E2946"/>
    <w:rsid w:val="00601BDE"/>
    <w:rsid w:val="00606EA2"/>
    <w:rsid w:val="0066719B"/>
    <w:rsid w:val="0067598B"/>
    <w:rsid w:val="00683BCC"/>
    <w:rsid w:val="006A26A8"/>
    <w:rsid w:val="006C3937"/>
    <w:rsid w:val="006C7C99"/>
    <w:rsid w:val="00716577"/>
    <w:rsid w:val="00764DD6"/>
    <w:rsid w:val="007B04BB"/>
    <w:rsid w:val="007B0CD9"/>
    <w:rsid w:val="007C2358"/>
    <w:rsid w:val="007C65F8"/>
    <w:rsid w:val="00825F5D"/>
    <w:rsid w:val="00895D7A"/>
    <w:rsid w:val="008A3587"/>
    <w:rsid w:val="008D3232"/>
    <w:rsid w:val="008D3E31"/>
    <w:rsid w:val="008E1392"/>
    <w:rsid w:val="0091619D"/>
    <w:rsid w:val="0094079C"/>
    <w:rsid w:val="00954330"/>
    <w:rsid w:val="00962262"/>
    <w:rsid w:val="00977337"/>
    <w:rsid w:val="009C3479"/>
    <w:rsid w:val="009F6C9F"/>
    <w:rsid w:val="00A02962"/>
    <w:rsid w:val="00A14D70"/>
    <w:rsid w:val="00A20932"/>
    <w:rsid w:val="00A75E18"/>
    <w:rsid w:val="00A9517E"/>
    <w:rsid w:val="00AA2F97"/>
    <w:rsid w:val="00AC7343"/>
    <w:rsid w:val="00AF10AE"/>
    <w:rsid w:val="00B0422F"/>
    <w:rsid w:val="00B52D16"/>
    <w:rsid w:val="00B74F10"/>
    <w:rsid w:val="00B833E9"/>
    <w:rsid w:val="00B90135"/>
    <w:rsid w:val="00BE23E5"/>
    <w:rsid w:val="00BF3CC7"/>
    <w:rsid w:val="00C032C4"/>
    <w:rsid w:val="00C379AE"/>
    <w:rsid w:val="00C66077"/>
    <w:rsid w:val="00C7536A"/>
    <w:rsid w:val="00C82138"/>
    <w:rsid w:val="00D102B5"/>
    <w:rsid w:val="00D13B32"/>
    <w:rsid w:val="00D14654"/>
    <w:rsid w:val="00D37FBB"/>
    <w:rsid w:val="00D91F42"/>
    <w:rsid w:val="00DE5F50"/>
    <w:rsid w:val="00E32CD3"/>
    <w:rsid w:val="00E61CC1"/>
    <w:rsid w:val="00E670D4"/>
    <w:rsid w:val="00EA4507"/>
    <w:rsid w:val="00EA6FED"/>
    <w:rsid w:val="00EB34AE"/>
    <w:rsid w:val="00ED5FD5"/>
    <w:rsid w:val="00F171F3"/>
    <w:rsid w:val="00F457D8"/>
    <w:rsid w:val="00FA1C4F"/>
    <w:rsid w:val="00FE5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EFD0E26"/>
  <w15:chartTrackingRefBased/>
  <w15:docId w15:val="{ACA38A6E-9E11-4AFF-B944-DD93CC88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E51B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7343"/>
  </w:style>
  <w:style w:type="paragraph" w:styleId="Pidipagina">
    <w:name w:val="footer"/>
    <w:basedOn w:val="Normale"/>
    <w:link w:val="PidipaginaCarattere"/>
    <w:uiPriority w:val="99"/>
    <w:unhideWhenUsed/>
    <w:rsid w:val="00AC7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7343"/>
  </w:style>
  <w:style w:type="paragraph" w:styleId="Testonotadichiusura">
    <w:name w:val="endnote text"/>
    <w:basedOn w:val="Normale"/>
    <w:link w:val="TestonotadichiusuraCarattere"/>
    <w:uiPriority w:val="99"/>
    <w:unhideWhenUsed/>
    <w:rsid w:val="00AC7343"/>
    <w:pPr>
      <w:spacing w:after="0" w:line="240" w:lineRule="auto"/>
    </w:pPr>
    <w:rPr>
      <w:sz w:val="20"/>
      <w:szCs w:val="20"/>
      <w:lang w:val="x-none" w:eastAsia="x-none"/>
    </w:rPr>
  </w:style>
  <w:style w:type="character" w:customStyle="1" w:styleId="TestonotadichiusuraCarattere">
    <w:name w:val="Testo nota di chiusura Carattere"/>
    <w:link w:val="Testonotadichiusura"/>
    <w:uiPriority w:val="99"/>
    <w:rsid w:val="00AC7343"/>
    <w:rPr>
      <w:sz w:val="20"/>
      <w:szCs w:val="20"/>
    </w:rPr>
  </w:style>
  <w:style w:type="character" w:styleId="Collegamentoipertestuale">
    <w:name w:val="Hyperlink"/>
    <w:uiPriority w:val="99"/>
    <w:semiHidden/>
    <w:rsid w:val="00AC7343"/>
    <w:rPr>
      <w:rFonts w:cs="Times New Roman"/>
      <w:color w:val="auto"/>
      <w:u w:val="none"/>
    </w:rPr>
  </w:style>
  <w:style w:type="character" w:styleId="Rimandonotadichiusura">
    <w:name w:val="endnote reference"/>
    <w:uiPriority w:val="99"/>
    <w:unhideWhenUsed/>
    <w:rsid w:val="00AC7343"/>
    <w:rPr>
      <w:vertAlign w:val="superscript"/>
    </w:rPr>
  </w:style>
  <w:style w:type="paragraph" w:styleId="Testonotaapidipagina">
    <w:name w:val="footnote text"/>
    <w:basedOn w:val="Normale"/>
    <w:link w:val="TestonotaapidipaginaCarattere"/>
    <w:uiPriority w:val="99"/>
    <w:semiHidden/>
    <w:unhideWhenUsed/>
    <w:rsid w:val="00AC7343"/>
    <w:pPr>
      <w:spacing w:after="0" w:line="283" w:lineRule="atLeast"/>
    </w:pPr>
    <w:rPr>
      <w:rFonts w:ascii="BISans" w:eastAsia="Times New Roman" w:hAnsi="BISans"/>
      <w:sz w:val="20"/>
      <w:szCs w:val="20"/>
      <w:lang w:val="de-DE" w:eastAsia="x-none"/>
    </w:rPr>
  </w:style>
  <w:style w:type="character" w:customStyle="1" w:styleId="TestonotaapidipaginaCarattere">
    <w:name w:val="Testo nota a piè di pagina Carattere"/>
    <w:link w:val="Testonotaapidipagina"/>
    <w:uiPriority w:val="99"/>
    <w:semiHidden/>
    <w:rsid w:val="00AC7343"/>
    <w:rPr>
      <w:rFonts w:ascii="BISans" w:eastAsia="Times New Roman" w:hAnsi="BISans" w:cs="Times New Roman"/>
      <w:sz w:val="20"/>
      <w:szCs w:val="20"/>
      <w:lang w:val="de-DE"/>
    </w:rPr>
  </w:style>
  <w:style w:type="character" w:styleId="Rimandonotaapidipagina">
    <w:name w:val="footnote reference"/>
    <w:uiPriority w:val="99"/>
    <w:semiHidden/>
    <w:unhideWhenUsed/>
    <w:rsid w:val="00AC7343"/>
    <w:rPr>
      <w:rFonts w:ascii="Times New Roman" w:hAnsi="Times New Roman" w:cs="Times New Roman" w:hint="default"/>
      <w:vertAlign w:val="superscript"/>
    </w:rPr>
  </w:style>
  <w:style w:type="paragraph" w:styleId="Testofumetto">
    <w:name w:val="Balloon Text"/>
    <w:basedOn w:val="Normale"/>
    <w:link w:val="TestofumettoCarattere"/>
    <w:uiPriority w:val="99"/>
    <w:semiHidden/>
    <w:unhideWhenUsed/>
    <w:rsid w:val="008A3587"/>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8A3587"/>
    <w:rPr>
      <w:rFonts w:ascii="Tahoma" w:hAnsi="Tahoma" w:cs="Tahoma"/>
      <w:sz w:val="16"/>
      <w:szCs w:val="16"/>
      <w:lang w:eastAsia="en-US"/>
    </w:rPr>
  </w:style>
  <w:style w:type="character" w:styleId="Rimandocommento">
    <w:name w:val="annotation reference"/>
    <w:uiPriority w:val="99"/>
    <w:semiHidden/>
    <w:unhideWhenUsed/>
    <w:rsid w:val="003F5C4D"/>
    <w:rPr>
      <w:sz w:val="16"/>
      <w:szCs w:val="16"/>
    </w:rPr>
  </w:style>
  <w:style w:type="paragraph" w:styleId="Testocommento">
    <w:name w:val="annotation text"/>
    <w:basedOn w:val="Normale"/>
    <w:link w:val="TestocommentoCarattere"/>
    <w:uiPriority w:val="99"/>
    <w:unhideWhenUsed/>
    <w:rsid w:val="003F5C4D"/>
    <w:rPr>
      <w:sz w:val="20"/>
      <w:szCs w:val="20"/>
      <w:lang w:val="x-none"/>
    </w:rPr>
  </w:style>
  <w:style w:type="character" w:customStyle="1" w:styleId="TestocommentoCarattere">
    <w:name w:val="Testo commento Carattere"/>
    <w:link w:val="Testocommento"/>
    <w:uiPriority w:val="99"/>
    <w:rsid w:val="003F5C4D"/>
    <w:rPr>
      <w:lang w:eastAsia="en-US"/>
    </w:rPr>
  </w:style>
  <w:style w:type="paragraph" w:styleId="Soggettocommento">
    <w:name w:val="annotation subject"/>
    <w:basedOn w:val="Testocommento"/>
    <w:next w:val="Testocommento"/>
    <w:link w:val="SoggettocommentoCarattere"/>
    <w:uiPriority w:val="99"/>
    <w:semiHidden/>
    <w:unhideWhenUsed/>
    <w:rsid w:val="003F5C4D"/>
    <w:rPr>
      <w:b/>
      <w:bCs/>
    </w:rPr>
  </w:style>
  <w:style w:type="character" w:customStyle="1" w:styleId="SoggettocommentoCarattere">
    <w:name w:val="Soggetto commento Carattere"/>
    <w:link w:val="Soggettocommento"/>
    <w:uiPriority w:val="99"/>
    <w:semiHidden/>
    <w:rsid w:val="003F5C4D"/>
    <w:rPr>
      <w:b/>
      <w:bCs/>
      <w:lang w:eastAsia="en-US"/>
    </w:rPr>
  </w:style>
  <w:style w:type="paragraph" w:styleId="Revisione">
    <w:name w:val="Revision"/>
    <w:hidden/>
    <w:uiPriority w:val="99"/>
    <w:semiHidden/>
    <w:rsid w:val="00A9517E"/>
    <w:rPr>
      <w:sz w:val="22"/>
      <w:szCs w:val="22"/>
      <w:lang w:eastAsia="en-US"/>
    </w:rPr>
  </w:style>
  <w:style w:type="character" w:styleId="Collegamentovisitato">
    <w:name w:val="FollowedHyperlink"/>
    <w:basedOn w:val="Carpredefinitoparagrafo"/>
    <w:uiPriority w:val="99"/>
    <w:semiHidden/>
    <w:unhideWhenUsed/>
    <w:rsid w:val="00381EDD"/>
    <w:rPr>
      <w:color w:val="800080"/>
      <w:u w:val="single"/>
    </w:rPr>
  </w:style>
  <w:style w:type="paragraph" w:customStyle="1" w:styleId="Default">
    <w:name w:val="Default"/>
    <w:uiPriority w:val="99"/>
    <w:rsid w:val="00024DD8"/>
    <w:pPr>
      <w:autoSpaceDE w:val="0"/>
      <w:autoSpaceDN w:val="0"/>
      <w:adjustRightInd w:val="0"/>
    </w:pPr>
    <w:rPr>
      <w:rFonts w:ascii="Arial" w:eastAsiaTheme="minorHAnsi" w:hAnsi="Arial" w:cs="Arial"/>
      <w:color w:val="000000"/>
      <w:sz w:val="24"/>
      <w:szCs w:val="24"/>
      <w:lang w:val="en-GB" w:eastAsia="en-US"/>
    </w:rPr>
  </w:style>
  <w:style w:type="character" w:customStyle="1" w:styleId="Highlight">
    <w:name w:val="Highlight"/>
    <w:uiPriority w:val="99"/>
    <w:rsid w:val="00024DD8"/>
    <w:rPr>
      <w:b/>
      <w:bCs/>
      <w:color w:val="1F3F79"/>
    </w:rPr>
  </w:style>
  <w:style w:type="paragraph" w:styleId="Paragrafoelenco">
    <w:name w:val="List Paragraph"/>
    <w:basedOn w:val="Normale"/>
    <w:uiPriority w:val="34"/>
    <w:qFormat/>
    <w:rsid w:val="00024DD8"/>
    <w:pPr>
      <w:spacing w:after="0" w:line="240" w:lineRule="auto"/>
      <w:ind w:left="720"/>
      <w:contextualSpacing/>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579603?term=1199.222&amp;rank=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paleari@vrelations.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guffanti@boehringer-ingelhei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nnualreport.boehringer-ingelheim.com" TargetMode="External"/><Relationship Id="rId4" Type="http://schemas.openxmlformats.org/officeDocument/2006/relationships/settings" Target="settings.xml"/><Relationship Id="rId9" Type="http://schemas.openxmlformats.org/officeDocument/2006/relationships/hyperlink" Target="https://urldefense.proofpoint.com/v2/url?u=https-3A__cms.psav.com_ats2017_confcal&amp;d=DwMFAg&amp;c=4JOzdpIlQcN5fHQL_PMhCQ&amp;r=lnm5ztxAC-BCqJuwOUHdFw&amp;m=iYVoarOJX9basW8mx_LSr61f7Ci9KBCSgZgDJLCjP6o&amp;s=hLDah6tukWZDC7avgiNjVeYlVDbdo5fI8nje1m5qqvY&am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boehringer-ingelheim.com" TargetMode="External"/><Relationship Id="rId3" Type="http://schemas.openxmlformats.org/officeDocument/2006/relationships/hyperlink" Target="mailto:marina.guffanti@boehringer-ingelheim.com" TargetMode="External"/><Relationship Id="rId7" Type="http://schemas.openxmlformats.org/officeDocument/2006/relationships/hyperlink" Target="mailto:marina.guffanti@boehringer-ingelheim.com" TargetMode="External"/><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hyperlink" Target="http://www.boehringer-ingelheim.com" TargetMode="External"/><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742E-5302-4E09-ADB4-6978AC5B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1906</Words>
  <Characters>10867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Boehringer Ingelheim</Company>
  <LinksUpToDate>false</LinksUpToDate>
  <CharactersWithSpaces>12748</CharactersWithSpaces>
  <SharedDoc>false</SharedDoc>
  <HLinks>
    <vt:vector size="36" baseType="variant">
      <vt:variant>
        <vt:i4>524393</vt:i4>
      </vt:variant>
      <vt:variant>
        <vt:i4>39</vt:i4>
      </vt:variant>
      <vt:variant>
        <vt:i4>0</vt:i4>
      </vt:variant>
      <vt:variant>
        <vt:i4>5</vt:i4>
      </vt:variant>
      <vt:variant>
        <vt:lpwstr>mailto:ml.paleari@vrelations.it</vt:lpwstr>
      </vt:variant>
      <vt:variant>
        <vt:lpwstr/>
      </vt:variant>
      <vt:variant>
        <vt:i4>3211269</vt:i4>
      </vt:variant>
      <vt:variant>
        <vt:i4>36</vt:i4>
      </vt:variant>
      <vt:variant>
        <vt:i4>0</vt:i4>
      </vt:variant>
      <vt:variant>
        <vt:i4>5</vt:i4>
      </vt:variant>
      <vt:variant>
        <vt:lpwstr>mailto:marina.guffanti@boehringer-ingelheim.com</vt:lpwstr>
      </vt:variant>
      <vt:variant>
        <vt:lpwstr/>
      </vt:variant>
      <vt:variant>
        <vt:i4>1835087</vt:i4>
      </vt:variant>
      <vt:variant>
        <vt:i4>33</vt:i4>
      </vt:variant>
      <vt:variant>
        <vt:i4>0</vt:i4>
      </vt:variant>
      <vt:variant>
        <vt:i4>5</vt:i4>
      </vt:variant>
      <vt:variant>
        <vt:lpwstr>http://www.boehringer-ingelheim.com/</vt:lpwstr>
      </vt:variant>
      <vt:variant>
        <vt:lpwstr/>
      </vt:variant>
      <vt:variant>
        <vt:i4>5177356</vt:i4>
      </vt:variant>
      <vt:variant>
        <vt:i4>30</vt:i4>
      </vt:variant>
      <vt:variant>
        <vt:i4>0</vt:i4>
      </vt:variant>
      <vt:variant>
        <vt:i4>5</vt:i4>
      </vt:variant>
      <vt:variant>
        <vt:lpwstr>http://www.boehringer-ingelheim-congress.com/</vt:lpwstr>
      </vt:variant>
      <vt:variant>
        <vt:lpwstr/>
      </vt:variant>
      <vt:variant>
        <vt:i4>1835087</vt:i4>
      </vt:variant>
      <vt:variant>
        <vt:i4>6</vt:i4>
      </vt:variant>
      <vt:variant>
        <vt:i4>0</vt:i4>
      </vt:variant>
      <vt:variant>
        <vt:i4>5</vt:i4>
      </vt:variant>
      <vt:variant>
        <vt:lpwstr>http://www.boehringer-ingelheim.com/</vt:lpwstr>
      </vt:variant>
      <vt:variant>
        <vt:lpwstr/>
      </vt:variant>
      <vt:variant>
        <vt:i4>3211269</vt:i4>
      </vt:variant>
      <vt:variant>
        <vt:i4>3</vt:i4>
      </vt:variant>
      <vt:variant>
        <vt:i4>0</vt:i4>
      </vt:variant>
      <vt:variant>
        <vt:i4>5</vt:i4>
      </vt:variant>
      <vt:variant>
        <vt:lpwstr>mailto:marina.guffanti@boehringer-ingelheim.com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Alessio Pappagallo</cp:lastModifiedBy>
  <cp:revision>6</cp:revision>
  <cp:lastPrinted>2016-03-07T16:50:00Z</cp:lastPrinted>
  <dcterms:created xsi:type="dcterms:W3CDTF">2017-05-24T13:24:00Z</dcterms:created>
  <dcterms:modified xsi:type="dcterms:W3CDTF">2017-05-24T13:37:00Z</dcterms:modified>
</cp:coreProperties>
</file>