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18" w:rsidRPr="004670C3" w:rsidRDefault="00CE4A18" w:rsidP="00CE4A18">
      <w:pPr>
        <w:pStyle w:val="PRH1"/>
        <w:tabs>
          <w:tab w:val="clear" w:pos="283"/>
          <w:tab w:val="clear" w:pos="567"/>
        </w:tabs>
        <w:spacing w:line="283" w:lineRule="atLeast"/>
        <w:rPr>
          <w:rFonts w:asciiTheme="minorHAnsi" w:hAnsiTheme="minorHAnsi" w:cs="Arial"/>
          <w:color w:val="003366"/>
          <w:sz w:val="28"/>
          <w:szCs w:val="32"/>
          <w:lang w:val="it-IT" w:eastAsia="zh-TW"/>
        </w:rPr>
      </w:pPr>
      <w:r w:rsidRPr="004670C3">
        <w:rPr>
          <w:rFonts w:asciiTheme="minorHAnsi" w:hAnsiTheme="minorHAnsi" w:cs="Arial"/>
          <w:color w:val="003366"/>
          <w:sz w:val="28"/>
          <w:szCs w:val="32"/>
          <w:lang w:val="it-IT" w:eastAsia="zh-TW"/>
        </w:rPr>
        <w:t>ATS 2017</w:t>
      </w:r>
    </w:p>
    <w:p w:rsidR="00764DD6" w:rsidRPr="004670C3" w:rsidRDefault="00CE4A18" w:rsidP="00B259A8">
      <w:pPr>
        <w:pStyle w:val="PRH1"/>
        <w:tabs>
          <w:tab w:val="clear" w:pos="283"/>
          <w:tab w:val="clear" w:pos="567"/>
        </w:tabs>
        <w:spacing w:line="283" w:lineRule="atLeast"/>
        <w:jc w:val="both"/>
        <w:rPr>
          <w:rFonts w:asciiTheme="minorHAnsi" w:hAnsiTheme="minorHAnsi" w:cs="Arial"/>
          <w:color w:val="003366"/>
          <w:sz w:val="32"/>
          <w:szCs w:val="28"/>
          <w:lang w:val="it-IT" w:eastAsia="zh-TW"/>
        </w:rPr>
      </w:pPr>
      <w:r w:rsidRPr="004670C3">
        <w:rPr>
          <w:rFonts w:asciiTheme="minorHAnsi" w:hAnsiTheme="minorHAnsi" w:cs="Arial"/>
          <w:color w:val="003366"/>
          <w:sz w:val="32"/>
          <w:szCs w:val="28"/>
          <w:lang w:val="it-IT" w:eastAsia="zh-TW"/>
        </w:rPr>
        <w:t>Tiotropio Respimat® migliora la respirazione di chi soffre d’asma, indipendentemente dall’indice di massa corporea o dallo stato allergico</w:t>
      </w:r>
    </w:p>
    <w:p w:rsidR="00B259A8" w:rsidRPr="004670C3" w:rsidRDefault="00B259A8" w:rsidP="00B259A8">
      <w:pPr>
        <w:pStyle w:val="PRH1"/>
        <w:tabs>
          <w:tab w:val="clear" w:pos="283"/>
          <w:tab w:val="clear" w:pos="567"/>
        </w:tabs>
        <w:spacing w:line="283" w:lineRule="atLeast"/>
        <w:jc w:val="both"/>
        <w:rPr>
          <w:rFonts w:asciiTheme="minorHAnsi" w:hAnsiTheme="minorHAnsi" w:cs="Arial"/>
          <w:color w:val="003366"/>
          <w:sz w:val="28"/>
          <w:szCs w:val="28"/>
          <w:lang w:val="it-IT" w:eastAsia="zh-TW"/>
        </w:rPr>
      </w:pPr>
    </w:p>
    <w:p w:rsidR="00CE4A18" w:rsidRPr="004670C3" w:rsidRDefault="00CE4A18" w:rsidP="00CE4A18">
      <w:pPr>
        <w:pStyle w:val="Paragrafoelenco"/>
        <w:numPr>
          <w:ilvl w:val="0"/>
          <w:numId w:val="11"/>
        </w:numPr>
        <w:jc w:val="both"/>
        <w:outlineLvl w:val="0"/>
        <w:rPr>
          <w:rFonts w:asciiTheme="minorHAnsi" w:hAnsiTheme="minorHAnsi" w:cs="Arial"/>
          <w:bCs/>
          <w:kern w:val="36"/>
          <w:sz w:val="20"/>
          <w:szCs w:val="20"/>
          <w:lang w:val="it-IT"/>
        </w:rPr>
      </w:pPr>
      <w:r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L’aggiunta di tiotropio Respimat® ha migliorato la funzionalità polmonare e il controllo dei sintomi dell’asma nei bambini e negli adolescenti,</w:t>
      </w:r>
      <w:r w:rsidRPr="004670C3">
        <w:rPr>
          <w:rStyle w:val="Rimandonotaapidipagina"/>
          <w:rFonts w:asciiTheme="minorHAnsi" w:hAnsiTheme="minorHAnsi"/>
          <w:kern w:val="36"/>
          <w:sz w:val="20"/>
          <w:szCs w:val="20"/>
          <w:lang w:val="it-IT"/>
        </w:rPr>
        <w:footnoteReference w:id="1"/>
      </w:r>
      <w:r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 indipendentemente dal tipo di asma allergica, rispetto a placebo</w:t>
      </w:r>
      <w:bookmarkStart w:id="0" w:name="_Ref482084677"/>
      <w:r w:rsidRPr="004670C3">
        <w:rPr>
          <w:rStyle w:val="Rimandonotadichiusura"/>
          <w:rFonts w:asciiTheme="minorHAnsi" w:hAnsiTheme="minorHAnsi" w:cs="Arial"/>
          <w:bCs/>
          <w:kern w:val="36"/>
          <w:sz w:val="20"/>
          <w:szCs w:val="20"/>
          <w:lang w:val="it-IT"/>
        </w:rPr>
        <w:endnoteReference w:id="1"/>
      </w:r>
      <w:bookmarkEnd w:id="0"/>
      <w:r w:rsidRPr="004670C3">
        <w:rPr>
          <w:rFonts w:asciiTheme="minorHAnsi" w:hAnsiTheme="minorHAnsi" w:cs="Arial"/>
          <w:bCs/>
          <w:kern w:val="36"/>
          <w:sz w:val="20"/>
          <w:szCs w:val="20"/>
          <w:vertAlign w:val="superscript"/>
          <w:lang w:val="it-IT"/>
        </w:rPr>
        <w:t>,</w:t>
      </w:r>
      <w:bookmarkStart w:id="1" w:name="_Ref482084679"/>
      <w:r w:rsidRPr="004670C3">
        <w:rPr>
          <w:rStyle w:val="Rimandonotadichiusura"/>
          <w:rFonts w:asciiTheme="minorHAnsi" w:hAnsiTheme="minorHAnsi" w:cs="Arial"/>
          <w:bCs/>
          <w:kern w:val="36"/>
          <w:sz w:val="20"/>
          <w:szCs w:val="20"/>
          <w:lang w:val="it-IT"/>
        </w:rPr>
        <w:endnoteReference w:id="2"/>
      </w:r>
      <w:bookmarkEnd w:id="1"/>
    </w:p>
    <w:p w:rsidR="00CE4A18" w:rsidRPr="004670C3" w:rsidRDefault="00CE4A18" w:rsidP="00CE4A18">
      <w:pPr>
        <w:pStyle w:val="Paragrafoelenco"/>
        <w:numPr>
          <w:ilvl w:val="0"/>
          <w:numId w:val="11"/>
        </w:numPr>
        <w:jc w:val="both"/>
        <w:outlineLvl w:val="0"/>
        <w:rPr>
          <w:rFonts w:asciiTheme="minorHAnsi" w:hAnsiTheme="minorHAnsi" w:cs="Arial"/>
          <w:bCs/>
          <w:kern w:val="36"/>
          <w:sz w:val="20"/>
          <w:szCs w:val="20"/>
          <w:lang w:val="it-IT"/>
        </w:rPr>
      </w:pPr>
      <w:r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L’aggiunta di tiotropio</w:t>
      </w:r>
      <w:r w:rsidRPr="004670C3" w:rsidDel="008953E5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 </w:t>
      </w:r>
      <w:r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Respimat® ha migliorato l’ostruzione delle vie aeree negli adulti con asma sintomatica, indipendentemente dall’indice di massa corporea (BMI) rispetto a placebo</w:t>
      </w:r>
      <w:r w:rsidRPr="004670C3">
        <w:rPr>
          <w:rStyle w:val="Rimandonotadichiusura"/>
          <w:rFonts w:asciiTheme="minorHAnsi" w:hAnsiTheme="minorHAnsi" w:cs="Arial"/>
          <w:bCs/>
          <w:kern w:val="36"/>
          <w:sz w:val="20"/>
          <w:szCs w:val="20"/>
          <w:lang w:val="it-IT"/>
        </w:rPr>
        <w:endnoteReference w:id="3"/>
      </w:r>
      <w:r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 </w:t>
      </w:r>
    </w:p>
    <w:p w:rsidR="00CE4A18" w:rsidRPr="004670C3" w:rsidRDefault="009F38F8" w:rsidP="00CE4A18">
      <w:pPr>
        <w:pStyle w:val="Paragrafoelenco"/>
        <w:numPr>
          <w:ilvl w:val="0"/>
          <w:numId w:val="11"/>
        </w:numPr>
        <w:jc w:val="both"/>
        <w:outlineLvl w:val="0"/>
        <w:rPr>
          <w:rFonts w:asciiTheme="minorHAnsi" w:hAnsiTheme="minorHAnsi" w:cs="Arial"/>
          <w:bCs/>
          <w:kern w:val="36"/>
          <w:sz w:val="20"/>
          <w:szCs w:val="20"/>
          <w:lang w:val="it-IT"/>
        </w:rPr>
      </w:pPr>
      <w:r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T</w:t>
      </w:r>
      <w:r w:rsidR="00CE4A18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utte le analisi</w:t>
      </w:r>
      <w:r w:rsidR="00573B7C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 hanno dimostrato </w:t>
      </w:r>
      <w:r w:rsidR="00B259A8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che,</w:t>
      </w:r>
      <w:r w:rsidR="00CE4A18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 chi aveva sintomi d’asma non controllati ha riscontrato mig</w:t>
      </w:r>
      <w:r w:rsidR="00BC7073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lioramenti nella respirazione con </w:t>
      </w:r>
      <w:r w:rsidR="00CE4A18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l’aggiunta di tiotropio</w:t>
      </w:r>
      <w:r w:rsidR="00CE4A18" w:rsidRPr="004670C3" w:rsidDel="008953E5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 </w:t>
      </w:r>
      <w:r w:rsidR="00CE4A18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 xml:space="preserve">Respimat® a un corticosteroide per via inalatoria (ICS) o all’associazione </w:t>
      </w:r>
      <w:r w:rsidR="00CE4A18" w:rsidRPr="004670C3">
        <w:rPr>
          <w:rFonts w:asciiTheme="minorHAnsi" w:hAnsiTheme="minorHAnsi"/>
          <w:sz w:val="20"/>
          <w:szCs w:val="20"/>
          <w:lang w:val="it-IT"/>
        </w:rPr>
        <w:t>ICS/Beta2-agonisti a lunga durata d’azione (</w:t>
      </w:r>
      <w:r w:rsidR="00CE4A18" w:rsidRPr="004670C3">
        <w:rPr>
          <w:rFonts w:asciiTheme="minorHAnsi" w:hAnsiTheme="minorHAnsi" w:cs="Arial"/>
          <w:bCs/>
          <w:kern w:val="36"/>
          <w:sz w:val="20"/>
          <w:szCs w:val="20"/>
          <w:lang w:val="it-IT"/>
        </w:rPr>
        <w:t>LABA)</w:t>
      </w:r>
      <w:r w:rsidR="00CE4A18" w:rsidRPr="004670C3">
        <w:rPr>
          <w:rFonts w:asciiTheme="minorHAnsi" w:hAnsiTheme="minorHAnsi" w:cs="Arial"/>
          <w:bCs/>
          <w:kern w:val="36"/>
          <w:sz w:val="20"/>
          <w:szCs w:val="20"/>
          <w:vertAlign w:val="superscript"/>
          <w:lang w:val="it-IT"/>
        </w:rPr>
        <w:t>1,2,3</w:t>
      </w:r>
    </w:p>
    <w:p w:rsidR="00CE4A18" w:rsidRPr="004670C3" w:rsidRDefault="00CE4A18" w:rsidP="00764DD6">
      <w:pPr>
        <w:spacing w:after="0" w:line="264" w:lineRule="auto"/>
        <w:jc w:val="both"/>
        <w:rPr>
          <w:rFonts w:asciiTheme="minorHAnsi" w:eastAsia="BISans" w:hAnsiTheme="minorHAnsi" w:cs="Angsana New"/>
          <w:b/>
          <w:bCs/>
          <w:color w:val="003366"/>
          <w:sz w:val="20"/>
        </w:rPr>
      </w:pPr>
    </w:p>
    <w:p w:rsidR="00CE4A18" w:rsidRPr="004670C3" w:rsidRDefault="00CE4A18" w:rsidP="00CE4A1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="Arial"/>
          <w:szCs w:val="20"/>
        </w:rPr>
      </w:pPr>
      <w:r w:rsidRPr="004670C3">
        <w:rPr>
          <w:rStyle w:val="Highlight"/>
          <w:rFonts w:asciiTheme="minorHAnsi" w:hAnsiTheme="minorHAnsi" w:cs="Arial"/>
          <w:color w:val="003366"/>
        </w:rPr>
        <w:t xml:space="preserve">Ingelheim, </w:t>
      </w:r>
      <w:r w:rsidR="00B259A8" w:rsidRPr="004670C3">
        <w:rPr>
          <w:rStyle w:val="Highlight"/>
          <w:rFonts w:asciiTheme="minorHAnsi" w:hAnsiTheme="minorHAnsi" w:cs="Arial"/>
          <w:color w:val="003366"/>
        </w:rPr>
        <w:t xml:space="preserve">Germania, </w:t>
      </w:r>
      <w:r w:rsidRPr="004670C3">
        <w:rPr>
          <w:rStyle w:val="Highlight"/>
          <w:rFonts w:asciiTheme="minorHAnsi" w:hAnsiTheme="minorHAnsi" w:cs="Arial"/>
          <w:color w:val="003366"/>
        </w:rPr>
        <w:t>23 maggio 2017</w:t>
      </w:r>
      <w:r w:rsidRPr="004670C3">
        <w:rPr>
          <w:rFonts w:asciiTheme="minorHAnsi" w:hAnsiTheme="minorHAnsi" w:cs="Arial"/>
          <w:szCs w:val="20"/>
        </w:rPr>
        <w:t xml:space="preserve"> – Boehringer Ingelheim ha annunciato oggi i risultati di nuove </w:t>
      </w:r>
      <w:r w:rsidR="00B259A8" w:rsidRPr="004670C3">
        <w:rPr>
          <w:rFonts w:asciiTheme="minorHAnsi" w:hAnsiTheme="minorHAnsi" w:cs="Arial"/>
          <w:szCs w:val="20"/>
        </w:rPr>
        <w:t>analisi, nel</w:t>
      </w:r>
      <w:r w:rsidR="00BC7073" w:rsidRPr="004670C3">
        <w:rPr>
          <w:rFonts w:asciiTheme="minorHAnsi" w:hAnsiTheme="minorHAnsi" w:cs="Arial"/>
          <w:szCs w:val="20"/>
        </w:rPr>
        <w:t xml:space="preserve"> programma di sviluppo clinico di Fase III, </w:t>
      </w:r>
      <w:r w:rsidRPr="004670C3">
        <w:rPr>
          <w:rFonts w:asciiTheme="minorHAnsi" w:hAnsiTheme="minorHAnsi" w:cs="Arial"/>
          <w:szCs w:val="20"/>
        </w:rPr>
        <w:t xml:space="preserve">secondo le quali l’aggiunta di </w:t>
      </w:r>
      <w:r w:rsidRPr="004670C3">
        <w:rPr>
          <w:rFonts w:asciiTheme="minorHAnsi" w:hAnsiTheme="minorHAnsi" w:cs="Arial"/>
          <w:bCs/>
          <w:kern w:val="36"/>
          <w:szCs w:val="20"/>
        </w:rPr>
        <w:t>tiotropio</w:t>
      </w:r>
      <w:r w:rsidRPr="004670C3">
        <w:rPr>
          <w:rFonts w:asciiTheme="minorHAnsi" w:hAnsiTheme="minorHAnsi" w:cs="Arial"/>
          <w:szCs w:val="20"/>
        </w:rPr>
        <w:t xml:space="preserve"> </w:t>
      </w:r>
      <w:r w:rsidRPr="004670C3">
        <w:rPr>
          <w:rFonts w:asciiTheme="minorHAnsi" w:hAnsiTheme="minorHAnsi" w:cs="Arial"/>
          <w:bCs/>
          <w:kern w:val="36"/>
          <w:szCs w:val="20"/>
        </w:rPr>
        <w:t>Respimat®</w:t>
      </w:r>
      <w:r w:rsidRPr="004670C3">
        <w:rPr>
          <w:rFonts w:asciiTheme="minorHAnsi" w:hAnsiTheme="minorHAnsi" w:cs="Arial"/>
          <w:szCs w:val="20"/>
        </w:rPr>
        <w:t xml:space="preserve"> migliora la respirazione in diverse popolazioni di pazienti con </w:t>
      </w:r>
      <w:r w:rsidR="00573B7C" w:rsidRPr="004670C3">
        <w:rPr>
          <w:rFonts w:asciiTheme="minorHAnsi" w:hAnsiTheme="minorHAnsi" w:cs="Arial"/>
          <w:szCs w:val="20"/>
        </w:rPr>
        <w:t>sintomatologia asmatica non controllata</w:t>
      </w:r>
      <w:r w:rsidRPr="004670C3">
        <w:rPr>
          <w:rFonts w:asciiTheme="minorHAnsi" w:hAnsiTheme="minorHAnsi" w:cs="Arial"/>
          <w:szCs w:val="20"/>
        </w:rPr>
        <w:t xml:space="preserve">, nonostante </w:t>
      </w:r>
      <w:r w:rsidR="00573B7C" w:rsidRPr="004670C3">
        <w:rPr>
          <w:rFonts w:asciiTheme="minorHAnsi" w:hAnsiTheme="minorHAnsi" w:cs="Arial"/>
          <w:szCs w:val="20"/>
        </w:rPr>
        <w:t xml:space="preserve">stiano già assumendo una </w:t>
      </w:r>
      <w:r w:rsidRPr="004670C3">
        <w:rPr>
          <w:rFonts w:asciiTheme="minorHAnsi" w:hAnsiTheme="minorHAnsi" w:cs="Arial"/>
          <w:szCs w:val="20"/>
        </w:rPr>
        <w:t>terapia quotidiana di mantenimento</w:t>
      </w:r>
      <w:r w:rsidR="00BC7073" w:rsidRPr="004670C3">
        <w:rPr>
          <w:rFonts w:asciiTheme="minorHAnsi" w:hAnsiTheme="minorHAnsi" w:cs="Arial"/>
          <w:szCs w:val="20"/>
        </w:rPr>
        <w:t>.</w:t>
      </w:r>
      <w:r w:rsidRPr="004670C3">
        <w:rPr>
          <w:rFonts w:asciiTheme="minorHAnsi" w:hAnsiTheme="minorHAnsi" w:cs="Arial"/>
          <w:szCs w:val="20"/>
        </w:rPr>
        <w:t xml:space="preserve"> Questi dati sono stati presentati oggi in occasione del Congresso Internazionale dell’</w:t>
      </w:r>
      <w:r w:rsidRPr="004670C3">
        <w:rPr>
          <w:rFonts w:asciiTheme="minorHAnsi" w:hAnsiTheme="minorHAnsi" w:cs="Arial"/>
          <w:i/>
          <w:szCs w:val="20"/>
        </w:rPr>
        <w:t xml:space="preserve">American Thoracic Society </w:t>
      </w:r>
      <w:r w:rsidRPr="004670C3">
        <w:rPr>
          <w:rFonts w:asciiTheme="minorHAnsi" w:hAnsiTheme="minorHAnsi" w:cs="Arial"/>
          <w:szCs w:val="20"/>
        </w:rPr>
        <w:t>(ATS) che si svolge a Washington, D.C.</w:t>
      </w:r>
    </w:p>
    <w:p w:rsidR="00CE4A18" w:rsidRPr="004670C3" w:rsidRDefault="00CE4A18" w:rsidP="00764DD6">
      <w:pPr>
        <w:spacing w:after="0" w:line="264" w:lineRule="auto"/>
        <w:jc w:val="both"/>
        <w:rPr>
          <w:rFonts w:asciiTheme="minorHAnsi" w:eastAsia="BISans" w:hAnsiTheme="minorHAnsi" w:cs="Angsana New"/>
          <w:b/>
          <w:bCs/>
          <w:color w:val="003366"/>
          <w:sz w:val="20"/>
        </w:rPr>
      </w:pPr>
    </w:p>
    <w:p w:rsidR="00CE4A18" w:rsidRPr="004670C3" w:rsidRDefault="00CE4A18" w:rsidP="00CE4A1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="Arial"/>
          <w:szCs w:val="20"/>
        </w:rPr>
      </w:pPr>
      <w:r w:rsidRPr="004670C3">
        <w:rPr>
          <w:rFonts w:asciiTheme="minorHAnsi" w:hAnsiTheme="minorHAnsi" w:cs="Arial"/>
          <w:szCs w:val="20"/>
        </w:rPr>
        <w:t>“</w:t>
      </w:r>
      <w:r w:rsidRPr="004670C3">
        <w:rPr>
          <w:rFonts w:asciiTheme="minorHAnsi" w:hAnsiTheme="minorHAnsi"/>
        </w:rPr>
        <w:t xml:space="preserve">Questi nuovi dati vanno ad aggiungersi alle già ricche evidenze ottenute nel programma di studi clinici UniTinA-asthma® che dimostrano come </w:t>
      </w:r>
      <w:r w:rsidRPr="004670C3">
        <w:rPr>
          <w:rFonts w:asciiTheme="minorHAnsi" w:hAnsiTheme="minorHAnsi" w:cs="Arial"/>
          <w:bCs/>
          <w:kern w:val="36"/>
          <w:szCs w:val="20"/>
        </w:rPr>
        <w:t>tiotropio</w:t>
      </w:r>
      <w:r w:rsidRPr="004670C3" w:rsidDel="008953E5">
        <w:rPr>
          <w:rFonts w:asciiTheme="minorHAnsi" w:hAnsiTheme="minorHAnsi"/>
        </w:rPr>
        <w:t xml:space="preserve"> </w:t>
      </w:r>
      <w:r w:rsidRPr="004670C3">
        <w:rPr>
          <w:rFonts w:asciiTheme="minorHAnsi" w:hAnsiTheme="minorHAnsi" w:cs="Arial"/>
          <w:bCs/>
          <w:kern w:val="36"/>
          <w:szCs w:val="20"/>
        </w:rPr>
        <w:t>Respimat® sia</w:t>
      </w:r>
      <w:r w:rsidRPr="004670C3">
        <w:rPr>
          <w:rFonts w:asciiTheme="minorHAnsi" w:hAnsiTheme="minorHAnsi"/>
        </w:rPr>
        <w:t xml:space="preserve"> efficace in un’ampia gamma di pazienti con asma sintomatica, compresi quelli con allergie o con alto indice di massa corporea (BMI), che possono rendere più difficile la gestione dei sintomi” - ha dichiarato Jennifer Haddon</w:t>
      </w:r>
      <w:r w:rsidRPr="004670C3">
        <w:rPr>
          <w:rFonts w:asciiTheme="minorHAnsi" w:hAnsiTheme="minorHAnsi" w:cs="Arial"/>
          <w:szCs w:val="20"/>
        </w:rPr>
        <w:t>, Global Medical Advisor Area Respiratoria di</w:t>
      </w:r>
      <w:r w:rsidRPr="004670C3">
        <w:rPr>
          <w:rFonts w:asciiTheme="minorHAnsi" w:hAnsiTheme="minorHAnsi"/>
        </w:rPr>
        <w:t xml:space="preserve"> Boehringer Ingelheim. - “Quasi la metà dei soggetti già in terapia per l’asma, continua ad essere </w:t>
      </w:r>
      <w:r w:rsidRPr="004670C3">
        <w:rPr>
          <w:rFonts w:asciiTheme="minorHAnsi" w:hAnsiTheme="minorHAnsi"/>
        </w:rPr>
        <w:lastRenderedPageBreak/>
        <w:t>sintomatico, e questo sottolinea la necessità di una migliore gestione della malattia. Questi dati mettono in risalto l’impegno di Boehringer Ingelheim a far progredire le nostre conoscenze sulla tipologia di pazienti che possono trarre i maggiori benefici dai nostri farmaci”.</w:t>
      </w:r>
    </w:p>
    <w:p w:rsidR="00CE4A18" w:rsidRPr="004670C3" w:rsidRDefault="00CE4A18" w:rsidP="00CE4A18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Arial"/>
          <w:szCs w:val="20"/>
        </w:rPr>
      </w:pPr>
    </w:p>
    <w:p w:rsidR="00CE4A18" w:rsidRPr="004670C3" w:rsidRDefault="00CE4A18" w:rsidP="00CE4A1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="Arial"/>
          <w:bCs/>
          <w:kern w:val="36"/>
        </w:rPr>
      </w:pPr>
      <w:r w:rsidRPr="004670C3">
        <w:rPr>
          <w:rFonts w:asciiTheme="minorHAnsi" w:hAnsiTheme="minorHAnsi" w:cs="Arial"/>
          <w:bCs/>
          <w:kern w:val="36"/>
        </w:rPr>
        <w:t xml:space="preserve">Chi soffre di asma allergica – forma più comune della malattia – può avere un’infiammazione ed un’ostruzione delle vie aree quando è esposto a comuni allergeni. Questi pazienti possono aver necessità di altre opzioni terapeutiche a completamento delle terapie già </w:t>
      </w:r>
      <w:r w:rsidR="00573B7C" w:rsidRPr="004670C3">
        <w:rPr>
          <w:rFonts w:asciiTheme="minorHAnsi" w:hAnsiTheme="minorHAnsi" w:cs="Arial"/>
          <w:bCs/>
          <w:kern w:val="36"/>
        </w:rPr>
        <w:t>in atto</w:t>
      </w:r>
      <w:r w:rsidRPr="004670C3">
        <w:rPr>
          <w:rFonts w:asciiTheme="minorHAnsi" w:hAnsiTheme="minorHAnsi" w:cs="Arial"/>
          <w:bCs/>
          <w:kern w:val="36"/>
        </w:rPr>
        <w:t>.</w:t>
      </w:r>
    </w:p>
    <w:p w:rsidR="00CE4A18" w:rsidRPr="004670C3" w:rsidRDefault="00CE4A18" w:rsidP="00CE4A18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color w:val="002060"/>
          <w:szCs w:val="20"/>
        </w:rPr>
      </w:pPr>
    </w:p>
    <w:p w:rsidR="00CE4A18" w:rsidRPr="004670C3" w:rsidRDefault="00CE4A18" w:rsidP="00CE4A1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b/>
          <w:color w:val="002060"/>
          <w:szCs w:val="20"/>
        </w:rPr>
      </w:pPr>
      <w:r w:rsidRPr="004670C3">
        <w:rPr>
          <w:rFonts w:asciiTheme="minorHAnsi" w:hAnsiTheme="minorHAnsi"/>
          <w:b/>
          <w:color w:val="002060"/>
          <w:szCs w:val="20"/>
        </w:rPr>
        <w:t>L’Asma</w:t>
      </w:r>
    </w:p>
    <w:p w:rsidR="00CE4A18" w:rsidRPr="004670C3" w:rsidRDefault="00CE4A18" w:rsidP="00CE4A18">
      <w:pPr>
        <w:jc w:val="both"/>
        <w:rPr>
          <w:rFonts w:asciiTheme="minorHAnsi" w:hAnsiTheme="minorHAnsi" w:cs="Arial"/>
          <w:szCs w:val="20"/>
        </w:rPr>
      </w:pPr>
      <w:r w:rsidRPr="004670C3">
        <w:rPr>
          <w:rFonts w:asciiTheme="minorHAnsi" w:hAnsiTheme="minorHAnsi" w:cs="Arial"/>
          <w:szCs w:val="20"/>
        </w:rPr>
        <w:t>L’asma è una delle malattie più diffuse in età pediatrica</w:t>
      </w:r>
      <w:bookmarkStart w:id="2" w:name="_Ref472960733"/>
      <w:r w:rsidRPr="004670C3">
        <w:rPr>
          <w:rFonts w:asciiTheme="minorHAnsi" w:hAnsiTheme="minorHAnsi" w:cs="Arial"/>
          <w:szCs w:val="20"/>
        </w:rPr>
        <w:t>,</w:t>
      </w:r>
      <w:r w:rsidRPr="004670C3">
        <w:rPr>
          <w:rStyle w:val="Rimandonotadichiusura"/>
          <w:rFonts w:asciiTheme="minorHAnsi" w:hAnsiTheme="minorHAnsi" w:cs="Arial"/>
          <w:szCs w:val="20"/>
        </w:rPr>
        <w:endnoteReference w:id="4"/>
      </w:r>
      <w:bookmarkEnd w:id="2"/>
      <w:r w:rsidRPr="004670C3">
        <w:rPr>
          <w:rFonts w:asciiTheme="minorHAnsi" w:hAnsiTheme="minorHAnsi" w:cs="Arial"/>
          <w:szCs w:val="20"/>
        </w:rPr>
        <w:t xml:space="preserve"> ma le opzioni terapeutiche per questa fascia di età sono inferiori rispetto a quelle disponibili per gli adulti.</w:t>
      </w:r>
      <w:r w:rsidRPr="004670C3">
        <w:rPr>
          <w:rStyle w:val="Rimandonotadichiusura"/>
          <w:rFonts w:asciiTheme="minorHAnsi" w:hAnsiTheme="minorHAnsi" w:cs="Arial"/>
          <w:szCs w:val="20"/>
        </w:rPr>
        <w:endnoteReference w:id="5"/>
      </w:r>
    </w:p>
    <w:p w:rsidR="00CE4A18" w:rsidRPr="004670C3" w:rsidRDefault="00CE4A18" w:rsidP="00CE4A18">
      <w:pPr>
        <w:jc w:val="both"/>
        <w:rPr>
          <w:rFonts w:asciiTheme="minorHAnsi" w:hAnsiTheme="minorHAnsi" w:cs="Arial"/>
          <w:szCs w:val="20"/>
        </w:rPr>
      </w:pPr>
      <w:r w:rsidRPr="004670C3">
        <w:rPr>
          <w:rFonts w:asciiTheme="minorHAnsi" w:hAnsiTheme="minorHAnsi" w:cs="Arial"/>
          <w:szCs w:val="20"/>
        </w:rPr>
        <w:t>L’asma non è stata sconfitta. Circa 1 paziente su 2 continua a essere sintomatico, nonostante le terapie di mantenimento (di solito ICS/LABA).</w:t>
      </w:r>
      <w:r w:rsidRPr="004670C3">
        <w:rPr>
          <w:rStyle w:val="Rimandonotadichiusura"/>
          <w:rFonts w:asciiTheme="minorHAnsi" w:hAnsiTheme="minorHAnsi" w:cs="Arial"/>
          <w:szCs w:val="20"/>
        </w:rPr>
        <w:endnoteReference w:id="6"/>
      </w:r>
      <w:r w:rsidRPr="004670C3">
        <w:rPr>
          <w:rFonts w:asciiTheme="minorHAnsi" w:hAnsiTheme="minorHAnsi" w:cs="Arial"/>
          <w:szCs w:val="20"/>
          <w:vertAlign w:val="superscript"/>
        </w:rPr>
        <w:t>,</w:t>
      </w:r>
      <w:r w:rsidRPr="004670C3">
        <w:rPr>
          <w:rStyle w:val="Rimandonotadichiusura"/>
          <w:rFonts w:asciiTheme="minorHAnsi" w:hAnsiTheme="minorHAnsi" w:cs="Arial"/>
          <w:szCs w:val="20"/>
        </w:rPr>
        <w:endnoteReference w:id="7"/>
      </w:r>
      <w:r w:rsidRPr="004670C3">
        <w:rPr>
          <w:rFonts w:asciiTheme="minorHAnsi" w:hAnsiTheme="minorHAnsi" w:cs="Arial"/>
          <w:szCs w:val="20"/>
          <w:vertAlign w:val="superscript"/>
        </w:rPr>
        <w:t>,</w:t>
      </w:r>
      <w:r w:rsidRPr="004670C3">
        <w:rPr>
          <w:rStyle w:val="Rimandonotadichiusura"/>
          <w:rFonts w:asciiTheme="minorHAnsi" w:hAnsiTheme="minorHAnsi" w:cs="Arial"/>
          <w:szCs w:val="20"/>
        </w:rPr>
        <w:endnoteReference w:id="8"/>
      </w:r>
      <w:r w:rsidRPr="004670C3">
        <w:rPr>
          <w:rFonts w:asciiTheme="minorHAnsi" w:hAnsiTheme="minorHAnsi" w:cs="Arial"/>
          <w:szCs w:val="20"/>
          <w:vertAlign w:val="superscript"/>
        </w:rPr>
        <w:t xml:space="preserve"> </w:t>
      </w:r>
      <w:r w:rsidRPr="004670C3">
        <w:rPr>
          <w:rFonts w:asciiTheme="minorHAnsi" w:hAnsiTheme="minorHAnsi" w:cs="Arial"/>
          <w:szCs w:val="20"/>
        </w:rPr>
        <w:t xml:space="preserve">I sintomi hanno un effetto </w:t>
      </w:r>
      <w:r w:rsidR="00573B7C" w:rsidRPr="004670C3">
        <w:rPr>
          <w:rFonts w:asciiTheme="minorHAnsi" w:hAnsiTheme="minorHAnsi" w:cs="Arial"/>
          <w:szCs w:val="20"/>
        </w:rPr>
        <w:t xml:space="preserve">negativo </w:t>
      </w:r>
      <w:r w:rsidRPr="004670C3">
        <w:rPr>
          <w:rFonts w:asciiTheme="minorHAnsi" w:hAnsiTheme="minorHAnsi" w:cs="Arial"/>
          <w:szCs w:val="20"/>
        </w:rPr>
        <w:t>sul sonno, il rendimento scolastico, la sfera lavorativa, sociale e relazionale di chi soffre di questa malattia</w:t>
      </w:r>
      <w:r w:rsidRPr="004670C3">
        <w:rPr>
          <w:rStyle w:val="Rimandonotadichiusura"/>
          <w:rFonts w:asciiTheme="minorHAnsi" w:hAnsiTheme="minorHAnsi" w:cs="Arial"/>
          <w:szCs w:val="20"/>
        </w:rPr>
        <w:endnoteReference w:id="9"/>
      </w:r>
      <w:r w:rsidRPr="004670C3">
        <w:rPr>
          <w:rFonts w:asciiTheme="minorHAnsi" w:hAnsiTheme="minorHAnsi" w:cs="Arial"/>
          <w:szCs w:val="20"/>
        </w:rPr>
        <w:t xml:space="preserve"> e, inoltre, aumentano sino a sei volte il rischio di andare incontro, nelle settimane successive, ad attacchi d’asma potenzialmente fatali.</w:t>
      </w:r>
      <w:r w:rsidRPr="004670C3">
        <w:rPr>
          <w:rStyle w:val="Rimandonotadichiusura"/>
          <w:rFonts w:asciiTheme="minorHAnsi" w:hAnsiTheme="minorHAnsi" w:cs="Arial"/>
          <w:szCs w:val="20"/>
        </w:rPr>
        <w:endnoteReference w:id="10"/>
      </w:r>
      <w:r w:rsidRPr="004670C3" w:rsidDel="00423804">
        <w:rPr>
          <w:rFonts w:asciiTheme="minorHAnsi" w:hAnsiTheme="minorHAnsi" w:cs="Arial"/>
          <w:szCs w:val="20"/>
          <w:vertAlign w:val="superscript"/>
        </w:rPr>
        <w:t xml:space="preserve"> </w:t>
      </w:r>
    </w:p>
    <w:p w:rsidR="00D86EE2" w:rsidRDefault="00D86EE2" w:rsidP="00CE4A18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bCs/>
          <w:color w:val="002060"/>
          <w:sz w:val="18"/>
          <w:szCs w:val="18"/>
        </w:rPr>
      </w:pPr>
    </w:p>
    <w:p w:rsidR="00CE4A18" w:rsidRPr="00D86EE2" w:rsidRDefault="00CE4A18" w:rsidP="00CE4A18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color w:val="002060"/>
          <w:sz w:val="18"/>
          <w:szCs w:val="18"/>
        </w:rPr>
      </w:pPr>
      <w:r w:rsidRPr="00D86EE2">
        <w:rPr>
          <w:rFonts w:asciiTheme="minorHAnsi" w:hAnsiTheme="minorHAnsi"/>
          <w:b/>
          <w:bCs/>
          <w:color w:val="002060"/>
          <w:sz w:val="18"/>
          <w:szCs w:val="18"/>
        </w:rPr>
        <w:t>Boehringer Ingelheim</w:t>
      </w:r>
    </w:p>
    <w:p w:rsidR="00CE4A18" w:rsidRPr="00D86EE2" w:rsidRDefault="00CE4A18" w:rsidP="00CE4A18">
      <w:pPr>
        <w:jc w:val="both"/>
        <w:rPr>
          <w:rFonts w:asciiTheme="minorHAnsi" w:hAnsiTheme="minorHAnsi"/>
          <w:sz w:val="18"/>
          <w:szCs w:val="18"/>
        </w:rPr>
      </w:pPr>
      <w:r w:rsidRPr="00D86EE2">
        <w:rPr>
          <w:rFonts w:asciiTheme="minorHAnsi" w:hAnsiTheme="minorHAnsi"/>
          <w:sz w:val="18"/>
          <w:szCs w:val="18"/>
        </w:rPr>
        <w:t xml:space="preserve">Farmaci innovativi per la salute umana e animale. Questo è quello per cui opera, da oltre 130 anni, prendendo le mosse dalla ricerca, Boehringer Ingelheim, una delle prime 20 aziende farmaceutiche al mondo, e tuttora un’azienda a proprietà familiare. I suoi circa 50.000 addetti ogni giorno creano valore, attraverso l’innovazione, nelle sue tre aree di business: farmaceutici per uso umano, salute animale e produzione biofarmaceutica per clienti industriali. Con un fatturato netto di circa 15,9 miliardi di euro nel 2016, Boehringer Ingelheim ha investito in ricerca e sviluppo una somma superiore ai tre </w:t>
      </w:r>
      <w:r w:rsidR="003B4280" w:rsidRPr="00D86EE2">
        <w:rPr>
          <w:rFonts w:asciiTheme="minorHAnsi" w:hAnsiTheme="minorHAnsi"/>
          <w:sz w:val="18"/>
          <w:szCs w:val="18"/>
        </w:rPr>
        <w:t>miliardi di euro e pari al 19,6%</w:t>
      </w:r>
      <w:r w:rsidRPr="00D86EE2">
        <w:rPr>
          <w:rFonts w:asciiTheme="minorHAnsi" w:hAnsiTheme="minorHAnsi"/>
          <w:sz w:val="18"/>
          <w:szCs w:val="18"/>
        </w:rPr>
        <w:t xml:space="preserve"> di tale fatturato netto.</w:t>
      </w:r>
    </w:p>
    <w:p w:rsidR="00CE4A18" w:rsidRPr="00D86EE2" w:rsidRDefault="00CE4A18" w:rsidP="00CE4A18">
      <w:pPr>
        <w:jc w:val="both"/>
        <w:rPr>
          <w:rFonts w:asciiTheme="minorHAnsi" w:hAnsiTheme="minorHAnsi"/>
          <w:sz w:val="18"/>
          <w:szCs w:val="18"/>
        </w:rPr>
      </w:pPr>
      <w:r w:rsidRPr="00D86EE2">
        <w:rPr>
          <w:rFonts w:asciiTheme="minorHAnsi" w:hAnsiTheme="minorHAnsi"/>
          <w:sz w:val="18"/>
          <w:szCs w:val="18"/>
        </w:rPr>
        <w:t>Per Boehringer Ingelheim la responsabilità sociale è qualcosa di connaturato a sé, da cui discende la sua partecipazione a progetti sociali come, ad esempio, l’iniziativa “</w:t>
      </w:r>
      <w:r w:rsidRPr="00D86EE2">
        <w:rPr>
          <w:rFonts w:asciiTheme="minorHAnsi" w:hAnsiTheme="minorHAnsi"/>
          <w:i/>
          <w:sz w:val="18"/>
          <w:szCs w:val="18"/>
        </w:rPr>
        <w:t>Making More Health</w:t>
      </w:r>
      <w:r w:rsidRPr="00D86EE2">
        <w:rPr>
          <w:rFonts w:asciiTheme="minorHAnsi" w:hAnsiTheme="minorHAnsi"/>
          <w:sz w:val="18"/>
          <w:szCs w:val="18"/>
        </w:rPr>
        <w:t>”, la valorizzazione attiva della diversità delle risorse umane che</w:t>
      </w:r>
      <w:r w:rsidR="003B4280" w:rsidRPr="00D86EE2">
        <w:rPr>
          <w:rFonts w:asciiTheme="minorHAnsi" w:hAnsiTheme="minorHAnsi"/>
          <w:sz w:val="18"/>
          <w:szCs w:val="18"/>
        </w:rPr>
        <w:t>,</w:t>
      </w:r>
      <w:r w:rsidRPr="00D86EE2">
        <w:rPr>
          <w:rFonts w:asciiTheme="minorHAnsi" w:hAnsiTheme="minorHAnsi"/>
          <w:sz w:val="18"/>
          <w:szCs w:val="18"/>
        </w:rPr>
        <w:t xml:space="preserve"> con le rispettive differenti competenze ed esperienze</w:t>
      </w:r>
      <w:r w:rsidR="003B4280" w:rsidRPr="00D86EE2">
        <w:rPr>
          <w:rFonts w:asciiTheme="minorHAnsi" w:hAnsiTheme="minorHAnsi"/>
          <w:sz w:val="18"/>
          <w:szCs w:val="18"/>
        </w:rPr>
        <w:t>,</w:t>
      </w:r>
      <w:r w:rsidRPr="00D86EE2">
        <w:rPr>
          <w:rFonts w:asciiTheme="minorHAnsi" w:hAnsiTheme="minorHAnsi"/>
          <w:sz w:val="18"/>
          <w:szCs w:val="18"/>
        </w:rPr>
        <w:t xml:space="preserve"> apportano beneficio all’azienda, e il suo essere sempre attenta alla sostenibilità e alla tutela dell’ambiente in ogni sua attività. </w:t>
      </w:r>
    </w:p>
    <w:p w:rsidR="00764DD6" w:rsidRPr="00D86EE2" w:rsidRDefault="00CE4A18" w:rsidP="00D86EE2">
      <w:pPr>
        <w:jc w:val="both"/>
        <w:rPr>
          <w:rFonts w:asciiTheme="minorHAnsi" w:hAnsiTheme="minorHAnsi"/>
          <w:sz w:val="18"/>
          <w:szCs w:val="18"/>
        </w:rPr>
      </w:pPr>
      <w:r w:rsidRPr="00D86EE2">
        <w:rPr>
          <w:rFonts w:asciiTheme="minorHAnsi" w:hAnsiTheme="minorHAnsi"/>
          <w:sz w:val="18"/>
          <w:szCs w:val="18"/>
        </w:rPr>
        <w:t xml:space="preserve">Per maggior informazioni visitate il sito www.boehringer-ingelheim.com o consultate il Bilancio all’indirizzo:  </w:t>
      </w:r>
      <w:hyperlink r:id="rId8" w:history="1">
        <w:r w:rsidRPr="00D86EE2">
          <w:rPr>
            <w:rStyle w:val="Collegamentoipertestuale"/>
            <w:rFonts w:asciiTheme="minorHAnsi" w:hAnsiTheme="minorHAnsi"/>
            <w:sz w:val="18"/>
            <w:szCs w:val="18"/>
          </w:rPr>
          <w:t>http://annualreport.boehringer-ingelheim.com</w:t>
        </w:r>
      </w:hyperlink>
      <w:r w:rsidRPr="00D86EE2">
        <w:rPr>
          <w:rFonts w:asciiTheme="minorHAnsi" w:hAnsiTheme="minorHAnsi"/>
          <w:sz w:val="18"/>
          <w:szCs w:val="18"/>
        </w:rPr>
        <w:t>.</w:t>
      </w:r>
    </w:p>
    <w:p w:rsidR="00D86EE2" w:rsidRDefault="00D86EE2" w:rsidP="00CE4A18">
      <w:pPr>
        <w:rPr>
          <w:rStyle w:val="Highlight"/>
          <w:rFonts w:asciiTheme="minorHAnsi" w:hAnsiTheme="minorHAnsi" w:cs="Arial"/>
          <w:color w:val="003366"/>
          <w:sz w:val="18"/>
          <w:szCs w:val="18"/>
        </w:rPr>
      </w:pPr>
    </w:p>
    <w:p w:rsidR="00764DD6" w:rsidRPr="00D86EE2" w:rsidRDefault="00764DD6" w:rsidP="00CE4A18">
      <w:pPr>
        <w:rPr>
          <w:rStyle w:val="Highlight"/>
          <w:rFonts w:asciiTheme="minorHAnsi" w:hAnsiTheme="minorHAnsi" w:cs="Arial"/>
          <w:color w:val="003366"/>
          <w:sz w:val="18"/>
          <w:szCs w:val="18"/>
        </w:rPr>
      </w:pPr>
      <w:r w:rsidRPr="00D86EE2">
        <w:rPr>
          <w:rStyle w:val="Highlight"/>
          <w:rFonts w:asciiTheme="minorHAnsi" w:hAnsiTheme="minorHAnsi" w:cs="Arial"/>
          <w:color w:val="003366"/>
          <w:sz w:val="18"/>
          <w:szCs w:val="18"/>
        </w:rPr>
        <w:lastRenderedPageBreak/>
        <w:t>Per ulteriori informazioni:</w:t>
      </w:r>
    </w:p>
    <w:p w:rsidR="00764DD6" w:rsidRPr="00D86EE2" w:rsidRDefault="00764DD6" w:rsidP="00764DD6">
      <w:pPr>
        <w:spacing w:after="0" w:line="283" w:lineRule="atLeast"/>
        <w:ind w:right="28"/>
        <w:rPr>
          <w:rFonts w:asciiTheme="minorHAnsi" w:eastAsia="BISans" w:hAnsiTheme="minorHAnsi" w:cs="Angsana New"/>
          <w:sz w:val="18"/>
          <w:szCs w:val="18"/>
        </w:rPr>
      </w:pPr>
      <w:r w:rsidRPr="00D86EE2">
        <w:rPr>
          <w:rFonts w:asciiTheme="minorHAnsi" w:eastAsia="BISans" w:hAnsiTheme="minorHAnsi" w:cs="Angsana New"/>
          <w:sz w:val="18"/>
          <w:szCs w:val="18"/>
        </w:rPr>
        <w:t>Marina Guffanti</w:t>
      </w:r>
    </w:p>
    <w:p w:rsidR="00764DD6" w:rsidRPr="00D86EE2" w:rsidRDefault="00764DD6" w:rsidP="00764DD6">
      <w:pPr>
        <w:spacing w:after="0" w:line="283" w:lineRule="atLeast"/>
        <w:ind w:right="28"/>
        <w:rPr>
          <w:rFonts w:asciiTheme="minorHAnsi" w:eastAsia="BISans" w:hAnsiTheme="minorHAnsi" w:cs="Angsana New"/>
          <w:sz w:val="18"/>
          <w:szCs w:val="18"/>
        </w:rPr>
      </w:pPr>
      <w:r w:rsidRPr="00D86EE2">
        <w:rPr>
          <w:rFonts w:asciiTheme="minorHAnsi" w:eastAsia="BISans" w:hAnsiTheme="minorHAnsi" w:cs="Angsana New"/>
          <w:sz w:val="18"/>
          <w:szCs w:val="18"/>
        </w:rPr>
        <w:t>Comunicazione</w:t>
      </w:r>
    </w:p>
    <w:p w:rsidR="00764DD6" w:rsidRPr="00D86EE2" w:rsidRDefault="00764DD6" w:rsidP="00764DD6">
      <w:pPr>
        <w:spacing w:after="0" w:line="283" w:lineRule="atLeast"/>
        <w:ind w:right="28"/>
        <w:rPr>
          <w:rFonts w:asciiTheme="minorHAnsi" w:eastAsia="BISans" w:hAnsiTheme="minorHAnsi" w:cs="Angsana New"/>
          <w:b/>
          <w:sz w:val="18"/>
          <w:szCs w:val="18"/>
        </w:rPr>
      </w:pPr>
      <w:r w:rsidRPr="00D86EE2">
        <w:rPr>
          <w:rFonts w:asciiTheme="minorHAnsi" w:eastAsia="BISans" w:hAnsiTheme="minorHAnsi" w:cs="Angsana New"/>
          <w:b/>
          <w:sz w:val="18"/>
          <w:szCs w:val="18"/>
        </w:rPr>
        <w:t>Boehringer Ingelheim Italia SpA</w:t>
      </w:r>
    </w:p>
    <w:p w:rsidR="00764DD6" w:rsidRPr="00D86EE2" w:rsidRDefault="00764DD6" w:rsidP="00764DD6">
      <w:pPr>
        <w:spacing w:after="0" w:line="283" w:lineRule="atLeast"/>
        <w:ind w:right="28"/>
        <w:rPr>
          <w:rFonts w:asciiTheme="minorHAnsi" w:eastAsia="BISans" w:hAnsiTheme="minorHAnsi" w:cs="Angsana New"/>
          <w:sz w:val="18"/>
          <w:szCs w:val="18"/>
        </w:rPr>
      </w:pPr>
      <w:r w:rsidRPr="00D86EE2">
        <w:rPr>
          <w:rFonts w:asciiTheme="minorHAnsi" w:eastAsia="BISans" w:hAnsiTheme="minorHAnsi" w:cs="Angsana New"/>
          <w:sz w:val="18"/>
          <w:szCs w:val="18"/>
        </w:rPr>
        <w:t>Telefono: 02 5355453</w:t>
      </w:r>
    </w:p>
    <w:p w:rsidR="00764DD6" w:rsidRPr="00D86EE2" w:rsidRDefault="00764DD6" w:rsidP="00764DD6">
      <w:pPr>
        <w:spacing w:after="0" w:line="283" w:lineRule="atLeast"/>
        <w:ind w:right="28"/>
        <w:rPr>
          <w:rFonts w:asciiTheme="minorHAnsi" w:eastAsia="BISans" w:hAnsiTheme="minorHAnsi" w:cs="Angsana New"/>
          <w:sz w:val="18"/>
          <w:szCs w:val="18"/>
          <w:lang w:val="en-GB"/>
        </w:rPr>
      </w:pPr>
      <w:r w:rsidRPr="00D86EE2">
        <w:rPr>
          <w:rFonts w:asciiTheme="minorHAnsi" w:eastAsia="BISans" w:hAnsiTheme="minorHAnsi" w:cs="Angsana New"/>
          <w:sz w:val="18"/>
          <w:szCs w:val="18"/>
          <w:lang w:val="en-GB"/>
        </w:rPr>
        <w:t>Cell: 348 3995284</w:t>
      </w:r>
    </w:p>
    <w:p w:rsidR="00764DD6" w:rsidRPr="00D86EE2" w:rsidRDefault="00764DD6" w:rsidP="00764DD6">
      <w:pPr>
        <w:spacing w:after="0" w:line="283" w:lineRule="atLeast"/>
        <w:ind w:right="28"/>
        <w:rPr>
          <w:rFonts w:asciiTheme="minorHAnsi" w:eastAsia="BISans" w:hAnsiTheme="minorHAnsi" w:cs="Angsana New"/>
          <w:sz w:val="18"/>
          <w:szCs w:val="18"/>
          <w:lang w:val="en-GB"/>
        </w:rPr>
      </w:pPr>
      <w:r w:rsidRPr="00D86EE2">
        <w:rPr>
          <w:rFonts w:asciiTheme="minorHAnsi" w:eastAsia="BISans" w:hAnsiTheme="minorHAnsi" w:cs="Angsana New"/>
          <w:sz w:val="18"/>
          <w:szCs w:val="18"/>
          <w:lang w:val="en-GB"/>
        </w:rPr>
        <w:t xml:space="preserve">Mail: </w:t>
      </w:r>
      <w:hyperlink r:id="rId9" w:history="1">
        <w:r w:rsidRPr="00D86EE2">
          <w:rPr>
            <w:rFonts w:asciiTheme="minorHAnsi" w:eastAsia="BISans" w:hAnsiTheme="minorHAnsi" w:cs="Angsana New"/>
            <w:sz w:val="18"/>
            <w:szCs w:val="18"/>
            <w:lang w:val="en-GB"/>
          </w:rPr>
          <w:t>marina.guffanti@boehringer-ingelheim.com</w:t>
        </w:r>
      </w:hyperlink>
    </w:p>
    <w:p w:rsidR="00764DD6" w:rsidRPr="00D86EE2" w:rsidRDefault="00764DD6" w:rsidP="00764DD6">
      <w:pPr>
        <w:spacing w:after="0" w:line="264" w:lineRule="auto"/>
        <w:rPr>
          <w:rFonts w:asciiTheme="minorHAnsi" w:eastAsia="BISans" w:hAnsiTheme="minorHAnsi" w:cs="Angsana New"/>
          <w:b/>
          <w:bCs/>
          <w:color w:val="003366"/>
          <w:sz w:val="18"/>
          <w:szCs w:val="18"/>
          <w:lang w:val="en-GB"/>
        </w:rPr>
      </w:pPr>
    </w:p>
    <w:p w:rsidR="00A67E90" w:rsidRPr="00D86EE2" w:rsidRDefault="00A67E90" w:rsidP="00A67E90">
      <w:pPr>
        <w:spacing w:after="0"/>
        <w:ind w:right="28"/>
        <w:rPr>
          <w:rFonts w:asciiTheme="minorHAnsi" w:hAnsiTheme="minorHAnsi"/>
          <w:sz w:val="18"/>
          <w:szCs w:val="18"/>
        </w:rPr>
      </w:pPr>
      <w:r w:rsidRPr="00D86EE2">
        <w:rPr>
          <w:rFonts w:asciiTheme="minorHAnsi" w:hAnsiTheme="minorHAnsi"/>
          <w:sz w:val="18"/>
          <w:szCs w:val="18"/>
        </w:rPr>
        <w:t>Maria Luisa Paleari</w:t>
      </w:r>
    </w:p>
    <w:p w:rsidR="00A67E90" w:rsidRPr="00D86EE2" w:rsidRDefault="00A67E90" w:rsidP="00A67E90">
      <w:pPr>
        <w:spacing w:after="0"/>
        <w:ind w:right="28"/>
        <w:rPr>
          <w:rFonts w:asciiTheme="minorHAnsi" w:hAnsiTheme="minorHAnsi"/>
          <w:b/>
          <w:sz w:val="18"/>
          <w:szCs w:val="18"/>
        </w:rPr>
      </w:pPr>
      <w:r w:rsidRPr="00D86EE2">
        <w:rPr>
          <w:rFonts w:asciiTheme="minorHAnsi" w:hAnsiTheme="minorHAnsi"/>
          <w:b/>
          <w:sz w:val="18"/>
          <w:szCs w:val="18"/>
        </w:rPr>
        <w:t>Value Relations Srl</w:t>
      </w:r>
    </w:p>
    <w:p w:rsidR="00A67E90" w:rsidRPr="00D86EE2" w:rsidRDefault="00A67E90" w:rsidP="00A67E90">
      <w:pPr>
        <w:spacing w:after="0"/>
        <w:ind w:right="28"/>
        <w:rPr>
          <w:rFonts w:asciiTheme="minorHAnsi" w:hAnsiTheme="minorHAnsi"/>
          <w:sz w:val="18"/>
          <w:szCs w:val="18"/>
        </w:rPr>
      </w:pPr>
      <w:r w:rsidRPr="00D86EE2">
        <w:rPr>
          <w:rFonts w:asciiTheme="minorHAnsi" w:hAnsiTheme="minorHAnsi"/>
          <w:sz w:val="18"/>
          <w:szCs w:val="18"/>
        </w:rPr>
        <w:t>Telefono: 02 20424941</w:t>
      </w:r>
    </w:p>
    <w:p w:rsidR="00A67E90" w:rsidRPr="00D86EE2" w:rsidRDefault="00A67E90" w:rsidP="00A67E90">
      <w:pPr>
        <w:spacing w:after="0"/>
        <w:ind w:right="28"/>
        <w:rPr>
          <w:rFonts w:asciiTheme="minorHAnsi" w:hAnsiTheme="minorHAnsi"/>
          <w:sz w:val="18"/>
          <w:szCs w:val="18"/>
        </w:rPr>
      </w:pPr>
      <w:r w:rsidRPr="00D86EE2">
        <w:rPr>
          <w:rFonts w:asciiTheme="minorHAnsi" w:hAnsiTheme="minorHAnsi"/>
          <w:sz w:val="18"/>
          <w:szCs w:val="18"/>
        </w:rPr>
        <w:t>Cell: 331 6718518</w:t>
      </w:r>
    </w:p>
    <w:p w:rsidR="003B4280" w:rsidRPr="00D86EE2" w:rsidRDefault="00A67E90" w:rsidP="00D86EE2">
      <w:pPr>
        <w:spacing w:after="0"/>
        <w:ind w:right="28"/>
        <w:rPr>
          <w:rFonts w:asciiTheme="minorHAnsi" w:eastAsia="BISans" w:hAnsiTheme="minorHAnsi"/>
          <w:sz w:val="18"/>
          <w:szCs w:val="18"/>
          <w:lang w:val="fr-FR"/>
        </w:rPr>
      </w:pPr>
      <w:r w:rsidRPr="00D86EE2">
        <w:rPr>
          <w:rFonts w:asciiTheme="minorHAnsi" w:hAnsiTheme="minorHAnsi"/>
          <w:sz w:val="18"/>
          <w:szCs w:val="18"/>
          <w:lang w:val="fr-FR"/>
        </w:rPr>
        <w:t xml:space="preserve">Mail: </w:t>
      </w:r>
      <w:hyperlink r:id="rId10" w:history="1">
        <w:r w:rsidRPr="00D86EE2">
          <w:rPr>
            <w:rStyle w:val="Collegamentoipertestuale"/>
            <w:rFonts w:asciiTheme="minorHAnsi" w:hAnsiTheme="minorHAnsi"/>
            <w:sz w:val="18"/>
            <w:szCs w:val="18"/>
            <w:lang w:val="fr-FR"/>
          </w:rPr>
          <w:t>ml.paleari@vrelations.it</w:t>
        </w:r>
      </w:hyperlink>
    </w:p>
    <w:p w:rsidR="00D86EE2" w:rsidRPr="00D86EE2" w:rsidRDefault="00D86EE2" w:rsidP="00D86EE2">
      <w:pPr>
        <w:spacing w:after="0"/>
        <w:ind w:right="28"/>
        <w:rPr>
          <w:rStyle w:val="Highlight"/>
          <w:rFonts w:asciiTheme="minorHAnsi" w:eastAsia="BISans" w:hAnsiTheme="minorHAnsi"/>
          <w:b w:val="0"/>
          <w:bCs w:val="0"/>
          <w:color w:val="auto"/>
          <w:sz w:val="18"/>
          <w:szCs w:val="18"/>
          <w:lang w:val="fr-FR"/>
        </w:rPr>
      </w:pPr>
    </w:p>
    <w:p w:rsidR="00D86EE2" w:rsidRDefault="00D86EE2" w:rsidP="00CE4A18">
      <w:pPr>
        <w:rPr>
          <w:rStyle w:val="Highlight"/>
          <w:rFonts w:asciiTheme="minorHAnsi" w:hAnsiTheme="minorHAnsi" w:cs="Arial"/>
          <w:color w:val="003366"/>
          <w:sz w:val="18"/>
          <w:szCs w:val="18"/>
          <w:lang w:val="fr-FR"/>
        </w:rPr>
      </w:pPr>
    </w:p>
    <w:p w:rsidR="00CE4A18" w:rsidRPr="00D86EE2" w:rsidRDefault="00CE4A18" w:rsidP="00CE4A18">
      <w:pPr>
        <w:rPr>
          <w:rStyle w:val="Highlight"/>
          <w:rFonts w:asciiTheme="minorHAnsi" w:hAnsiTheme="minorHAnsi"/>
          <w:color w:val="003366"/>
          <w:sz w:val="18"/>
          <w:szCs w:val="18"/>
          <w:lang w:val="fr-FR"/>
        </w:rPr>
      </w:pPr>
      <w:bookmarkStart w:id="3" w:name="_GoBack"/>
      <w:bookmarkEnd w:id="3"/>
      <w:r w:rsidRPr="00D86EE2">
        <w:rPr>
          <w:rStyle w:val="Highlight"/>
          <w:rFonts w:asciiTheme="minorHAnsi" w:hAnsiTheme="minorHAnsi" w:cs="Arial"/>
          <w:color w:val="003366"/>
          <w:sz w:val="18"/>
          <w:szCs w:val="18"/>
          <w:lang w:val="fr-FR"/>
        </w:rPr>
        <w:t>Bibliografia</w:t>
      </w:r>
    </w:p>
    <w:sectPr w:rsidR="00CE4A18" w:rsidRPr="00D86EE2" w:rsidSect="005E2946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9E" w:rsidRDefault="00BD709E" w:rsidP="00AC7343">
      <w:pPr>
        <w:spacing w:after="0" w:line="240" w:lineRule="auto"/>
      </w:pPr>
      <w:r>
        <w:separator/>
      </w:r>
    </w:p>
  </w:endnote>
  <w:endnote w:type="continuationSeparator" w:id="0">
    <w:p w:rsidR="00BD709E" w:rsidRDefault="00BD709E" w:rsidP="00AC7343">
      <w:pPr>
        <w:spacing w:after="0" w:line="240" w:lineRule="auto"/>
      </w:pPr>
      <w:r>
        <w:continuationSeparator/>
      </w:r>
    </w:p>
  </w:endnote>
  <w:endnote w:id="1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666923">
        <w:rPr>
          <w:rFonts w:asciiTheme="majorHAnsi" w:hAnsiTheme="majorHAnsi"/>
          <w:sz w:val="16"/>
          <w:szCs w:val="16"/>
        </w:rPr>
        <w:t xml:space="preserve"> </w:t>
      </w:r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Vandewalker, M. et al. (2017). Tiotropium Respimat® Add-on Therapy Improves Lung Function in Adolescents and Children with Moderate Symptomatic Asthma, Irrespective of IgE </w:t>
      </w:r>
      <w:proofErr w:type="gramStart"/>
      <w:r w:rsidRPr="00666923">
        <w:rPr>
          <w:rFonts w:asciiTheme="majorHAnsi" w:hAnsiTheme="majorHAnsi" w:cs="Arial"/>
          <w:sz w:val="16"/>
          <w:szCs w:val="16"/>
          <w:lang w:val="en-US"/>
        </w:rPr>
        <w:t>Levels</w:t>
      </w:r>
      <w:proofErr w:type="gram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and Eosinophil Count. Paper presented at: American Thoracic Society Medical Meeting; May 23, 2017; Washington, DC. Abstract 4856.</w:t>
      </w:r>
    </w:p>
  </w:endnote>
  <w:endnote w:id="2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666923">
        <w:rPr>
          <w:rFonts w:asciiTheme="majorHAnsi" w:hAnsiTheme="majorHAnsi"/>
          <w:sz w:val="16"/>
          <w:szCs w:val="16"/>
          <w:lang w:val="en-US"/>
        </w:rPr>
        <w:t xml:space="preserve"> Goldstein, S. et al. (2017). Tiotropium Respimat® Add-on Therapy Is Effective in Children and Adolescents with Severe Symptomatic Asthma, Irrespective of Immunoglobulin E </w:t>
      </w:r>
      <w:proofErr w:type="gramStart"/>
      <w:r w:rsidRPr="00666923">
        <w:rPr>
          <w:rFonts w:asciiTheme="majorHAnsi" w:hAnsiTheme="majorHAnsi"/>
          <w:sz w:val="16"/>
          <w:szCs w:val="16"/>
          <w:lang w:val="en-US"/>
        </w:rPr>
        <w:t>Levels</w:t>
      </w:r>
      <w:proofErr w:type="gramEnd"/>
      <w:r w:rsidRPr="00666923">
        <w:rPr>
          <w:rFonts w:asciiTheme="majorHAnsi" w:hAnsiTheme="majorHAnsi"/>
          <w:sz w:val="16"/>
          <w:szCs w:val="16"/>
          <w:lang w:val="en-US"/>
        </w:rPr>
        <w:t xml:space="preserve"> and Eosinophil Count. Paper presented at: American Thoracic Society Medical Meeting; May 23, 2017; Washington, DC. </w:t>
      </w:r>
      <w:r w:rsidRPr="00666923">
        <w:rPr>
          <w:rFonts w:asciiTheme="majorHAnsi" w:hAnsiTheme="majorHAnsi"/>
          <w:sz w:val="16"/>
          <w:szCs w:val="16"/>
        </w:rPr>
        <w:t>Abstract 6788.</w:t>
      </w:r>
    </w:p>
  </w:endnote>
  <w:endnote w:id="3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666923">
        <w:rPr>
          <w:rFonts w:asciiTheme="majorHAnsi" w:hAnsiTheme="majorHAnsi"/>
          <w:sz w:val="16"/>
          <w:szCs w:val="16"/>
        </w:rPr>
        <w:t xml:space="preserve"> Khurana, S. et al. (2017). </w:t>
      </w:r>
      <w:r w:rsidRPr="00666923">
        <w:rPr>
          <w:rFonts w:asciiTheme="majorHAnsi" w:hAnsiTheme="majorHAnsi"/>
          <w:sz w:val="16"/>
          <w:szCs w:val="16"/>
          <w:lang w:val="en-US"/>
        </w:rPr>
        <w:t>Once-daily Tiotropium Respimat® Add-on to Inhaled Corticosteroid Maintenance Therapy Reduces Airflow Obstruction in Patients with Symptomatic Asthma, Independent of Body Mass Index Score. Paper presented at: American Thoracic Society Medical Meeting; May 23, 2017; Washington, DC. Abstract 6877.</w:t>
      </w:r>
    </w:p>
  </w:endnote>
  <w:endnote w:id="4">
    <w:p w:rsidR="00CE4A18" w:rsidRPr="00666923" w:rsidRDefault="00CE4A18" w:rsidP="00CE4A18">
      <w:pPr>
        <w:pStyle w:val="Testonotadichiusura"/>
        <w:contextualSpacing/>
        <w:jc w:val="both"/>
        <w:rPr>
          <w:rFonts w:asciiTheme="majorHAnsi" w:hAnsiTheme="majorHAnsi"/>
          <w:sz w:val="16"/>
          <w:szCs w:val="16"/>
          <w:lang w:val="en-US"/>
        </w:rPr>
      </w:pPr>
      <w:r w:rsidRPr="00666923">
        <w:rPr>
          <w:rFonts w:asciiTheme="majorHAnsi" w:hAnsiTheme="majorHAnsi" w:cs="Arial"/>
          <w:sz w:val="16"/>
          <w:szCs w:val="16"/>
          <w:vertAlign w:val="superscript"/>
          <w:lang w:val="en-US"/>
        </w:rPr>
        <w:endnoteRef/>
      </w:r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WHO. Asthma. Available from http://www.who.int/mediacentre/factsheets/fs307/en/ (accessed May 2017).</w:t>
      </w:r>
    </w:p>
  </w:endnote>
  <w:endnote w:id="5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  <w:lang w:val="en-US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666923">
        <w:rPr>
          <w:rFonts w:asciiTheme="majorHAnsi" w:hAnsiTheme="majorHAnsi"/>
          <w:sz w:val="16"/>
          <w:szCs w:val="16"/>
          <w:lang w:val="en-US"/>
        </w:rPr>
        <w:t xml:space="preserve"> </w:t>
      </w:r>
      <w:r w:rsidRPr="00666923">
        <w:rPr>
          <w:rFonts w:asciiTheme="majorHAnsi" w:hAnsiTheme="majorHAnsi" w:cs="Arial"/>
          <w:sz w:val="16"/>
          <w:szCs w:val="16"/>
          <w:lang w:val="en-US"/>
        </w:rPr>
        <w:t>Bush A, et al. Pharmacological treatment of severe, therapy-resistant asthma in children: what can we learn from where? European Respiratory Journal. 2011 38: 947-958.</w:t>
      </w:r>
    </w:p>
  </w:endnote>
  <w:endnote w:id="6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  <w:lang w:val="en-US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666923">
        <w:rPr>
          <w:rFonts w:asciiTheme="majorHAnsi" w:hAnsiTheme="majorHAnsi"/>
          <w:sz w:val="16"/>
          <w:szCs w:val="16"/>
          <w:lang w:val="en-US"/>
        </w:rPr>
        <w:t xml:space="preserve"> </w:t>
      </w:r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Bateman ED,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Boushey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HA,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Bousquet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J, et al. GOAL Investigators Group. Can guideline-defined asthma control be achieved? The Gaining Optimal Asthma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ControL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study. Am J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Respir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Crit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Care Med. 2004; 170 (8): 836-44.</w:t>
      </w:r>
    </w:p>
  </w:endnote>
  <w:endnote w:id="7">
    <w:p w:rsidR="00CE4A18" w:rsidRPr="00B259A8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  <w:lang w:val="it-IT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666923">
        <w:rPr>
          <w:rFonts w:asciiTheme="majorHAnsi" w:hAnsiTheme="majorHAnsi"/>
          <w:sz w:val="16"/>
          <w:szCs w:val="16"/>
          <w:lang w:val="en-US"/>
        </w:rPr>
        <w:t xml:space="preserve"> </w:t>
      </w:r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Partridge MR, Dal Negro RW,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Olivieri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D, et al. Understanding patients with asthma and COPD: insights from a European study. </w:t>
      </w:r>
      <w:proofErr w:type="spellStart"/>
      <w:r w:rsidRPr="00B259A8">
        <w:rPr>
          <w:rFonts w:asciiTheme="majorHAnsi" w:hAnsiTheme="majorHAnsi" w:cs="Arial"/>
          <w:sz w:val="16"/>
          <w:szCs w:val="16"/>
          <w:lang w:val="it-IT"/>
        </w:rPr>
        <w:t>Prim</w:t>
      </w:r>
      <w:proofErr w:type="spellEnd"/>
      <w:r w:rsidRPr="00B259A8">
        <w:rPr>
          <w:rFonts w:asciiTheme="majorHAnsi" w:hAnsiTheme="majorHAnsi" w:cs="Arial"/>
          <w:sz w:val="16"/>
          <w:szCs w:val="16"/>
          <w:lang w:val="it-IT"/>
        </w:rPr>
        <w:t xml:space="preserve"> Care </w:t>
      </w:r>
      <w:proofErr w:type="spellStart"/>
      <w:r w:rsidRPr="00B259A8">
        <w:rPr>
          <w:rFonts w:asciiTheme="majorHAnsi" w:hAnsiTheme="majorHAnsi" w:cs="Arial"/>
          <w:sz w:val="16"/>
          <w:szCs w:val="16"/>
          <w:lang w:val="it-IT"/>
        </w:rPr>
        <w:t>Respir</w:t>
      </w:r>
      <w:proofErr w:type="spellEnd"/>
      <w:r w:rsidRPr="00B259A8">
        <w:rPr>
          <w:rFonts w:asciiTheme="majorHAnsi" w:hAnsiTheme="majorHAnsi" w:cs="Arial"/>
          <w:sz w:val="16"/>
          <w:szCs w:val="16"/>
          <w:lang w:val="it-IT"/>
        </w:rPr>
        <w:t xml:space="preserve"> J 2011; 20 (3): 315-323.</w:t>
      </w:r>
    </w:p>
  </w:endnote>
  <w:endnote w:id="8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  <w:lang w:val="en-US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B259A8">
        <w:rPr>
          <w:rFonts w:asciiTheme="majorHAnsi" w:hAnsiTheme="majorHAnsi"/>
          <w:sz w:val="16"/>
          <w:szCs w:val="16"/>
          <w:lang w:val="it-IT"/>
        </w:rPr>
        <w:t xml:space="preserve"> </w:t>
      </w:r>
      <w:proofErr w:type="spellStart"/>
      <w:r w:rsidRPr="00B259A8">
        <w:rPr>
          <w:rFonts w:asciiTheme="majorHAnsi" w:hAnsiTheme="majorHAnsi" w:cs="Arial"/>
          <w:sz w:val="16"/>
          <w:szCs w:val="16"/>
          <w:lang w:val="it-IT"/>
        </w:rPr>
        <w:t>Demoly</w:t>
      </w:r>
      <w:proofErr w:type="spellEnd"/>
      <w:r w:rsidRPr="00B259A8">
        <w:rPr>
          <w:rFonts w:asciiTheme="majorHAnsi" w:hAnsiTheme="majorHAnsi" w:cs="Arial"/>
          <w:sz w:val="16"/>
          <w:szCs w:val="16"/>
          <w:lang w:val="it-IT"/>
        </w:rPr>
        <w:t xml:space="preserve"> P, </w:t>
      </w:r>
      <w:proofErr w:type="spellStart"/>
      <w:r w:rsidRPr="00B259A8">
        <w:rPr>
          <w:rFonts w:asciiTheme="majorHAnsi" w:hAnsiTheme="majorHAnsi" w:cs="Arial"/>
          <w:sz w:val="16"/>
          <w:szCs w:val="16"/>
          <w:lang w:val="it-IT"/>
        </w:rPr>
        <w:t>Paggiaro</w:t>
      </w:r>
      <w:proofErr w:type="spellEnd"/>
      <w:r w:rsidRPr="00B259A8">
        <w:rPr>
          <w:rFonts w:asciiTheme="majorHAnsi" w:hAnsiTheme="majorHAnsi" w:cs="Arial"/>
          <w:sz w:val="16"/>
          <w:szCs w:val="16"/>
          <w:lang w:val="it-IT"/>
        </w:rPr>
        <w:t xml:space="preserve"> P, Plaza V, et al. </w:t>
      </w:r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Prevalence of asthma control among adults in France, Germany, Italy, </w:t>
      </w:r>
      <w:proofErr w:type="gramStart"/>
      <w:r w:rsidRPr="00666923">
        <w:rPr>
          <w:rFonts w:asciiTheme="majorHAnsi" w:hAnsiTheme="majorHAnsi" w:cs="Arial"/>
          <w:sz w:val="16"/>
          <w:szCs w:val="16"/>
          <w:lang w:val="en-US"/>
        </w:rPr>
        <w:t>Spain</w:t>
      </w:r>
      <w:proofErr w:type="gram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and the UK.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Eur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Respir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 Rev 2009; 18: (112): 105–112.</w:t>
      </w:r>
    </w:p>
  </w:endnote>
  <w:endnote w:id="9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  <w:lang w:val="en-US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666923">
        <w:rPr>
          <w:rFonts w:asciiTheme="majorHAnsi" w:hAnsiTheme="majorHAnsi"/>
          <w:sz w:val="16"/>
          <w:szCs w:val="16"/>
          <w:lang w:val="en-US"/>
        </w:rPr>
        <w:t xml:space="preserve"> </w:t>
      </w:r>
      <w:r w:rsidRPr="00666923">
        <w:rPr>
          <w:rFonts w:asciiTheme="majorHAnsi" w:hAnsiTheme="majorHAnsi" w:cs="Arial"/>
          <w:sz w:val="16"/>
          <w:szCs w:val="16"/>
          <w:lang w:val="en-US"/>
        </w:rPr>
        <w:t>Kantar Health. A shadow at work. An international survey among people with asthma. 2015.</w:t>
      </w:r>
    </w:p>
  </w:endnote>
  <w:endnote w:id="10">
    <w:p w:rsidR="00CE4A18" w:rsidRPr="00666923" w:rsidRDefault="00CE4A18" w:rsidP="00CE4A18">
      <w:pPr>
        <w:pStyle w:val="Testonotadichiusura"/>
        <w:jc w:val="both"/>
        <w:rPr>
          <w:rFonts w:asciiTheme="majorHAnsi" w:hAnsiTheme="majorHAnsi"/>
          <w:sz w:val="16"/>
          <w:szCs w:val="16"/>
          <w:lang w:val="en-US"/>
        </w:rPr>
      </w:pPr>
      <w:r w:rsidRPr="00666923">
        <w:rPr>
          <w:rStyle w:val="Rimandonotadichiusura"/>
          <w:rFonts w:asciiTheme="majorHAnsi" w:hAnsiTheme="majorHAnsi"/>
          <w:sz w:val="16"/>
          <w:szCs w:val="16"/>
        </w:rPr>
        <w:endnoteRef/>
      </w:r>
      <w:r w:rsidRPr="00BC7073">
        <w:rPr>
          <w:rFonts w:asciiTheme="majorHAnsi" w:hAnsiTheme="majorHAnsi"/>
          <w:sz w:val="16"/>
          <w:szCs w:val="16"/>
          <w:lang w:val="en-US"/>
        </w:rPr>
        <w:t xml:space="preserve"> </w:t>
      </w:r>
      <w:r w:rsidRPr="00BC7073">
        <w:rPr>
          <w:rFonts w:asciiTheme="majorHAnsi" w:hAnsiTheme="majorHAnsi" w:cs="Arial"/>
          <w:sz w:val="16"/>
          <w:szCs w:val="16"/>
          <w:lang w:val="en-US"/>
        </w:rPr>
        <w:t xml:space="preserve">Bateman ED, Reddel HK, Eriksson G, et al. </w:t>
      </w:r>
      <w:r w:rsidRPr="00666923">
        <w:rPr>
          <w:rFonts w:asciiTheme="majorHAnsi" w:hAnsiTheme="majorHAnsi" w:cs="Arial"/>
          <w:sz w:val="16"/>
          <w:szCs w:val="16"/>
          <w:lang w:val="en-US"/>
        </w:rPr>
        <w:t xml:space="preserve">Overall asthma control: the relationship between current control and future risk. J Allergy Clin </w:t>
      </w:r>
      <w:proofErr w:type="spellStart"/>
      <w:r w:rsidRPr="00666923">
        <w:rPr>
          <w:rFonts w:asciiTheme="majorHAnsi" w:hAnsiTheme="majorHAnsi" w:cs="Arial"/>
          <w:sz w:val="16"/>
          <w:szCs w:val="16"/>
          <w:lang w:val="en-US"/>
        </w:rPr>
        <w:t>Immunol</w:t>
      </w:r>
      <w:proofErr w:type="spellEnd"/>
      <w:r w:rsidRPr="00666923">
        <w:rPr>
          <w:rFonts w:asciiTheme="majorHAnsi" w:hAnsiTheme="majorHAnsi" w:cs="Arial"/>
          <w:sz w:val="16"/>
          <w:szCs w:val="16"/>
          <w:lang w:val="en-US"/>
        </w:rPr>
        <w:t>. 2010;125 (3):600-8.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Sans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SansNEXTCond-Bold">
    <w:altName w:val="BISansMa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D86EE2">
      <w:rPr>
        <w:rFonts w:cs="Arial"/>
        <w:noProof/>
        <w:sz w:val="16"/>
        <w:szCs w:val="16"/>
      </w:rPr>
      <w:t>2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D86EE2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D86EE2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D86EE2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9E" w:rsidRDefault="00BD709E" w:rsidP="00AC7343">
      <w:pPr>
        <w:spacing w:after="0" w:line="240" w:lineRule="auto"/>
      </w:pPr>
      <w:r>
        <w:separator/>
      </w:r>
    </w:p>
  </w:footnote>
  <w:footnote w:type="continuationSeparator" w:id="0">
    <w:p w:rsidR="00BD709E" w:rsidRDefault="00BD709E" w:rsidP="00AC7343">
      <w:pPr>
        <w:spacing w:after="0" w:line="240" w:lineRule="auto"/>
      </w:pPr>
      <w:r>
        <w:continuationSeparator/>
      </w:r>
    </w:p>
  </w:footnote>
  <w:footnote w:id="1">
    <w:p w:rsidR="00CE4A18" w:rsidRPr="00FB065E" w:rsidRDefault="00CE4A18" w:rsidP="00CE4A18">
      <w:pPr>
        <w:pStyle w:val="Testonotaapidipagina"/>
        <w:spacing w:line="240" w:lineRule="auto"/>
        <w:jc w:val="both"/>
        <w:rPr>
          <w:lang w:val="it-IT"/>
        </w:rPr>
      </w:pPr>
      <w:r>
        <w:rPr>
          <w:rStyle w:val="Rimandonotaapidipagina"/>
        </w:rPr>
        <w:footnoteRef/>
      </w:r>
      <w:r w:rsidRPr="00BC7073">
        <w:rPr>
          <w:lang w:val="it-IT"/>
        </w:rPr>
        <w:t xml:space="preserve"> </w:t>
      </w:r>
      <w:r>
        <w:rPr>
          <w:sz w:val="16"/>
          <w:lang w:val="it-IT"/>
        </w:rPr>
        <w:t>Nota</w:t>
      </w:r>
      <w:r w:rsidRPr="00FB065E">
        <w:rPr>
          <w:sz w:val="16"/>
          <w:lang w:val="it-IT"/>
        </w:rPr>
        <w:t xml:space="preserve">: </w:t>
      </w:r>
      <w:r w:rsidR="003532B2">
        <w:rPr>
          <w:sz w:val="16"/>
          <w:lang w:val="it-IT"/>
        </w:rPr>
        <w:t xml:space="preserve">tiotropio </w:t>
      </w:r>
      <w:r w:rsidRPr="00FB065E">
        <w:rPr>
          <w:sz w:val="16"/>
          <w:lang w:val="it-IT"/>
        </w:rPr>
        <w:t xml:space="preserve">Respimat® attualmente NON </w:t>
      </w:r>
      <w:r w:rsidR="00B259A8" w:rsidRPr="00FB065E">
        <w:rPr>
          <w:sz w:val="16"/>
          <w:lang w:val="it-IT"/>
        </w:rPr>
        <w:t>È</w:t>
      </w:r>
      <w:r w:rsidRPr="00FB065E">
        <w:rPr>
          <w:sz w:val="16"/>
          <w:lang w:val="it-IT"/>
        </w:rPr>
        <w:t xml:space="preserve"> APPROVATO per l’uso nei minori di 18 anni nella UE </w:t>
      </w:r>
      <w:r>
        <w:rPr>
          <w:sz w:val="16"/>
          <w:lang w:val="it-IT"/>
        </w:rPr>
        <w:t>e in diversi altri paesi</w:t>
      </w:r>
      <w:r w:rsidRPr="00FB065E">
        <w:rPr>
          <w:sz w:val="16"/>
          <w:lang w:val="it-IT"/>
        </w:rPr>
        <w:t>.</w:t>
      </w:r>
      <w:r w:rsidR="00B259A8">
        <w:rPr>
          <w:sz w:val="16"/>
          <w:lang w:val="it-IT"/>
        </w:rPr>
        <w:t xml:space="preserve"> T</w:t>
      </w:r>
      <w:r w:rsidR="003532B2">
        <w:rPr>
          <w:sz w:val="16"/>
          <w:lang w:val="it-IT"/>
        </w:rPr>
        <w:t>iotropio</w:t>
      </w:r>
      <w:r w:rsidRPr="00FB065E">
        <w:rPr>
          <w:sz w:val="16"/>
          <w:lang w:val="it-IT"/>
        </w:rPr>
        <w:t xml:space="preserve"> Respimat® </w:t>
      </w:r>
      <w:r w:rsidRPr="0010709A">
        <w:rPr>
          <w:sz w:val="16"/>
          <w:lang w:val="it-IT"/>
        </w:rPr>
        <w:t xml:space="preserve">è stato approvato per l’uso nell’asma in oltre </w:t>
      </w:r>
      <w:r>
        <w:rPr>
          <w:sz w:val="16"/>
          <w:lang w:val="it-IT"/>
        </w:rPr>
        <w:t>7</w:t>
      </w:r>
      <w:r w:rsidRPr="0010709A">
        <w:rPr>
          <w:sz w:val="16"/>
          <w:lang w:val="it-IT"/>
        </w:rPr>
        <w:t xml:space="preserve">5 paesi, tra cui UE, Stati Uniti e Giappone. Le indicazioni </w:t>
      </w:r>
      <w:r>
        <w:rPr>
          <w:sz w:val="16"/>
          <w:lang w:val="it-IT"/>
        </w:rPr>
        <w:t xml:space="preserve">e il dosaggio </w:t>
      </w:r>
      <w:r w:rsidRPr="0010709A">
        <w:rPr>
          <w:sz w:val="16"/>
          <w:lang w:val="it-IT"/>
        </w:rPr>
        <w:t>per cui il farmaco è approvato variano a paese a paese, si rimanda pertanto alla scheda del farmaco come approvato nel vostro paese</w:t>
      </w:r>
      <w:r w:rsidRPr="00FB065E">
        <w:rPr>
          <w:sz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Default="009F6C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D86EE2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D86EE2">
                      <w:rPr>
                        <w:noProof/>
                        <w:sz w:val="18"/>
                      </w:rPr>
                      <w:t>2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F6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16776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108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71BDE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36F5C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D86EE2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324A83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324A83" w:rsidRDefault="00D86EE2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it-IT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D86EE2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324A83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324A83" w:rsidRDefault="00D86EE2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201F3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A04"/>
    <w:multiLevelType w:val="hybridMultilevel"/>
    <w:tmpl w:val="652A56BA"/>
    <w:lvl w:ilvl="0" w:tplc="95F66386">
      <w:start w:val="1"/>
      <w:numFmt w:val="bullet"/>
      <w:lvlText w:val="•"/>
      <w:lvlJc w:val="left"/>
      <w:pPr>
        <w:ind w:left="360" w:hanging="360"/>
      </w:pPr>
      <w:rPr>
        <w:rFonts w:ascii="BISans" w:hAnsi="B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A1EAC"/>
    <w:multiLevelType w:val="hybridMultilevel"/>
    <w:tmpl w:val="BE64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3"/>
    <w:rsid w:val="000233D3"/>
    <w:rsid w:val="00024DD8"/>
    <w:rsid w:val="0014331A"/>
    <w:rsid w:val="001C65B1"/>
    <w:rsid w:val="001E1700"/>
    <w:rsid w:val="001E30CE"/>
    <w:rsid w:val="00221DF5"/>
    <w:rsid w:val="00251758"/>
    <w:rsid w:val="0029629C"/>
    <w:rsid w:val="002C3CF5"/>
    <w:rsid w:val="002D79EF"/>
    <w:rsid w:val="00324A83"/>
    <w:rsid w:val="003532B2"/>
    <w:rsid w:val="00376DC9"/>
    <w:rsid w:val="00381EDD"/>
    <w:rsid w:val="003A1A46"/>
    <w:rsid w:val="003B4280"/>
    <w:rsid w:val="003D0975"/>
    <w:rsid w:val="003F5C4D"/>
    <w:rsid w:val="00415BE2"/>
    <w:rsid w:val="0043247C"/>
    <w:rsid w:val="00452E42"/>
    <w:rsid w:val="004617F6"/>
    <w:rsid w:val="004670C3"/>
    <w:rsid w:val="00497E3A"/>
    <w:rsid w:val="004A0372"/>
    <w:rsid w:val="004B7F04"/>
    <w:rsid w:val="004E6AA3"/>
    <w:rsid w:val="00516BF2"/>
    <w:rsid w:val="00551E86"/>
    <w:rsid w:val="00573B7C"/>
    <w:rsid w:val="00590103"/>
    <w:rsid w:val="005E0FCC"/>
    <w:rsid w:val="005E2946"/>
    <w:rsid w:val="00601BDE"/>
    <w:rsid w:val="00606EA2"/>
    <w:rsid w:val="00617B36"/>
    <w:rsid w:val="0066719B"/>
    <w:rsid w:val="0067598B"/>
    <w:rsid w:val="00683BCC"/>
    <w:rsid w:val="006C7C99"/>
    <w:rsid w:val="00764DD6"/>
    <w:rsid w:val="007B04BB"/>
    <w:rsid w:val="007B0CD9"/>
    <w:rsid w:val="00825F5D"/>
    <w:rsid w:val="00895D7A"/>
    <w:rsid w:val="008A3587"/>
    <w:rsid w:val="008D3E31"/>
    <w:rsid w:val="008E1392"/>
    <w:rsid w:val="0091619D"/>
    <w:rsid w:val="0094079C"/>
    <w:rsid w:val="00954330"/>
    <w:rsid w:val="00962262"/>
    <w:rsid w:val="00977337"/>
    <w:rsid w:val="009C3479"/>
    <w:rsid w:val="009F38F8"/>
    <w:rsid w:val="009F6C9F"/>
    <w:rsid w:val="00A02962"/>
    <w:rsid w:val="00A14D70"/>
    <w:rsid w:val="00A20932"/>
    <w:rsid w:val="00A67E90"/>
    <w:rsid w:val="00A75E18"/>
    <w:rsid w:val="00A9517E"/>
    <w:rsid w:val="00AA2F97"/>
    <w:rsid w:val="00AC7343"/>
    <w:rsid w:val="00AF10AE"/>
    <w:rsid w:val="00B259A8"/>
    <w:rsid w:val="00B52D16"/>
    <w:rsid w:val="00B74F10"/>
    <w:rsid w:val="00B833E9"/>
    <w:rsid w:val="00BC7073"/>
    <w:rsid w:val="00BD709E"/>
    <w:rsid w:val="00BE23E5"/>
    <w:rsid w:val="00BF3CC7"/>
    <w:rsid w:val="00C032C4"/>
    <w:rsid w:val="00C30B07"/>
    <w:rsid w:val="00C379AE"/>
    <w:rsid w:val="00C66077"/>
    <w:rsid w:val="00C7536A"/>
    <w:rsid w:val="00C82138"/>
    <w:rsid w:val="00CE4A18"/>
    <w:rsid w:val="00D102B5"/>
    <w:rsid w:val="00D13B32"/>
    <w:rsid w:val="00D14654"/>
    <w:rsid w:val="00D37FBB"/>
    <w:rsid w:val="00D86EE2"/>
    <w:rsid w:val="00D91F42"/>
    <w:rsid w:val="00DE5F50"/>
    <w:rsid w:val="00E32CD3"/>
    <w:rsid w:val="00E61CC1"/>
    <w:rsid w:val="00EA4507"/>
    <w:rsid w:val="00EA6FED"/>
    <w:rsid w:val="00ED5FD5"/>
    <w:rsid w:val="00F457D8"/>
    <w:rsid w:val="00FA1C4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D8A94"/>
  <w15:docId w15:val="{95642C28-33DC-4B47-A6BE-21A5316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link w:val="ParagrafoelencoCaratter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RH1">
    <w:name w:val="PR_H1"/>
    <w:basedOn w:val="Normale"/>
    <w:uiPriority w:val="99"/>
    <w:rsid w:val="00CE4A18"/>
    <w:pPr>
      <w:tabs>
        <w:tab w:val="left" w:pos="283"/>
        <w:tab w:val="left" w:pos="567"/>
      </w:tabs>
      <w:autoSpaceDE w:val="0"/>
      <w:autoSpaceDN w:val="0"/>
      <w:adjustRightInd w:val="0"/>
      <w:spacing w:after="0" w:line="660" w:lineRule="atLeast"/>
      <w:textAlignment w:val="center"/>
    </w:pPr>
    <w:rPr>
      <w:rFonts w:ascii="BISansNEXTCond-Bold" w:hAnsi="BISansNEXTCond-Bold" w:cs="BISansNEXTCond-Bold"/>
      <w:b/>
      <w:bCs/>
      <w:color w:val="006145"/>
      <w:sz w:val="60"/>
      <w:szCs w:val="60"/>
      <w:lang w:val="de-DE"/>
    </w:rPr>
  </w:style>
  <w:style w:type="character" w:customStyle="1" w:styleId="ParagrafoelencoCarattere">
    <w:name w:val="Paragrafo elenco Carattere"/>
    <w:link w:val="Paragrafoelenco"/>
    <w:uiPriority w:val="34"/>
    <w:locked/>
    <w:rsid w:val="00CE4A18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ualreport.boehringer-ingelheim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.palear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guffanti@boehringer-ingelhei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4DF0-CD80-4031-8325-E89EF126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4839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5</cp:revision>
  <cp:lastPrinted>2016-03-07T16:50:00Z</cp:lastPrinted>
  <dcterms:created xsi:type="dcterms:W3CDTF">2017-05-25T07:42:00Z</dcterms:created>
  <dcterms:modified xsi:type="dcterms:W3CDTF">2017-05-25T07:49:00Z</dcterms:modified>
</cp:coreProperties>
</file>