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DD6" w:rsidRPr="00764DD6" w:rsidRDefault="00764DD6" w:rsidP="00764DD6">
      <w:pPr>
        <w:tabs>
          <w:tab w:val="left" w:pos="142"/>
        </w:tabs>
        <w:spacing w:after="0" w:line="283" w:lineRule="atLeast"/>
        <w:jc w:val="both"/>
        <w:rPr>
          <w:rFonts w:ascii="BISans" w:hAnsi="BISans" w:cs="Arial"/>
          <w:b/>
          <w:bCs/>
          <w:sz w:val="32"/>
          <w:szCs w:val="32"/>
          <w:lang w:eastAsia="zh-TW"/>
        </w:rPr>
      </w:pPr>
      <w:r w:rsidRPr="00764DD6">
        <w:rPr>
          <w:rFonts w:ascii="BISans" w:hAnsi="BISans" w:cs="Arial"/>
          <w:b/>
          <w:bCs/>
          <w:sz w:val="32"/>
          <w:szCs w:val="32"/>
          <w:lang w:eastAsia="zh-TW"/>
        </w:rPr>
        <w:t>Studio Re-Circuit®: in Italia il Centro che ha arruolato il maggior numero di pazienti</w:t>
      </w:r>
    </w:p>
    <w:p w:rsidR="00764DD6" w:rsidRPr="00764DD6" w:rsidRDefault="00764DD6" w:rsidP="00764DD6">
      <w:pPr>
        <w:tabs>
          <w:tab w:val="left" w:pos="142"/>
        </w:tabs>
        <w:spacing w:after="0" w:line="283" w:lineRule="atLeast"/>
        <w:jc w:val="both"/>
        <w:rPr>
          <w:rFonts w:ascii="BISans" w:hAnsi="BISans" w:cs="Arial"/>
          <w:b/>
          <w:bCs/>
          <w:sz w:val="32"/>
          <w:szCs w:val="32"/>
          <w:lang w:eastAsia="zh-TW"/>
        </w:rPr>
      </w:pPr>
    </w:p>
    <w:p w:rsidR="00764DD6" w:rsidRPr="00764DD6" w:rsidRDefault="00764DD6" w:rsidP="00764DD6">
      <w:pPr>
        <w:tabs>
          <w:tab w:val="left" w:pos="142"/>
        </w:tabs>
        <w:spacing w:after="0" w:line="283" w:lineRule="atLeast"/>
        <w:jc w:val="both"/>
        <w:rPr>
          <w:rFonts w:ascii="BISans" w:hAnsi="BISans" w:cs="BISansNEXTCond-Bold"/>
          <w:bCs/>
          <w:i/>
          <w:color w:val="000000"/>
          <w:sz w:val="24"/>
          <w:szCs w:val="24"/>
        </w:rPr>
      </w:pPr>
      <w:r w:rsidRPr="00764DD6">
        <w:rPr>
          <w:rFonts w:ascii="BISans" w:hAnsi="BISans" w:cs="BISansNEXTCond-Bold"/>
          <w:bCs/>
          <w:i/>
          <w:color w:val="000000"/>
          <w:sz w:val="24"/>
          <w:szCs w:val="24"/>
        </w:rPr>
        <w:t>Lo Studio ha dimostrato che, nei pazienti con Fibrillazione Atriale sottoposti ad ablazione transcatetere, la terapia con dabigatran non interrotto evidenzia minori emorragie maggiori rispetto a warfarin. Dei 704 pazienti complessivi, 61 sono stati arruolati in Italia, di cui 50 solo nel Centro di Acquaviva delle Fonti.</w:t>
      </w:r>
    </w:p>
    <w:p w:rsidR="00764DD6" w:rsidRPr="00764DD6" w:rsidRDefault="00764DD6" w:rsidP="00764DD6">
      <w:pPr>
        <w:tabs>
          <w:tab w:val="left" w:pos="142"/>
        </w:tabs>
        <w:spacing w:after="0" w:line="283" w:lineRule="atLeast"/>
        <w:jc w:val="both"/>
        <w:rPr>
          <w:rFonts w:ascii="Cambria" w:eastAsia="BISans" w:hAnsi="Cambria" w:cs="Arial"/>
          <w:sz w:val="20"/>
          <w:szCs w:val="20"/>
        </w:rPr>
      </w:pPr>
    </w:p>
    <w:p w:rsidR="00764DD6" w:rsidRPr="00764DD6" w:rsidRDefault="00764DD6" w:rsidP="00764DD6">
      <w:pPr>
        <w:numPr>
          <w:ilvl w:val="0"/>
          <w:numId w:val="8"/>
        </w:numPr>
        <w:spacing w:after="0" w:line="264" w:lineRule="auto"/>
        <w:ind w:left="360"/>
        <w:contextualSpacing/>
        <w:jc w:val="both"/>
        <w:rPr>
          <w:rFonts w:ascii="BISans" w:hAnsi="BISans" w:cs="BISansNEXTCond-Bold"/>
          <w:bCs/>
          <w:i/>
          <w:color w:val="000000"/>
          <w:sz w:val="20"/>
          <w:szCs w:val="20"/>
        </w:rPr>
      </w:pPr>
      <w:r w:rsidRPr="00764DD6">
        <w:rPr>
          <w:rFonts w:ascii="BISans" w:hAnsi="BISans" w:cs="BISansNEXTCond-Bold"/>
          <w:bCs/>
          <w:i/>
          <w:color w:val="000000"/>
          <w:sz w:val="20"/>
          <w:szCs w:val="20"/>
        </w:rPr>
        <w:t>Nello studio RE-CIRCUIT® si sono osservate meno emorragie maggiori ed eventi avversi gravi nei pazienti in trattamento con dabigatran non interrotto, rispetto a quelli in trattamento con warfarin</w:t>
      </w:r>
      <w:r w:rsidRPr="00764DD6">
        <w:rPr>
          <w:rFonts w:ascii="BISans" w:hAnsi="BISans" w:cs="BISansNEXTCond-Bold"/>
          <w:bCs/>
          <w:i/>
          <w:color w:val="000000"/>
          <w:sz w:val="20"/>
          <w:szCs w:val="20"/>
          <w:vertAlign w:val="superscript"/>
        </w:rPr>
        <w:t>1,2</w:t>
      </w:r>
      <w:r w:rsidRPr="00764DD6">
        <w:rPr>
          <w:rFonts w:ascii="BISans" w:hAnsi="BISans" w:cs="BISansNEXTCond-Bold"/>
          <w:bCs/>
          <w:i/>
          <w:color w:val="000000"/>
          <w:sz w:val="20"/>
          <w:szCs w:val="20"/>
        </w:rPr>
        <w:t>senza interruzione;</w:t>
      </w:r>
    </w:p>
    <w:p w:rsidR="00764DD6" w:rsidRPr="00764DD6" w:rsidRDefault="00764DD6" w:rsidP="00764DD6">
      <w:pPr>
        <w:numPr>
          <w:ilvl w:val="0"/>
          <w:numId w:val="8"/>
        </w:numPr>
        <w:spacing w:after="0" w:line="264" w:lineRule="auto"/>
        <w:ind w:left="360"/>
        <w:contextualSpacing/>
        <w:jc w:val="both"/>
        <w:rPr>
          <w:rFonts w:ascii="BISans" w:hAnsi="BISans" w:cs="BISansNEXTCond-Bold"/>
          <w:bCs/>
          <w:i/>
          <w:color w:val="000000"/>
          <w:sz w:val="20"/>
          <w:szCs w:val="20"/>
        </w:rPr>
      </w:pPr>
      <w:r w:rsidRPr="00764DD6">
        <w:rPr>
          <w:rFonts w:ascii="BISans" w:hAnsi="BISans" w:cs="BISansNEXTCond-Bold"/>
          <w:bCs/>
          <w:i/>
          <w:color w:val="000000"/>
          <w:sz w:val="20"/>
          <w:szCs w:val="20"/>
        </w:rPr>
        <w:t>La popolazione di pazienti arruolata nello studio riflette quella sottoposta ad ablazione transcatetere nella pratica clinica quotidiana, fornendo informazioni estremamente rilevanti per la comunità scientifica;</w:t>
      </w:r>
      <w:r w:rsidRPr="00764DD6">
        <w:rPr>
          <w:rFonts w:ascii="BISans" w:hAnsi="BISans" w:cs="BISansNEXTCond-Bold"/>
          <w:bCs/>
          <w:i/>
          <w:color w:val="000000"/>
          <w:sz w:val="20"/>
          <w:szCs w:val="20"/>
          <w:vertAlign w:val="superscript"/>
        </w:rPr>
        <w:t>1,2</w:t>
      </w:r>
    </w:p>
    <w:p w:rsidR="00764DD6" w:rsidRPr="00764DD6" w:rsidRDefault="00764DD6" w:rsidP="00764DD6">
      <w:pPr>
        <w:numPr>
          <w:ilvl w:val="0"/>
          <w:numId w:val="8"/>
        </w:numPr>
        <w:spacing w:after="0" w:line="264" w:lineRule="auto"/>
        <w:ind w:left="360"/>
        <w:contextualSpacing/>
        <w:jc w:val="both"/>
        <w:rPr>
          <w:rFonts w:ascii="BISans" w:hAnsi="BISans" w:cs="BISansNEXTCond-Bold"/>
          <w:bCs/>
          <w:i/>
          <w:color w:val="000000"/>
          <w:sz w:val="20"/>
          <w:szCs w:val="20"/>
        </w:rPr>
      </w:pPr>
      <w:r w:rsidRPr="00764DD6">
        <w:rPr>
          <w:rFonts w:ascii="BISans" w:hAnsi="BISans" w:cs="BISansNEXTCond-Bold"/>
          <w:bCs/>
          <w:i/>
          <w:color w:val="000000"/>
          <w:sz w:val="20"/>
          <w:szCs w:val="20"/>
        </w:rPr>
        <w:t>I risultati sono stati presentati all’edizione 2017 del Congresso ACC e pubblicati sul New England Journal of Medicine (NEJM).</w:t>
      </w:r>
      <w:r w:rsidRPr="00764DD6">
        <w:rPr>
          <w:rFonts w:ascii="BISans" w:hAnsi="BISans" w:cs="BISansNEXTCond-Bold"/>
          <w:bCs/>
          <w:i/>
          <w:color w:val="000000"/>
          <w:sz w:val="20"/>
          <w:szCs w:val="20"/>
          <w:vertAlign w:val="superscript"/>
        </w:rPr>
        <w:t>1,2</w:t>
      </w:r>
    </w:p>
    <w:p w:rsidR="00764DD6" w:rsidRPr="00764DD6" w:rsidRDefault="00764DD6" w:rsidP="00764DD6">
      <w:pPr>
        <w:spacing w:after="0" w:line="264" w:lineRule="auto"/>
        <w:jc w:val="both"/>
        <w:rPr>
          <w:rFonts w:ascii="BISans" w:eastAsia="MS Mincho" w:hAnsi="BISans" w:cs="Arial"/>
          <w:b/>
          <w:bCs/>
          <w:color w:val="003366"/>
          <w:sz w:val="20"/>
          <w:szCs w:val="20"/>
          <w:lang w:eastAsia="en-GB"/>
        </w:rPr>
      </w:pPr>
    </w:p>
    <w:p w:rsidR="00764DD6" w:rsidRPr="00764DD6" w:rsidRDefault="00764DD6" w:rsidP="00764DD6">
      <w:pPr>
        <w:spacing w:after="0" w:line="264" w:lineRule="auto"/>
        <w:jc w:val="both"/>
        <w:rPr>
          <w:rFonts w:ascii="BISans" w:eastAsia="BISans" w:hAnsi="BISans" w:cs="Angsana New"/>
          <w:sz w:val="20"/>
        </w:rPr>
      </w:pPr>
      <w:r w:rsidRPr="00764DD6">
        <w:rPr>
          <w:rFonts w:ascii="BISans" w:eastAsia="BISans" w:hAnsi="BISans" w:cs="Angsana New"/>
          <w:b/>
          <w:bCs/>
          <w:color w:val="003366"/>
          <w:sz w:val="20"/>
        </w:rPr>
        <w:t>Ingelheim, Germania,</w:t>
      </w:r>
      <w:r w:rsidRPr="00764DD6">
        <w:rPr>
          <w:rFonts w:ascii="BISans" w:eastAsia="BISans" w:hAnsi="BISans" w:cs="Angsana New"/>
          <w:bCs/>
          <w:color w:val="003366"/>
          <w:sz w:val="20"/>
        </w:rPr>
        <w:t xml:space="preserve"> </w:t>
      </w:r>
      <w:r w:rsidRPr="00764DD6">
        <w:rPr>
          <w:rFonts w:ascii="BISans" w:eastAsia="BISans" w:hAnsi="BISans" w:cs="Angsana New"/>
          <w:b/>
          <w:bCs/>
          <w:color w:val="003366"/>
          <w:sz w:val="20"/>
        </w:rPr>
        <w:t xml:space="preserve">19 marzo, 2017 </w:t>
      </w:r>
      <w:r w:rsidRPr="00764DD6">
        <w:rPr>
          <w:rFonts w:ascii="BISans" w:eastAsia="BISans" w:hAnsi="BISans" w:cs="Angsana New"/>
          <w:sz w:val="20"/>
        </w:rPr>
        <w:t xml:space="preserve">– L’ospedale regionale “Miulli” di Acquaviva delle Fonti (Ba) è il Centro con il maggior numero di pazienti arruolati al mondo per lo Studio </w:t>
      </w:r>
      <w:r w:rsidRPr="00764DD6">
        <w:rPr>
          <w:rFonts w:ascii="BISans" w:hAnsi="BISans" w:cs="BISansNEXTCond-Bold"/>
          <w:bCs/>
          <w:i/>
          <w:color w:val="000000"/>
          <w:sz w:val="20"/>
          <w:szCs w:val="20"/>
        </w:rPr>
        <w:t xml:space="preserve">RE-CIRCUIT®, </w:t>
      </w:r>
      <w:r w:rsidRPr="00764DD6">
        <w:rPr>
          <w:rFonts w:ascii="BISans" w:hAnsi="BISans" w:cs="BISansNEXTCond-Bold"/>
          <w:bCs/>
          <w:color w:val="000000"/>
          <w:sz w:val="20"/>
          <w:szCs w:val="20"/>
        </w:rPr>
        <w:t>che ha messo in luce n</w:t>
      </w:r>
      <w:r w:rsidRPr="00764DD6">
        <w:rPr>
          <w:rFonts w:ascii="BISans" w:eastAsia="BISans" w:hAnsi="BISans" w:cs="Angsana New"/>
          <w:sz w:val="20"/>
        </w:rPr>
        <w:t>uovi importanti risultati, circa il profilo di sicurezza di dabigatran etexilato rispetto a warfarin, in pazienti con fibrillazione atriale (FA), sottoposti ad ablazione transcatetere.</w:t>
      </w:r>
      <w:r w:rsidRPr="00764DD6" w:rsidDel="007B0BE1">
        <w:rPr>
          <w:rFonts w:ascii="BISans" w:eastAsia="BISans" w:hAnsi="BISans" w:cs="Angsana New"/>
          <w:sz w:val="20"/>
        </w:rPr>
        <w:t xml:space="preserve"> </w:t>
      </w:r>
      <w:r w:rsidRPr="00764DD6">
        <w:rPr>
          <w:rFonts w:ascii="BISans" w:eastAsia="BISans" w:hAnsi="BISans" w:cs="Angsana New"/>
          <w:sz w:val="20"/>
        </w:rPr>
        <w:t xml:space="preserve"> I pazienti sottoposti ad ablazione transcatetere senza l’interruzione di dabigatran, infatti, hanno avuto meno emorragie maggiori e minori eventi avversi gravi rispetto a quelli trattati con warfarin non interrotto. </w:t>
      </w:r>
    </w:p>
    <w:p w:rsidR="00764DD6" w:rsidRPr="00764DD6" w:rsidRDefault="00764DD6" w:rsidP="00764DD6">
      <w:pPr>
        <w:spacing w:after="0" w:line="264" w:lineRule="auto"/>
        <w:jc w:val="both"/>
        <w:rPr>
          <w:rFonts w:ascii="BISans" w:eastAsia="BISans" w:hAnsi="BISans" w:cs="Angsana New"/>
          <w:sz w:val="20"/>
        </w:rPr>
      </w:pPr>
    </w:p>
    <w:p w:rsidR="00764DD6" w:rsidRPr="00764DD6" w:rsidRDefault="00764DD6" w:rsidP="00764DD6">
      <w:pPr>
        <w:spacing w:after="0" w:line="264" w:lineRule="auto"/>
        <w:jc w:val="both"/>
        <w:rPr>
          <w:rFonts w:ascii="BISans" w:eastAsia="BISans" w:hAnsi="BISans" w:cs="Angsana New"/>
          <w:sz w:val="20"/>
        </w:rPr>
      </w:pPr>
      <w:r w:rsidRPr="00764DD6">
        <w:rPr>
          <w:rFonts w:ascii="BISans" w:hAnsi="BISans" w:cs="BISansNEXTCond-Bold"/>
          <w:bCs/>
          <w:color w:val="000000"/>
          <w:sz w:val="20"/>
          <w:szCs w:val="20"/>
        </w:rPr>
        <w:t xml:space="preserve">“Abbiamo accettato con grande entusiasmo di partecipare allo Studio </w:t>
      </w:r>
      <w:r w:rsidRPr="00764DD6">
        <w:rPr>
          <w:rFonts w:ascii="BISans" w:hAnsi="BISans" w:cs="BISansNEXTCond-Bold"/>
          <w:bCs/>
          <w:i/>
          <w:color w:val="000000"/>
          <w:sz w:val="20"/>
          <w:szCs w:val="20"/>
        </w:rPr>
        <w:t xml:space="preserve">RE-CIRCUIT® - </w:t>
      </w:r>
      <w:r w:rsidRPr="00764DD6">
        <w:rPr>
          <w:rFonts w:ascii="BISans" w:hAnsi="BISans" w:cs="BISansNEXTCond-Bold"/>
          <w:bCs/>
          <w:color w:val="000000"/>
          <w:sz w:val="20"/>
          <w:szCs w:val="20"/>
        </w:rPr>
        <w:t xml:space="preserve"> ha dichiarato il Dottor Massimo Grimaldi, </w:t>
      </w:r>
      <w:r w:rsidRPr="00764DD6">
        <w:rPr>
          <w:rFonts w:ascii="BISans" w:eastAsia="Times New Roman" w:hAnsi="BISans" w:cs="BISans"/>
          <w:color w:val="000000"/>
          <w:sz w:val="20"/>
          <w:szCs w:val="20"/>
        </w:rPr>
        <w:t xml:space="preserve">Responsabile U.O.S.D. di Aritmologia presso l’Ospedale “F. Miulli” di Acquaviva delle Fonti (BA) </w:t>
      </w:r>
      <w:r w:rsidRPr="00764DD6">
        <w:rPr>
          <w:rFonts w:ascii="BISans" w:eastAsia="BISans" w:hAnsi="BISans" w:cs="Angsana New"/>
          <w:sz w:val="20"/>
        </w:rPr>
        <w:t xml:space="preserve">- Era molto importante, infatti, valutare con un rigoroso studio randomizzato la validità di un approccio non interrotto con dabigatran in pazienti con Fibrillazione Atriale che dovevano essere sottoposti ad ablazione </w:t>
      </w:r>
      <w:r w:rsidR="00A20932" w:rsidRPr="00764DD6">
        <w:rPr>
          <w:rFonts w:ascii="BISans" w:eastAsia="BISans" w:hAnsi="BISans" w:cs="Angsana New"/>
          <w:sz w:val="20"/>
        </w:rPr>
        <w:t>transcatetere</w:t>
      </w:r>
      <w:r w:rsidRPr="00764DD6">
        <w:rPr>
          <w:rFonts w:ascii="BISans" w:eastAsia="BISans" w:hAnsi="BISans" w:cs="Angsana New"/>
          <w:sz w:val="20"/>
        </w:rPr>
        <w:t xml:space="preserve">. </w:t>
      </w:r>
      <w:r w:rsidRPr="00764DD6">
        <w:rPr>
          <w:rFonts w:ascii="BISans" w:hAnsi="BISans" w:cs="BISansNEXTCond-Bold"/>
          <w:bCs/>
          <w:color w:val="000000"/>
          <w:sz w:val="20"/>
          <w:szCs w:val="20"/>
        </w:rPr>
        <w:t>L’arruolamento dei pazienti – continua Grimaldi</w:t>
      </w:r>
      <w:r w:rsidRPr="00764DD6">
        <w:rPr>
          <w:rFonts w:ascii="BISans" w:eastAsia="BISans" w:hAnsi="BISans" w:cs="Angsana New"/>
          <w:sz w:val="20"/>
        </w:rPr>
        <w:t xml:space="preserve"> – è stato semplice in quanto quasi tutti i nostri pazienti erano in terapia con warfarin e hanno visto con grande interesse la possibilità di passare a un NOAC”. </w:t>
      </w:r>
    </w:p>
    <w:p w:rsidR="00764DD6" w:rsidRPr="00764DD6" w:rsidRDefault="00764DD6" w:rsidP="00764DD6">
      <w:pPr>
        <w:spacing w:after="0" w:line="264" w:lineRule="auto"/>
        <w:jc w:val="both"/>
        <w:rPr>
          <w:rFonts w:ascii="BISans" w:eastAsia="Times New Roman" w:hAnsi="BISans" w:cs="Angsana New"/>
          <w:color w:val="000000"/>
          <w:sz w:val="20"/>
        </w:rPr>
      </w:pPr>
    </w:p>
    <w:p w:rsidR="00764DD6" w:rsidRPr="00764DD6" w:rsidRDefault="00764DD6" w:rsidP="00764DD6">
      <w:pPr>
        <w:spacing w:after="0" w:line="264" w:lineRule="auto"/>
        <w:jc w:val="both"/>
        <w:rPr>
          <w:rFonts w:ascii="BISans" w:eastAsia="Times New Roman" w:hAnsi="BISans" w:cs="Angsana New"/>
          <w:color w:val="000000"/>
          <w:sz w:val="20"/>
        </w:rPr>
      </w:pPr>
      <w:r w:rsidRPr="00764DD6">
        <w:rPr>
          <w:rFonts w:ascii="BISans" w:hAnsi="BISans" w:cs="BISansNEXTCond-Bold"/>
          <w:bCs/>
          <w:color w:val="000000"/>
          <w:sz w:val="20"/>
          <w:szCs w:val="20"/>
        </w:rPr>
        <w:t>Nello studio RE-CIRCUIT®,</w:t>
      </w:r>
      <w:r w:rsidRPr="00764DD6">
        <w:rPr>
          <w:rFonts w:ascii="BISans" w:eastAsia="BISans" w:hAnsi="BISans" w:cs="Angsana New"/>
          <w:sz w:val="20"/>
        </w:rPr>
        <w:t xml:space="preserve"> i cui risultati sono stati presentati in una sessione </w:t>
      </w:r>
      <w:r w:rsidRPr="00764DD6">
        <w:rPr>
          <w:rFonts w:ascii="BISans" w:eastAsia="Times New Roman" w:hAnsi="BISans" w:cs="Angsana New"/>
          <w:i/>
          <w:color w:val="000000"/>
          <w:sz w:val="20"/>
        </w:rPr>
        <w:t>late-breaking</w:t>
      </w:r>
      <w:r w:rsidRPr="00764DD6">
        <w:rPr>
          <w:rFonts w:ascii="BISans" w:eastAsia="Times New Roman" w:hAnsi="BISans" w:cs="Angsana New"/>
          <w:color w:val="000000"/>
          <w:sz w:val="20"/>
        </w:rPr>
        <w:t xml:space="preserve"> al 66° Congresso dell’</w:t>
      </w:r>
      <w:r w:rsidRPr="00764DD6">
        <w:rPr>
          <w:rFonts w:ascii="BISans" w:eastAsia="Times New Roman" w:hAnsi="BISans" w:cs="Angsana New"/>
          <w:i/>
          <w:color w:val="000000"/>
          <w:sz w:val="20"/>
        </w:rPr>
        <w:t xml:space="preserve">American College of Cardiology </w:t>
      </w:r>
      <w:r w:rsidRPr="00764DD6">
        <w:rPr>
          <w:rFonts w:ascii="BISans" w:eastAsia="Times New Roman" w:hAnsi="BISans" w:cs="Angsana New"/>
          <w:color w:val="000000"/>
          <w:sz w:val="20"/>
        </w:rPr>
        <w:t xml:space="preserve">(ACC) a Washington e contemporaneamente pubblicati sul </w:t>
      </w:r>
      <w:r w:rsidRPr="00764DD6">
        <w:rPr>
          <w:rFonts w:ascii="BISans" w:eastAsia="Times New Roman" w:hAnsi="BISans" w:cs="Angsana New"/>
          <w:i/>
          <w:color w:val="000000"/>
          <w:sz w:val="20"/>
        </w:rPr>
        <w:t xml:space="preserve">New England Journal of </w:t>
      </w:r>
      <w:r w:rsidRPr="00764DD6">
        <w:rPr>
          <w:rFonts w:ascii="BISans" w:eastAsia="Times New Roman" w:hAnsi="BISans" w:cs="Angsana New"/>
          <w:i/>
          <w:color w:val="000000"/>
          <w:sz w:val="20"/>
        </w:rPr>
        <w:lastRenderedPageBreak/>
        <w:t>Medicine</w:t>
      </w:r>
      <w:r w:rsidRPr="00764DD6">
        <w:rPr>
          <w:rFonts w:ascii="BISans" w:hAnsi="BISans" w:cs="BISansNEXTCond-Bold"/>
          <w:bCs/>
          <w:color w:val="000000"/>
          <w:sz w:val="20"/>
          <w:szCs w:val="20"/>
          <w:vertAlign w:val="superscript"/>
        </w:rPr>
        <w:t>1,2</w:t>
      </w:r>
      <w:r w:rsidRPr="00764DD6">
        <w:rPr>
          <w:rFonts w:ascii="BISans" w:eastAsia="BISans" w:hAnsi="BISans" w:cs="Angsana New"/>
          <w:sz w:val="20"/>
        </w:rPr>
        <w:t xml:space="preserve">, la terapia </w:t>
      </w:r>
      <w:r w:rsidRPr="00764DD6">
        <w:rPr>
          <w:rFonts w:ascii="BISans" w:eastAsia="Times New Roman" w:hAnsi="BISans" w:cs="Angsana New"/>
          <w:color w:val="000000"/>
          <w:sz w:val="20"/>
        </w:rPr>
        <w:t xml:space="preserve">non interrotta con dabigatran ha ridotto significativamente il </w:t>
      </w:r>
      <w:r w:rsidR="00A20932" w:rsidRPr="00764DD6">
        <w:rPr>
          <w:rFonts w:ascii="BISans" w:eastAsia="Times New Roman" w:hAnsi="BISans" w:cs="Angsana New"/>
          <w:color w:val="000000"/>
          <w:sz w:val="20"/>
        </w:rPr>
        <w:t>rischio di</w:t>
      </w:r>
      <w:r w:rsidRPr="00764DD6">
        <w:rPr>
          <w:rFonts w:ascii="BISans" w:eastAsia="Times New Roman" w:hAnsi="BISans" w:cs="Angsana New"/>
          <w:color w:val="000000"/>
          <w:sz w:val="20"/>
        </w:rPr>
        <w:t xml:space="preserve"> emorragia maggiore, rispetto alla terapia non interrotta con </w:t>
      </w:r>
      <w:r w:rsidRPr="00764DD6">
        <w:rPr>
          <w:rFonts w:ascii="BISans" w:eastAsia="Times New Roman" w:hAnsi="BISans" w:cs="Angsana New"/>
          <w:i/>
          <w:color w:val="000000"/>
          <w:sz w:val="20"/>
        </w:rPr>
        <w:t>warfarin</w:t>
      </w:r>
      <w:r w:rsidRPr="00764DD6">
        <w:rPr>
          <w:rFonts w:ascii="BISans" w:eastAsia="Times New Roman" w:hAnsi="BISans" w:cs="Angsana New"/>
          <w:color w:val="000000"/>
          <w:sz w:val="20"/>
        </w:rPr>
        <w:t>. Lo studio ha mostrato una riduzione del 5,3% del rischio assoluto per l’endpoint primario, con emorragia maggiore verificatasi in 5 pazienti su 317 trattati con dabigatran, contro 22 pazienti su 318 trattati con warfarin (riduzione del rischio relativo del 77,2%). Simile l’incidenza di complicanze di emorragia minore nei due bracci di trattamento (dabigatran 59 pazienti su 317, contro warfarin 54 pazienti su 318). Nei pazienti in terapia con warfarin si è verificato un evento tromboembolico, nessun evento tromboembolico nei pazienti trattati con dabigatran.</w:t>
      </w:r>
      <w:r w:rsidRPr="00764DD6">
        <w:rPr>
          <w:rFonts w:ascii="BISans" w:hAnsi="BISans" w:cs="BISansNEXTCond-Bold"/>
          <w:bCs/>
          <w:color w:val="000000"/>
          <w:sz w:val="20"/>
          <w:szCs w:val="20"/>
        </w:rPr>
        <w:t xml:space="preserve"> Lo studio RE-CIRCUIT® ha coinvolto 635 pazienti con fibrillazione atriale parossistica o persistente sottoposti ad ablazione transcatetere. La popolazione arruolata nello studio rispecchia le tipologie di pazienti sottoposti </w:t>
      </w:r>
      <w:proofErr w:type="gramStart"/>
      <w:r w:rsidRPr="00764DD6">
        <w:rPr>
          <w:rFonts w:ascii="BISans" w:hAnsi="BISans" w:cs="BISansNEXTCond-Bold"/>
          <w:bCs/>
          <w:color w:val="000000"/>
          <w:sz w:val="20"/>
          <w:szCs w:val="20"/>
        </w:rPr>
        <w:t>a  questo</w:t>
      </w:r>
      <w:proofErr w:type="gramEnd"/>
      <w:r w:rsidRPr="00764DD6">
        <w:rPr>
          <w:rFonts w:ascii="BISans" w:hAnsi="BISans" w:cs="BISansNEXTCond-Bold"/>
          <w:bCs/>
          <w:color w:val="000000"/>
          <w:sz w:val="20"/>
          <w:szCs w:val="20"/>
        </w:rPr>
        <w:t xml:space="preserve"> tipo d’intervento nella pratica clinica quotidiana e i risultati forniscono nuove e importanti informazioni  per la classe medica.</w:t>
      </w:r>
      <w:r w:rsidRPr="00764DD6">
        <w:rPr>
          <w:rFonts w:ascii="BISans" w:hAnsi="BISans" w:cs="BISansNEXTCond-Bold"/>
          <w:bCs/>
          <w:color w:val="000000"/>
          <w:sz w:val="20"/>
          <w:szCs w:val="20"/>
          <w:vertAlign w:val="superscript"/>
        </w:rPr>
        <w:t>1,2</w:t>
      </w:r>
      <w:r w:rsidRPr="00764DD6">
        <w:rPr>
          <w:rFonts w:ascii="BISans" w:hAnsi="BISans" w:cs="BISansNEXTCond-Bold"/>
          <w:bCs/>
          <w:color w:val="000000"/>
          <w:sz w:val="20"/>
          <w:szCs w:val="20"/>
        </w:rPr>
        <w:t xml:space="preserve"> </w:t>
      </w:r>
    </w:p>
    <w:p w:rsidR="00764DD6" w:rsidRPr="00764DD6" w:rsidRDefault="00764DD6" w:rsidP="00764DD6">
      <w:pPr>
        <w:spacing w:before="100" w:beforeAutospacing="1" w:after="100" w:afterAutospacing="1" w:line="240" w:lineRule="auto"/>
        <w:jc w:val="both"/>
        <w:rPr>
          <w:rFonts w:ascii="BISans" w:eastAsia="Times New Roman" w:hAnsi="BISans" w:cs="Angsana New"/>
          <w:color w:val="000000"/>
          <w:sz w:val="20"/>
        </w:rPr>
      </w:pPr>
      <w:r w:rsidRPr="00764DD6">
        <w:rPr>
          <w:rFonts w:ascii="BISans" w:eastAsia="Times New Roman" w:hAnsi="BISans" w:cs="Angsana New"/>
          <w:color w:val="000000"/>
          <w:sz w:val="20"/>
        </w:rPr>
        <w:t>“Questi dati sono stati per noi molto rassicuranti proprio in virtù del duplice ed opposto rischio che l’intervento di ablazione comporta. – aggiunge Grimaldi – In altri termini ci si sente come un giocoliere sul filo, potendo cadere da un lato nella complicanza emorragico, e dall'altro in quella tromboembolica." </w:t>
      </w:r>
    </w:p>
    <w:p w:rsidR="00764DD6" w:rsidRPr="00764DD6" w:rsidRDefault="00764DD6" w:rsidP="00764DD6">
      <w:pPr>
        <w:spacing w:before="100" w:beforeAutospacing="1" w:after="100" w:afterAutospacing="1" w:line="240" w:lineRule="auto"/>
        <w:jc w:val="both"/>
        <w:rPr>
          <w:rFonts w:ascii="BISans" w:hAnsi="BISans" w:cs="BISansNEXTCond-Bold"/>
          <w:bCs/>
          <w:color w:val="000000"/>
          <w:sz w:val="20"/>
          <w:szCs w:val="20"/>
        </w:rPr>
      </w:pPr>
      <w:r w:rsidRPr="00764DD6">
        <w:rPr>
          <w:rFonts w:ascii="BISans" w:hAnsi="BISans" w:cs="BISansNEXTCond-Bold"/>
          <w:bCs/>
          <w:color w:val="000000"/>
          <w:sz w:val="20"/>
          <w:szCs w:val="20"/>
        </w:rPr>
        <w:t xml:space="preserve"> “I risultati del trial rappresentano  un’ importante notizia per la comunità scientifica  - ha dichiarato il Chairman  dello Steering Committee Studio RE-CIRCUIT® Hugh </w:t>
      </w:r>
      <w:proofErr w:type="spellStart"/>
      <w:r w:rsidRPr="00764DD6">
        <w:rPr>
          <w:rFonts w:ascii="BISans" w:hAnsi="BISans" w:cs="BISansNEXTCond-Bold"/>
          <w:bCs/>
          <w:color w:val="000000"/>
          <w:sz w:val="20"/>
          <w:szCs w:val="20"/>
        </w:rPr>
        <w:t>Calkins</w:t>
      </w:r>
      <w:proofErr w:type="spellEnd"/>
      <w:r w:rsidRPr="00764DD6">
        <w:rPr>
          <w:rFonts w:ascii="BISans" w:hAnsi="BISans" w:cs="BISansNEXTCond-Bold"/>
          <w:bCs/>
          <w:color w:val="000000"/>
          <w:sz w:val="20"/>
          <w:szCs w:val="20"/>
        </w:rPr>
        <w:t>, Professore di Cardiologia e Direttore del Laboratorio di Elettrofisiologia e del Servizio di Aritmologia del Johns Hopkins Hospital di Baltimora -  La procedura di ablazione è a rischio  di complicanze maggiori tra cui ictus ed emorragie, pertanto, la gestione dell’anticoagulazione al momento dell’ ablazione è di importanza cruciale. Nello studio RE-CIRCUIT abbiamo riscontrato che la terapia anticoagulante non interrotta con dabigatran ha comportato meno emorragie maggiori rispetto a warfarin, in pazienti con fibrillazione atriale sottoposti ad ablazione”.</w:t>
      </w:r>
    </w:p>
    <w:p w:rsidR="00764DD6" w:rsidRPr="00764DD6" w:rsidRDefault="00764DD6" w:rsidP="00764DD6">
      <w:pPr>
        <w:spacing w:after="0" w:line="264" w:lineRule="auto"/>
        <w:jc w:val="both"/>
        <w:rPr>
          <w:rFonts w:ascii="BISans" w:eastAsia="BISans" w:hAnsi="BISans" w:cs="Arial"/>
          <w:bCs/>
          <w:sz w:val="20"/>
          <w:szCs w:val="20"/>
        </w:rPr>
      </w:pPr>
      <w:r w:rsidRPr="00764DD6">
        <w:rPr>
          <w:rFonts w:ascii="BISans" w:eastAsia="BISans" w:hAnsi="BISans" w:cs="Arial"/>
          <w:bCs/>
          <w:sz w:val="20"/>
          <w:szCs w:val="20"/>
        </w:rPr>
        <w:t>Ogni anno nel mondo vengono eseguite più di 200.000 procedure di ablazione in pazienti con fibrillazione atriale</w:t>
      </w:r>
      <w:r w:rsidRPr="00764DD6">
        <w:rPr>
          <w:rFonts w:ascii="BISans" w:eastAsia="BISans" w:hAnsi="BISans" w:cs="Arial"/>
          <w:bCs/>
          <w:sz w:val="20"/>
          <w:szCs w:val="20"/>
          <w:vertAlign w:val="superscript"/>
        </w:rPr>
        <w:t>3-5</w:t>
      </w:r>
      <w:r w:rsidRPr="00764DD6">
        <w:rPr>
          <w:rFonts w:ascii="BISans" w:eastAsia="BISans" w:hAnsi="BISans" w:cs="Arial"/>
          <w:bCs/>
          <w:sz w:val="20"/>
          <w:szCs w:val="20"/>
        </w:rPr>
        <w:t>, la più frequente fra le aritmie cardiache.</w:t>
      </w:r>
      <w:r w:rsidRPr="00764DD6">
        <w:rPr>
          <w:rFonts w:ascii="BISans" w:eastAsia="BISans" w:hAnsi="BISans" w:cs="Arial"/>
          <w:bCs/>
          <w:sz w:val="20"/>
          <w:szCs w:val="20"/>
          <w:vertAlign w:val="superscript"/>
        </w:rPr>
        <w:t>6</w:t>
      </w:r>
      <w:r w:rsidRPr="00764DD6">
        <w:rPr>
          <w:rFonts w:ascii="BISans" w:eastAsia="BISans" w:hAnsi="BISans" w:cs="Arial"/>
          <w:bCs/>
          <w:sz w:val="20"/>
          <w:szCs w:val="20"/>
        </w:rPr>
        <w:t xml:space="preserve"> L’ablazione è una procedura comune per trattare l’irregolarità del ritmo cardiaco nei pazienti con fibrillazione atriale.</w:t>
      </w:r>
      <w:r w:rsidRPr="00764DD6">
        <w:rPr>
          <w:rFonts w:ascii="BISans" w:eastAsia="BISans" w:hAnsi="BISans" w:cs="Arial"/>
          <w:bCs/>
          <w:sz w:val="20"/>
          <w:szCs w:val="20"/>
          <w:vertAlign w:val="superscript"/>
        </w:rPr>
        <w:t>7</w:t>
      </w:r>
      <w:r w:rsidRPr="00764DD6">
        <w:rPr>
          <w:rFonts w:ascii="BISans" w:eastAsia="BISans" w:hAnsi="BISans" w:cs="Arial"/>
          <w:bCs/>
          <w:sz w:val="20"/>
          <w:szCs w:val="20"/>
        </w:rPr>
        <w:t xml:space="preserve"> La procedura comporta l’inserimento di uno o più cateteri nelle camere cardiache attraverso la vena femorale. Possono anche essere utilizzate le vene succlavia o giugulare. L’atrio sinistro, principale sede delle aree aritmogene che generano la fibrillazione atriale, è raggiunto attraverso il forame ovale. Quest’ultimo, sporadicamente pervio, viene attraversato grazie all’esecuzione della puntura transettale</w:t>
      </w:r>
      <w:r w:rsidRPr="00764DD6">
        <w:rPr>
          <w:rFonts w:ascii="BISans" w:eastAsia="BISans" w:hAnsi="BISans" w:cs="Arial"/>
          <w:bCs/>
          <w:sz w:val="20"/>
          <w:szCs w:val="20"/>
          <w:vertAlign w:val="superscript"/>
        </w:rPr>
        <w:t>7</w:t>
      </w:r>
      <w:r w:rsidRPr="00764DD6">
        <w:rPr>
          <w:rFonts w:ascii="BISans" w:eastAsia="BISans" w:hAnsi="BISans" w:cs="Arial"/>
          <w:bCs/>
          <w:sz w:val="20"/>
          <w:szCs w:val="20"/>
        </w:rPr>
        <w:t>. L’ablazione transcatetere, che può essere eseguita sia utilizzando la radiofrequenza, sia la crioterapia, comporta un rischio sia di tromboembolismo, sia di emorragia.</w:t>
      </w:r>
      <w:r w:rsidRPr="00764DD6">
        <w:rPr>
          <w:rFonts w:ascii="BISans" w:eastAsia="BISans" w:hAnsi="BISans" w:cs="Arial"/>
          <w:bCs/>
          <w:sz w:val="20"/>
          <w:szCs w:val="20"/>
          <w:vertAlign w:val="superscript"/>
        </w:rPr>
        <w:t>8,9</w:t>
      </w:r>
      <w:r w:rsidRPr="00764DD6">
        <w:rPr>
          <w:rFonts w:ascii="BISans" w:eastAsia="BISans" w:hAnsi="BISans" w:cs="Arial"/>
          <w:bCs/>
          <w:sz w:val="20"/>
          <w:szCs w:val="20"/>
        </w:rPr>
        <w:t xml:space="preserve"> L’anticoagulazione prima, durante e </w:t>
      </w:r>
      <w:r w:rsidRPr="00764DD6">
        <w:rPr>
          <w:rFonts w:ascii="BISans" w:eastAsia="BISans" w:hAnsi="BISans" w:cs="Arial"/>
          <w:bCs/>
          <w:sz w:val="20"/>
          <w:szCs w:val="20"/>
        </w:rPr>
        <w:lastRenderedPageBreak/>
        <w:t>dopo la procedura, va gestita con attenzione per ridurre al minimo tali rischi.</w:t>
      </w:r>
      <w:r w:rsidRPr="00764DD6">
        <w:rPr>
          <w:rFonts w:ascii="BISans" w:eastAsia="BISans" w:hAnsi="BISans" w:cs="Arial"/>
          <w:bCs/>
          <w:sz w:val="20"/>
          <w:szCs w:val="20"/>
          <w:vertAlign w:val="superscript"/>
        </w:rPr>
        <w:t>10,11</w:t>
      </w:r>
      <w:r w:rsidRPr="00764DD6">
        <w:rPr>
          <w:rFonts w:ascii="BISans" w:eastAsia="BISans" w:hAnsi="BISans" w:cs="Arial"/>
          <w:bCs/>
          <w:sz w:val="20"/>
          <w:szCs w:val="20"/>
        </w:rPr>
        <w:t xml:space="preserve"> RE-CIRCUIT® fornisce dati specifici su questa situazione clinica per dabigatran (NOAC), l’anticoagulante orale inibitore diretto della trombina</w:t>
      </w:r>
      <w:r w:rsidRPr="00764DD6">
        <w:rPr>
          <w:rFonts w:ascii="BISans" w:eastAsia="BISans" w:hAnsi="BISans" w:cs="Arial"/>
          <w:bCs/>
          <w:sz w:val="20"/>
          <w:szCs w:val="20"/>
          <w:vertAlign w:val="superscript"/>
        </w:rPr>
        <w:t>1,2</w:t>
      </w:r>
      <w:r w:rsidRPr="00764DD6">
        <w:rPr>
          <w:rFonts w:ascii="BISans" w:eastAsia="BISans" w:hAnsi="BISans" w:cs="Arial"/>
          <w:bCs/>
          <w:sz w:val="20"/>
          <w:szCs w:val="20"/>
        </w:rPr>
        <w:t>.</w:t>
      </w:r>
    </w:p>
    <w:p w:rsidR="00764DD6" w:rsidRPr="00764DD6" w:rsidRDefault="00764DD6" w:rsidP="00764DD6">
      <w:pPr>
        <w:spacing w:after="0" w:line="264" w:lineRule="auto"/>
        <w:jc w:val="both"/>
        <w:rPr>
          <w:rFonts w:ascii="BISans" w:eastAsia="BISans" w:hAnsi="BISans" w:cs="Arial"/>
          <w:bCs/>
          <w:sz w:val="20"/>
          <w:szCs w:val="20"/>
        </w:rPr>
      </w:pPr>
    </w:p>
    <w:p w:rsidR="00764DD6" w:rsidRPr="00764DD6" w:rsidRDefault="00764DD6" w:rsidP="00764DD6">
      <w:pPr>
        <w:spacing w:after="0" w:line="264" w:lineRule="auto"/>
        <w:jc w:val="both"/>
        <w:rPr>
          <w:rFonts w:ascii="BISans" w:eastAsia="BISans" w:hAnsi="BISans" w:cs="Arial"/>
          <w:bCs/>
          <w:sz w:val="20"/>
          <w:szCs w:val="20"/>
        </w:rPr>
      </w:pPr>
      <w:r w:rsidRPr="00764DD6">
        <w:rPr>
          <w:rFonts w:ascii="BISans" w:eastAsia="BISans" w:hAnsi="BISans" w:cs="Arial"/>
          <w:bCs/>
          <w:sz w:val="20"/>
          <w:szCs w:val="20"/>
        </w:rPr>
        <w:t xml:space="preserve">“Ancora una volta dabigatran dimostra di essere più sicuro rispetto a warfarin” - ha dichiarato il Professor Jörg Kreuzer, Vice Presidente Medicina dell’Area Terapeutica Cardiovascolare di Boehringer Ingelheim - “Dabigatran è l’unico anticoagulante orale non-antagonista della vitamina K (NOAC), per il quale esista un farmaco che ne inattivi immediatamente l’effetto anticoagulante, in modo specifico, qualora ciò si renda necessario, in caso di complicanze durante la procedura. Gli sperimentatori si sentono rassicurati dall’avere a disposizione </w:t>
      </w:r>
      <w:r w:rsidR="00A20932">
        <w:rPr>
          <w:rFonts w:ascii="BISans" w:eastAsia="BISans" w:hAnsi="BISans" w:cs="Arial"/>
          <w:bCs/>
          <w:sz w:val="20"/>
          <w:szCs w:val="20"/>
        </w:rPr>
        <w:t xml:space="preserve">un </w:t>
      </w:r>
      <w:r w:rsidRPr="00764DD6">
        <w:rPr>
          <w:rFonts w:ascii="BISans" w:eastAsia="BISans" w:hAnsi="BISans" w:cs="Arial"/>
          <w:bCs/>
          <w:sz w:val="20"/>
          <w:szCs w:val="20"/>
        </w:rPr>
        <w:t>farmaco in grado di inattivare l’attività anticoagulante. Durante lo studio, grazie alla bassissima incidenza di eventi emorragici con dabigatran, non vi è stata necessità di ricorrere all’antidoto”.</w:t>
      </w:r>
    </w:p>
    <w:p w:rsidR="00764DD6" w:rsidRPr="00764DD6" w:rsidRDefault="00764DD6" w:rsidP="00764DD6">
      <w:pPr>
        <w:widowControl w:val="0"/>
        <w:autoSpaceDE w:val="0"/>
        <w:autoSpaceDN w:val="0"/>
        <w:adjustRightInd w:val="0"/>
        <w:spacing w:after="0" w:line="264" w:lineRule="auto"/>
        <w:jc w:val="both"/>
        <w:rPr>
          <w:rFonts w:ascii="BISans" w:eastAsia="Times New Roman" w:hAnsi="BISans" w:cs="BISans"/>
          <w:bCs/>
          <w:color w:val="000000"/>
          <w:sz w:val="20"/>
          <w:szCs w:val="20"/>
        </w:rPr>
      </w:pPr>
    </w:p>
    <w:p w:rsidR="00764DD6" w:rsidRPr="00764DD6" w:rsidRDefault="00764DD6" w:rsidP="00764DD6">
      <w:pPr>
        <w:widowControl w:val="0"/>
        <w:autoSpaceDE w:val="0"/>
        <w:autoSpaceDN w:val="0"/>
        <w:adjustRightInd w:val="0"/>
        <w:spacing w:after="0" w:line="264" w:lineRule="auto"/>
        <w:jc w:val="both"/>
        <w:rPr>
          <w:rFonts w:ascii="BISans" w:eastAsia="Times New Roman" w:hAnsi="BISans" w:cs="BISans"/>
          <w:bCs/>
          <w:color w:val="000000"/>
          <w:sz w:val="20"/>
          <w:szCs w:val="20"/>
        </w:rPr>
      </w:pPr>
      <w:r w:rsidRPr="00764DD6">
        <w:rPr>
          <w:rFonts w:ascii="BISans" w:eastAsia="Times New Roman" w:hAnsi="BISans" w:cs="BISans"/>
          <w:bCs/>
          <w:color w:val="000000"/>
          <w:sz w:val="20"/>
          <w:szCs w:val="20"/>
        </w:rPr>
        <w:t>RE-CIRCUIT® continua il percorso di innovazione di Boehringer Ingelheim nel panorama dell’anticoagulazione. Boehringer Ingelheim ha lanciato dabigatran per la riduzione del rischio di ictus in pazienti con fibrillazione atriale</w:t>
      </w:r>
      <w:r w:rsidRPr="00764DD6">
        <w:rPr>
          <w:rFonts w:ascii="BISans" w:eastAsia="Times New Roman" w:hAnsi="BISans" w:cs="BISans"/>
          <w:bCs/>
          <w:color w:val="000000"/>
          <w:sz w:val="20"/>
          <w:szCs w:val="20"/>
          <w:vertAlign w:val="superscript"/>
        </w:rPr>
        <w:t>12,13</w:t>
      </w:r>
      <w:r w:rsidRPr="00764DD6">
        <w:rPr>
          <w:rFonts w:ascii="BISans" w:eastAsia="Times New Roman" w:hAnsi="BISans" w:cs="BISans"/>
          <w:bCs/>
          <w:color w:val="000000"/>
          <w:sz w:val="20"/>
          <w:szCs w:val="20"/>
        </w:rPr>
        <w:t xml:space="preserve"> e nel 2015 ha ottenuto l’approvazione per idarucizumab.</w:t>
      </w:r>
    </w:p>
    <w:p w:rsidR="00764DD6" w:rsidRPr="00764DD6" w:rsidRDefault="00764DD6" w:rsidP="00764DD6">
      <w:pPr>
        <w:widowControl w:val="0"/>
        <w:autoSpaceDE w:val="0"/>
        <w:autoSpaceDN w:val="0"/>
        <w:adjustRightInd w:val="0"/>
        <w:spacing w:after="0" w:line="264" w:lineRule="auto"/>
        <w:jc w:val="both"/>
        <w:rPr>
          <w:rFonts w:ascii="BISans" w:eastAsia="Times New Roman" w:hAnsi="BISans" w:cs="BISans"/>
          <w:bCs/>
          <w:color w:val="000000"/>
          <w:sz w:val="20"/>
          <w:szCs w:val="20"/>
        </w:rPr>
      </w:pPr>
      <w:r w:rsidRPr="00764DD6">
        <w:rPr>
          <w:rFonts w:ascii="BISans" w:eastAsia="Times New Roman" w:hAnsi="BISans" w:cs="BISans"/>
          <w:bCs/>
          <w:color w:val="000000"/>
          <w:sz w:val="20"/>
          <w:szCs w:val="20"/>
        </w:rPr>
        <w:t>Idarucizumab è il primo e unico farmaco che inattiva in maniera specifica l’effetto di un NOAC, è approvato per l’utilizzo in situazioni di emergenza, in cui sia necessario inattivare immediatamente l’effetto anticoagulante di dabigatran.</w:t>
      </w:r>
      <w:r w:rsidRPr="00764DD6">
        <w:rPr>
          <w:rFonts w:ascii="BISans" w:eastAsia="Times New Roman" w:hAnsi="BISans" w:cs="BISans"/>
          <w:bCs/>
          <w:color w:val="000000"/>
          <w:sz w:val="20"/>
          <w:szCs w:val="20"/>
          <w:vertAlign w:val="superscript"/>
        </w:rPr>
        <w:t xml:space="preserve">14,15 </w:t>
      </w:r>
      <w:r w:rsidRPr="00764DD6">
        <w:rPr>
          <w:rFonts w:ascii="BISans" w:eastAsia="Times New Roman" w:hAnsi="BISans" w:cs="BISans"/>
          <w:bCs/>
          <w:color w:val="000000"/>
          <w:sz w:val="20"/>
          <w:szCs w:val="20"/>
        </w:rPr>
        <w:t>Idarucizumab è ampiamente disponibile e fornito da oltre 7.500 ospedali nei vari Paesi del mondo, compresi Stati Uniti, Unione Europea e Giappone.</w:t>
      </w:r>
      <w:r w:rsidRPr="00764DD6">
        <w:rPr>
          <w:rFonts w:ascii="BISans" w:eastAsia="Times New Roman" w:hAnsi="BISans" w:cs="BISans"/>
          <w:bCs/>
          <w:color w:val="000000"/>
          <w:sz w:val="20"/>
          <w:szCs w:val="20"/>
          <w:vertAlign w:val="superscript"/>
        </w:rPr>
        <w:t>16</w:t>
      </w:r>
    </w:p>
    <w:p w:rsidR="00764DD6" w:rsidRPr="00764DD6" w:rsidRDefault="00764DD6" w:rsidP="00764DD6">
      <w:pPr>
        <w:autoSpaceDE w:val="0"/>
        <w:autoSpaceDN w:val="0"/>
        <w:adjustRightInd w:val="0"/>
        <w:spacing w:after="0" w:line="264" w:lineRule="auto"/>
        <w:jc w:val="center"/>
        <w:rPr>
          <w:rFonts w:ascii="BISans" w:eastAsia="BISans" w:hAnsi="BISans" w:cs="Arial"/>
          <w:b/>
          <w:bCs/>
          <w:sz w:val="20"/>
        </w:rPr>
      </w:pPr>
    </w:p>
    <w:p w:rsidR="00764DD6" w:rsidRPr="00764DD6" w:rsidRDefault="00764DD6" w:rsidP="00764DD6">
      <w:pPr>
        <w:spacing w:after="0" w:line="264" w:lineRule="auto"/>
        <w:rPr>
          <w:rFonts w:ascii="BISans" w:eastAsia="BISans" w:hAnsi="BISans" w:cs="Angsana New"/>
          <w:b/>
          <w:bCs/>
          <w:color w:val="003366"/>
          <w:sz w:val="20"/>
          <w:szCs w:val="20"/>
        </w:rPr>
      </w:pPr>
      <w:r w:rsidRPr="00764DD6">
        <w:rPr>
          <w:rFonts w:ascii="BISans" w:eastAsia="BISans" w:hAnsi="BISans" w:cs="Angsana New"/>
          <w:b/>
          <w:bCs/>
          <w:color w:val="003366"/>
          <w:sz w:val="20"/>
          <w:szCs w:val="20"/>
        </w:rPr>
        <w:t xml:space="preserve">Lo studio RE-CIRCUIT® </w:t>
      </w:r>
    </w:p>
    <w:p w:rsidR="00764DD6" w:rsidRPr="00764DD6" w:rsidRDefault="00764DD6" w:rsidP="00764DD6">
      <w:pPr>
        <w:spacing w:after="0" w:line="264" w:lineRule="auto"/>
        <w:jc w:val="both"/>
        <w:rPr>
          <w:rFonts w:ascii="BISans" w:eastAsia="Times New Roman" w:hAnsi="BISans" w:cs="BISans"/>
          <w:color w:val="000000"/>
          <w:sz w:val="20"/>
          <w:szCs w:val="20"/>
        </w:rPr>
      </w:pPr>
      <w:r w:rsidRPr="00764DD6">
        <w:rPr>
          <w:rFonts w:ascii="BISans" w:eastAsia="Times New Roman" w:hAnsi="BISans" w:cs="BISans"/>
          <w:color w:val="000000"/>
          <w:sz w:val="20"/>
          <w:szCs w:val="20"/>
        </w:rPr>
        <w:t xml:space="preserve">Lo studio RE-CIRCUIT® (Randomised Evaluation of dabigatran </w:t>
      </w:r>
      <w:proofErr w:type="spellStart"/>
      <w:r w:rsidRPr="00764DD6">
        <w:rPr>
          <w:rFonts w:ascii="BISans" w:eastAsia="Times New Roman" w:hAnsi="BISans" w:cs="BISans"/>
          <w:color w:val="000000"/>
          <w:sz w:val="20"/>
          <w:szCs w:val="20"/>
        </w:rPr>
        <w:t>etexilate</w:t>
      </w:r>
      <w:proofErr w:type="spellEnd"/>
      <w:r w:rsidRPr="00764DD6">
        <w:rPr>
          <w:rFonts w:ascii="BISans" w:eastAsia="Times New Roman" w:hAnsi="BISans" w:cs="BISans"/>
          <w:color w:val="000000"/>
          <w:sz w:val="20"/>
          <w:szCs w:val="20"/>
        </w:rPr>
        <w:t xml:space="preserve"> </w:t>
      </w:r>
      <w:proofErr w:type="spellStart"/>
      <w:r w:rsidRPr="00764DD6">
        <w:rPr>
          <w:rFonts w:ascii="BISans" w:eastAsia="Times New Roman" w:hAnsi="BISans" w:cs="BISans"/>
          <w:color w:val="000000"/>
          <w:sz w:val="20"/>
          <w:szCs w:val="20"/>
        </w:rPr>
        <w:t>Compared</w:t>
      </w:r>
      <w:proofErr w:type="spellEnd"/>
      <w:r w:rsidRPr="00764DD6">
        <w:rPr>
          <w:rFonts w:ascii="BISans" w:eastAsia="Times New Roman" w:hAnsi="BISans" w:cs="BISans"/>
          <w:color w:val="000000"/>
          <w:sz w:val="20"/>
          <w:szCs w:val="20"/>
        </w:rPr>
        <w:t xml:space="preserve"> to </w:t>
      </w:r>
      <w:proofErr w:type="spellStart"/>
      <w:r w:rsidRPr="00764DD6">
        <w:rPr>
          <w:rFonts w:ascii="BISans" w:eastAsia="Times New Roman" w:hAnsi="BISans" w:cs="BISans"/>
          <w:color w:val="000000"/>
          <w:sz w:val="20"/>
          <w:szCs w:val="20"/>
        </w:rPr>
        <w:t>warfarIn</w:t>
      </w:r>
      <w:proofErr w:type="spellEnd"/>
      <w:r w:rsidRPr="00764DD6">
        <w:rPr>
          <w:rFonts w:ascii="BISans" w:eastAsia="Times New Roman" w:hAnsi="BISans" w:cs="BISans"/>
          <w:color w:val="000000"/>
          <w:sz w:val="20"/>
          <w:szCs w:val="20"/>
        </w:rPr>
        <w:t xml:space="preserve"> in </w:t>
      </w:r>
      <w:proofErr w:type="spellStart"/>
      <w:r w:rsidRPr="00764DD6">
        <w:rPr>
          <w:rFonts w:ascii="BISans" w:eastAsia="Times New Roman" w:hAnsi="BISans" w:cs="BISans"/>
          <w:color w:val="000000"/>
          <w:sz w:val="20"/>
          <w:szCs w:val="20"/>
        </w:rPr>
        <w:t>pulmonaRy</w:t>
      </w:r>
      <w:proofErr w:type="spellEnd"/>
      <w:r w:rsidRPr="00764DD6">
        <w:rPr>
          <w:rFonts w:ascii="BISans" w:eastAsia="Times New Roman" w:hAnsi="BISans" w:cs="BISans"/>
          <w:color w:val="000000"/>
          <w:sz w:val="20"/>
          <w:szCs w:val="20"/>
        </w:rPr>
        <w:t xml:space="preserve"> </w:t>
      </w:r>
      <w:proofErr w:type="spellStart"/>
      <w:r w:rsidRPr="00764DD6">
        <w:rPr>
          <w:rFonts w:ascii="BISans" w:eastAsia="Times New Roman" w:hAnsi="BISans" w:cs="BISans"/>
          <w:color w:val="000000"/>
          <w:sz w:val="20"/>
          <w:szCs w:val="20"/>
        </w:rPr>
        <w:t>vein</w:t>
      </w:r>
      <w:proofErr w:type="spellEnd"/>
      <w:r w:rsidRPr="00764DD6">
        <w:rPr>
          <w:rFonts w:ascii="BISans" w:eastAsia="Times New Roman" w:hAnsi="BISans" w:cs="BISans"/>
          <w:color w:val="000000"/>
          <w:sz w:val="20"/>
          <w:szCs w:val="20"/>
        </w:rPr>
        <w:t xml:space="preserve"> </w:t>
      </w:r>
      <w:proofErr w:type="spellStart"/>
      <w:r w:rsidRPr="00764DD6">
        <w:rPr>
          <w:rFonts w:ascii="BISans" w:eastAsia="Times New Roman" w:hAnsi="BISans" w:cs="BISans"/>
          <w:color w:val="000000"/>
          <w:sz w:val="20"/>
          <w:szCs w:val="20"/>
        </w:rPr>
        <w:t>ablation</w:t>
      </w:r>
      <w:proofErr w:type="spellEnd"/>
      <w:r w:rsidRPr="00764DD6">
        <w:rPr>
          <w:rFonts w:ascii="BISans" w:eastAsia="Times New Roman" w:hAnsi="BISans" w:cs="BISans"/>
          <w:color w:val="000000"/>
          <w:sz w:val="20"/>
          <w:szCs w:val="20"/>
        </w:rPr>
        <w:t xml:space="preserve">: </w:t>
      </w:r>
      <w:proofErr w:type="spellStart"/>
      <w:r w:rsidRPr="00764DD6">
        <w:rPr>
          <w:rFonts w:ascii="BISans" w:eastAsia="Times New Roman" w:hAnsi="BISans" w:cs="BISans"/>
          <w:color w:val="000000"/>
          <w:sz w:val="20"/>
          <w:szCs w:val="20"/>
        </w:rPr>
        <w:t>assessment</w:t>
      </w:r>
      <w:proofErr w:type="spellEnd"/>
      <w:r w:rsidRPr="00764DD6">
        <w:rPr>
          <w:rFonts w:ascii="BISans" w:eastAsia="Times New Roman" w:hAnsi="BISans" w:cs="BISans"/>
          <w:color w:val="000000"/>
          <w:sz w:val="20"/>
          <w:szCs w:val="20"/>
        </w:rPr>
        <w:t xml:space="preserve"> of different peri-</w:t>
      </w:r>
      <w:proofErr w:type="spellStart"/>
      <w:r w:rsidRPr="00764DD6">
        <w:rPr>
          <w:rFonts w:ascii="BISans" w:eastAsia="Times New Roman" w:hAnsi="BISans" w:cs="BISans"/>
          <w:color w:val="000000"/>
          <w:sz w:val="20"/>
          <w:szCs w:val="20"/>
        </w:rPr>
        <w:t>proCedUral</w:t>
      </w:r>
      <w:proofErr w:type="spellEnd"/>
      <w:r w:rsidRPr="00764DD6">
        <w:rPr>
          <w:rFonts w:ascii="BISans" w:eastAsia="Times New Roman" w:hAnsi="BISans" w:cs="BISans"/>
          <w:color w:val="000000"/>
          <w:sz w:val="20"/>
          <w:szCs w:val="20"/>
        </w:rPr>
        <w:t xml:space="preserve"> </w:t>
      </w:r>
      <w:proofErr w:type="spellStart"/>
      <w:r w:rsidRPr="00764DD6">
        <w:rPr>
          <w:rFonts w:ascii="BISans" w:eastAsia="Times New Roman" w:hAnsi="BISans" w:cs="BISans"/>
          <w:color w:val="000000"/>
          <w:sz w:val="20"/>
          <w:szCs w:val="20"/>
        </w:rPr>
        <w:t>antIcoagulation</w:t>
      </w:r>
      <w:proofErr w:type="spellEnd"/>
      <w:r w:rsidRPr="00764DD6">
        <w:rPr>
          <w:rFonts w:ascii="BISans" w:eastAsia="Times New Roman" w:hAnsi="BISans" w:cs="BISans"/>
          <w:color w:val="000000"/>
          <w:sz w:val="20"/>
          <w:szCs w:val="20"/>
        </w:rPr>
        <w:t xml:space="preserve"> </w:t>
      </w:r>
      <w:proofErr w:type="spellStart"/>
      <w:r w:rsidRPr="00764DD6">
        <w:rPr>
          <w:rFonts w:ascii="BISans" w:eastAsia="Times New Roman" w:hAnsi="BISans" w:cs="BISans"/>
          <w:color w:val="000000"/>
          <w:sz w:val="20"/>
          <w:szCs w:val="20"/>
        </w:rPr>
        <w:t>sTrategies</w:t>
      </w:r>
      <w:proofErr w:type="spellEnd"/>
      <w:r w:rsidRPr="00764DD6">
        <w:rPr>
          <w:rFonts w:ascii="BISans" w:eastAsia="Times New Roman" w:hAnsi="BISans" w:cs="BISans"/>
          <w:color w:val="000000"/>
          <w:sz w:val="20"/>
          <w:szCs w:val="20"/>
        </w:rPr>
        <w:t>) è un trial multicentrico, esplorativo, prospettico, randomizzato, in aperto, con valutazione degli endpoint in cieco, con farmaco di confronto. Lo studio ha coinvolto pazienti con fibrillazione atriale non-valvolare parossistica o persistente, per cui era prevista ablazione transcatetere ed eleggibili a dabigatran 150 mg due volte/die. I pazienti sono stati randomizzati in rapporto 1:1 per ricevere dabigatran etexilato 150 mg due volte/die o warfarin (target INR 2,0–3,0) e hanno mantenuto la rispettiva terapia per tutta la durata dello studio.</w:t>
      </w:r>
      <w:r w:rsidRPr="00764DD6">
        <w:rPr>
          <w:rFonts w:ascii="BISans" w:eastAsia="Times New Roman" w:hAnsi="BISans" w:cs="BISans"/>
          <w:color w:val="000000"/>
          <w:sz w:val="20"/>
          <w:szCs w:val="20"/>
          <w:vertAlign w:val="superscript"/>
        </w:rPr>
        <w:t>1,2</w:t>
      </w:r>
    </w:p>
    <w:p w:rsidR="00764DD6" w:rsidRPr="00764DD6" w:rsidRDefault="00764DD6" w:rsidP="00764DD6">
      <w:pPr>
        <w:spacing w:after="0" w:line="264" w:lineRule="auto"/>
        <w:jc w:val="both"/>
        <w:rPr>
          <w:rFonts w:ascii="BISans" w:eastAsia="Times New Roman" w:hAnsi="BISans" w:cs="BISans"/>
          <w:color w:val="000000"/>
          <w:sz w:val="20"/>
          <w:szCs w:val="20"/>
        </w:rPr>
      </w:pPr>
    </w:p>
    <w:p w:rsidR="00764DD6" w:rsidRPr="00764DD6" w:rsidRDefault="00764DD6" w:rsidP="00764DD6">
      <w:pPr>
        <w:spacing w:after="0" w:line="264" w:lineRule="auto"/>
        <w:jc w:val="both"/>
        <w:rPr>
          <w:rFonts w:ascii="BISans" w:eastAsia="Times New Roman" w:hAnsi="BISans" w:cs="BISans"/>
          <w:color w:val="000000"/>
          <w:sz w:val="20"/>
          <w:szCs w:val="20"/>
        </w:rPr>
      </w:pPr>
      <w:r w:rsidRPr="00764DD6">
        <w:rPr>
          <w:rFonts w:ascii="BISans" w:eastAsia="Times New Roman" w:hAnsi="BISans" w:cs="BISans"/>
          <w:color w:val="000000"/>
          <w:sz w:val="20"/>
          <w:szCs w:val="20"/>
        </w:rPr>
        <w:t xml:space="preserve">Lo studio ha arruolato 704 pazienti in 104 centri, con 635 soggetti sottoposti ad ablazione e in terapia anticoagulante ininterrotta. Tutti i pazienti sono stati sottoposti a ecocardiogramma transesofageo prima della procedura di ablazione, per confermare l’assenza di eventuali trombi in atrio sinistro. La sicurezza e l’efficacia delle terapie sono state valutate nei 3-4 mesi del </w:t>
      </w:r>
      <w:r w:rsidRPr="00764DD6">
        <w:rPr>
          <w:rFonts w:ascii="BISans" w:eastAsia="Times New Roman" w:hAnsi="BISans" w:cs="BISans"/>
          <w:color w:val="000000"/>
          <w:sz w:val="20"/>
          <w:szCs w:val="20"/>
        </w:rPr>
        <w:lastRenderedPageBreak/>
        <w:t>periodo di trattamento e alla visita di controllo (</w:t>
      </w:r>
      <w:proofErr w:type="spellStart"/>
      <w:r w:rsidRPr="00764DD6">
        <w:rPr>
          <w:rFonts w:ascii="BISans" w:eastAsia="Times New Roman" w:hAnsi="BISans" w:cs="BISans"/>
          <w:i/>
          <w:color w:val="000000"/>
          <w:sz w:val="20"/>
          <w:szCs w:val="20"/>
        </w:rPr>
        <w:t>follow</w:t>
      </w:r>
      <w:proofErr w:type="spellEnd"/>
      <w:r w:rsidRPr="00764DD6">
        <w:rPr>
          <w:rFonts w:ascii="BISans" w:eastAsia="Times New Roman" w:hAnsi="BISans" w:cs="BISans"/>
          <w:i/>
          <w:color w:val="000000"/>
          <w:sz w:val="20"/>
          <w:szCs w:val="20"/>
        </w:rPr>
        <w:t xml:space="preserve"> up</w:t>
      </w:r>
      <w:r w:rsidRPr="00764DD6">
        <w:rPr>
          <w:rFonts w:ascii="BISans" w:eastAsia="Times New Roman" w:hAnsi="BISans" w:cs="BISans"/>
          <w:color w:val="000000"/>
          <w:sz w:val="20"/>
          <w:szCs w:val="20"/>
        </w:rPr>
        <w:t>) 1 settimana dopo la fine del trattamento.</w:t>
      </w:r>
      <w:r w:rsidRPr="00764DD6">
        <w:rPr>
          <w:rFonts w:ascii="BISans" w:eastAsia="Times New Roman" w:hAnsi="BISans" w:cs="BISans"/>
          <w:color w:val="000000"/>
          <w:sz w:val="20"/>
          <w:szCs w:val="20"/>
          <w:vertAlign w:val="superscript"/>
        </w:rPr>
        <w:t>1,2</w:t>
      </w:r>
      <w:r w:rsidRPr="00764DD6">
        <w:rPr>
          <w:rFonts w:ascii="BISans" w:eastAsia="Times New Roman" w:hAnsi="BISans" w:cs="BISans"/>
          <w:color w:val="000000"/>
          <w:sz w:val="20"/>
          <w:szCs w:val="20"/>
        </w:rPr>
        <w:t xml:space="preserve"> </w:t>
      </w:r>
    </w:p>
    <w:p w:rsidR="00764DD6" w:rsidRPr="00764DD6" w:rsidRDefault="00764DD6" w:rsidP="00764DD6">
      <w:pPr>
        <w:spacing w:after="0" w:line="264" w:lineRule="auto"/>
        <w:jc w:val="both"/>
        <w:rPr>
          <w:rFonts w:ascii="BISans" w:eastAsia="Times New Roman" w:hAnsi="BISans" w:cs="BISans"/>
          <w:color w:val="000000"/>
          <w:sz w:val="20"/>
          <w:szCs w:val="20"/>
        </w:rPr>
      </w:pPr>
    </w:p>
    <w:p w:rsidR="00764DD6" w:rsidRPr="00764DD6" w:rsidRDefault="00764DD6" w:rsidP="00764DD6">
      <w:pPr>
        <w:spacing w:after="0" w:line="264" w:lineRule="auto"/>
        <w:jc w:val="both"/>
        <w:rPr>
          <w:rFonts w:ascii="BISans" w:eastAsia="Times New Roman" w:hAnsi="BISans" w:cs="BISans"/>
          <w:color w:val="000000"/>
          <w:sz w:val="20"/>
          <w:szCs w:val="20"/>
        </w:rPr>
      </w:pPr>
      <w:r w:rsidRPr="00764DD6">
        <w:rPr>
          <w:rFonts w:ascii="BISans" w:eastAsia="Times New Roman" w:hAnsi="BISans" w:cs="BISans"/>
          <w:color w:val="000000"/>
          <w:sz w:val="20"/>
          <w:szCs w:val="20"/>
        </w:rPr>
        <w:t>L’endpoint primario dello studio RE-CIRCUIT® è stata l’incidenza di eventi di emorragia maggiore come definita dall’</w:t>
      </w:r>
      <w:r w:rsidRPr="00764DD6">
        <w:rPr>
          <w:rFonts w:ascii="BISans" w:eastAsia="Times New Roman" w:hAnsi="BISans" w:cs="BISans"/>
          <w:i/>
          <w:color w:val="000000"/>
          <w:sz w:val="20"/>
          <w:szCs w:val="20"/>
        </w:rPr>
        <w:t xml:space="preserve">International Society on </w:t>
      </w:r>
      <w:proofErr w:type="spellStart"/>
      <w:r w:rsidRPr="00764DD6">
        <w:rPr>
          <w:rFonts w:ascii="BISans" w:eastAsia="Times New Roman" w:hAnsi="BISans" w:cs="BISans"/>
          <w:i/>
          <w:color w:val="000000"/>
          <w:sz w:val="20"/>
          <w:szCs w:val="20"/>
        </w:rPr>
        <w:t>Thrombosis</w:t>
      </w:r>
      <w:proofErr w:type="spellEnd"/>
      <w:r w:rsidRPr="00764DD6">
        <w:rPr>
          <w:rFonts w:ascii="BISans" w:eastAsia="Times New Roman" w:hAnsi="BISans" w:cs="BISans"/>
          <w:i/>
          <w:color w:val="000000"/>
          <w:sz w:val="20"/>
          <w:szCs w:val="20"/>
        </w:rPr>
        <w:t xml:space="preserve"> and </w:t>
      </w:r>
      <w:proofErr w:type="spellStart"/>
      <w:r w:rsidRPr="00764DD6">
        <w:rPr>
          <w:rFonts w:ascii="BISans" w:eastAsia="Times New Roman" w:hAnsi="BISans" w:cs="BISans"/>
          <w:i/>
          <w:color w:val="000000"/>
          <w:sz w:val="20"/>
          <w:szCs w:val="20"/>
        </w:rPr>
        <w:t>Haemostasis</w:t>
      </w:r>
      <w:proofErr w:type="spellEnd"/>
      <w:r w:rsidRPr="00764DD6">
        <w:rPr>
          <w:rFonts w:ascii="BISans" w:eastAsia="Times New Roman" w:hAnsi="BISans" w:cs="BISans"/>
          <w:color w:val="000000"/>
          <w:sz w:val="20"/>
          <w:szCs w:val="20"/>
        </w:rPr>
        <w:t xml:space="preserve"> (ISTH), durante l’intervento di ablazione e per un periodo sino a due mesi post-ablazione.  Gli endpoint secondari hanno compreso eventi tromboembolici (ictus/embolie sistemiche/</w:t>
      </w:r>
      <w:r w:rsidRPr="00764DD6">
        <w:rPr>
          <w:rFonts w:ascii="BISans" w:eastAsia="BISans" w:hAnsi="BISans" w:cs="Angsana New"/>
          <w:sz w:val="20"/>
        </w:rPr>
        <w:t xml:space="preserve"> a</w:t>
      </w:r>
      <w:r w:rsidRPr="00764DD6">
        <w:rPr>
          <w:rFonts w:ascii="BISans" w:eastAsia="Times New Roman" w:hAnsi="BISans" w:cs="BISans"/>
          <w:color w:val="000000"/>
          <w:sz w:val="20"/>
          <w:szCs w:val="20"/>
        </w:rPr>
        <w:t>ttacco ischemico transitorio), eventi d’emorragia minore o un insieme degli endpoint d’efficacia e sicurezza durante l’ablazione per un periodo sino a due mesi dopo la procedura.</w:t>
      </w:r>
      <w:r w:rsidRPr="00764DD6">
        <w:rPr>
          <w:rFonts w:ascii="BISans" w:eastAsia="Times New Roman" w:hAnsi="BISans" w:cs="BISans"/>
          <w:color w:val="000000"/>
          <w:sz w:val="20"/>
          <w:szCs w:val="20"/>
          <w:vertAlign w:val="superscript"/>
        </w:rPr>
        <w:t>1,2</w:t>
      </w:r>
      <w:r w:rsidRPr="00764DD6">
        <w:rPr>
          <w:rFonts w:ascii="BISans" w:eastAsia="Times New Roman" w:hAnsi="BISans" w:cs="BISans"/>
          <w:color w:val="000000"/>
          <w:sz w:val="20"/>
          <w:szCs w:val="20"/>
        </w:rPr>
        <w:t xml:space="preserve"> </w:t>
      </w:r>
    </w:p>
    <w:p w:rsidR="00764DD6" w:rsidRPr="00764DD6" w:rsidRDefault="00764DD6" w:rsidP="00764DD6">
      <w:pPr>
        <w:spacing w:after="0" w:line="264" w:lineRule="auto"/>
        <w:rPr>
          <w:rFonts w:ascii="BISans" w:eastAsia="BISans" w:hAnsi="BISans" w:cs="Angsana New"/>
          <w:b/>
          <w:bCs/>
          <w:color w:val="003366"/>
          <w:sz w:val="20"/>
          <w:szCs w:val="20"/>
        </w:rPr>
      </w:pPr>
    </w:p>
    <w:p w:rsidR="00764DD6" w:rsidRPr="00764DD6" w:rsidRDefault="00764DD6" w:rsidP="00764DD6">
      <w:pPr>
        <w:shd w:val="clear" w:color="auto" w:fill="FFFFFF"/>
        <w:spacing w:after="0" w:line="264" w:lineRule="auto"/>
        <w:rPr>
          <w:rFonts w:ascii="BISans" w:eastAsia="Times New Roman" w:hAnsi="BISans"/>
          <w:b/>
          <w:bCs/>
          <w:sz w:val="20"/>
          <w:szCs w:val="20"/>
          <w:lang w:eastAsia="de-DE"/>
        </w:rPr>
      </w:pPr>
      <w:r w:rsidRPr="00764DD6">
        <w:rPr>
          <w:rFonts w:ascii="BISans" w:eastAsia="Times New Roman" w:hAnsi="BISans" w:cs="Arial"/>
          <w:b/>
          <w:color w:val="003366"/>
          <w:sz w:val="20"/>
          <w:szCs w:val="20"/>
          <w:lang w:eastAsia="de-DE"/>
        </w:rPr>
        <w:t>Dabigatran etexilato</w:t>
      </w:r>
    </w:p>
    <w:p w:rsidR="00764DD6" w:rsidRPr="00764DD6" w:rsidRDefault="00764DD6" w:rsidP="00764DD6">
      <w:pPr>
        <w:widowControl w:val="0"/>
        <w:autoSpaceDE w:val="0"/>
        <w:autoSpaceDN w:val="0"/>
        <w:adjustRightInd w:val="0"/>
        <w:spacing w:after="0" w:line="264" w:lineRule="auto"/>
        <w:ind w:right="-46"/>
        <w:jc w:val="both"/>
        <w:rPr>
          <w:rFonts w:ascii="BISans" w:eastAsia="Times New Roman" w:hAnsi="BISans" w:cs="BISans"/>
          <w:color w:val="000000"/>
          <w:sz w:val="20"/>
          <w:szCs w:val="20"/>
        </w:rPr>
      </w:pPr>
      <w:r w:rsidRPr="00764DD6">
        <w:rPr>
          <w:rFonts w:ascii="BISans" w:eastAsia="Times New Roman" w:hAnsi="BISans" w:cs="BISans"/>
          <w:color w:val="000000"/>
          <w:sz w:val="20"/>
          <w:szCs w:val="20"/>
        </w:rPr>
        <w:t>L’esperienza clinica con dabigatran supera i 6,9 milioni di anni/paziente per tutte le indicazioni per cui il farmaco è stato approvato nel mondo.</w:t>
      </w:r>
      <w:r w:rsidRPr="00764DD6">
        <w:rPr>
          <w:rFonts w:ascii="BISans" w:eastAsia="Times New Roman" w:hAnsi="BISans" w:cs="BISans"/>
          <w:color w:val="000000"/>
          <w:sz w:val="20"/>
          <w:szCs w:val="20"/>
          <w:vertAlign w:val="superscript"/>
        </w:rPr>
        <w:t>16</w:t>
      </w:r>
      <w:r w:rsidRPr="00764DD6">
        <w:rPr>
          <w:rFonts w:ascii="BISans" w:eastAsia="Times New Roman" w:hAnsi="BISans" w:cs="BISans"/>
          <w:color w:val="000000"/>
          <w:sz w:val="20"/>
          <w:szCs w:val="20"/>
        </w:rPr>
        <w:t xml:space="preserve"> Dabigatran è sul mercato da oltre 8 anni ed è approvato in più di 100 Paesi.</w:t>
      </w:r>
      <w:r w:rsidRPr="00764DD6">
        <w:rPr>
          <w:rFonts w:ascii="BISans" w:eastAsia="Times New Roman" w:hAnsi="BISans" w:cs="BISans"/>
          <w:color w:val="000000"/>
          <w:sz w:val="24"/>
          <w:szCs w:val="20"/>
          <w:vertAlign w:val="superscript"/>
        </w:rPr>
        <w:t>16</w:t>
      </w:r>
    </w:p>
    <w:p w:rsidR="00764DD6" w:rsidRPr="00764DD6" w:rsidRDefault="00764DD6" w:rsidP="00764DD6">
      <w:pPr>
        <w:widowControl w:val="0"/>
        <w:autoSpaceDE w:val="0"/>
        <w:autoSpaceDN w:val="0"/>
        <w:adjustRightInd w:val="0"/>
        <w:spacing w:after="0" w:line="264" w:lineRule="auto"/>
        <w:ind w:right="-46"/>
        <w:jc w:val="both"/>
        <w:rPr>
          <w:rFonts w:ascii="BISans" w:eastAsia="BISans" w:hAnsi="BISans" w:cs="Arial"/>
          <w:color w:val="000000"/>
          <w:sz w:val="20"/>
          <w:szCs w:val="20"/>
          <w:lang w:eastAsia="zh-TW"/>
        </w:rPr>
      </w:pPr>
    </w:p>
    <w:p w:rsidR="00764DD6" w:rsidRPr="00764DD6" w:rsidRDefault="00764DD6" w:rsidP="00764DD6">
      <w:pPr>
        <w:widowControl w:val="0"/>
        <w:autoSpaceDE w:val="0"/>
        <w:autoSpaceDN w:val="0"/>
        <w:adjustRightInd w:val="0"/>
        <w:spacing w:after="0" w:line="264" w:lineRule="auto"/>
        <w:ind w:right="-46"/>
        <w:jc w:val="both"/>
        <w:rPr>
          <w:rFonts w:ascii="BISans" w:eastAsia="Times New Roman" w:hAnsi="BISans" w:cs="BISans"/>
          <w:color w:val="000000"/>
          <w:sz w:val="20"/>
          <w:szCs w:val="20"/>
        </w:rPr>
      </w:pPr>
      <w:r w:rsidRPr="00764DD6">
        <w:rPr>
          <w:rFonts w:ascii="BISans" w:eastAsia="Times New Roman" w:hAnsi="BISans" w:cs="BISans"/>
          <w:color w:val="000000"/>
          <w:sz w:val="20"/>
          <w:szCs w:val="20"/>
        </w:rPr>
        <w:t>Le indicazioni per cui dabigatran è attualmente approvato sono le seguenti:</w:t>
      </w:r>
      <w:r w:rsidRPr="00764DD6">
        <w:rPr>
          <w:rFonts w:ascii="BISans" w:eastAsia="Times New Roman" w:hAnsi="BISans" w:cs="BISans"/>
          <w:color w:val="000000"/>
          <w:sz w:val="20"/>
          <w:szCs w:val="20"/>
          <w:vertAlign w:val="superscript"/>
        </w:rPr>
        <w:t>12,13</w:t>
      </w:r>
    </w:p>
    <w:p w:rsidR="00764DD6" w:rsidRPr="00764DD6" w:rsidRDefault="00764DD6" w:rsidP="00764DD6">
      <w:pPr>
        <w:keepNext/>
        <w:keepLines/>
        <w:widowControl w:val="0"/>
        <w:numPr>
          <w:ilvl w:val="0"/>
          <w:numId w:val="7"/>
        </w:numPr>
        <w:spacing w:after="0" w:line="264" w:lineRule="auto"/>
        <w:ind w:left="284" w:hanging="284"/>
        <w:contextualSpacing/>
        <w:jc w:val="both"/>
        <w:rPr>
          <w:rFonts w:ascii="BISans" w:eastAsia="BISans" w:hAnsi="BISans" w:cs="BISans"/>
          <w:color w:val="000000"/>
          <w:sz w:val="20"/>
          <w:szCs w:val="20"/>
        </w:rPr>
      </w:pPr>
      <w:r w:rsidRPr="00764DD6">
        <w:rPr>
          <w:rFonts w:ascii="BISans" w:eastAsia="BISans" w:hAnsi="BISans" w:cs="BISans"/>
          <w:color w:val="000000"/>
          <w:sz w:val="20"/>
          <w:szCs w:val="20"/>
        </w:rPr>
        <w:t>Prevenzione dell’ictus e delle embolie sistemiche in pazienti con fibrillazione atriale non-valvolare e almeno un fattore di rischio per l’ictus;</w:t>
      </w:r>
    </w:p>
    <w:p w:rsidR="00764DD6" w:rsidRPr="00764DD6" w:rsidRDefault="00764DD6" w:rsidP="00764DD6">
      <w:pPr>
        <w:keepNext/>
        <w:keepLines/>
        <w:widowControl w:val="0"/>
        <w:numPr>
          <w:ilvl w:val="0"/>
          <w:numId w:val="7"/>
        </w:numPr>
        <w:spacing w:after="0" w:line="264" w:lineRule="auto"/>
        <w:ind w:left="284" w:hanging="284"/>
        <w:contextualSpacing/>
        <w:jc w:val="both"/>
        <w:rPr>
          <w:rFonts w:ascii="BISans" w:eastAsia="BISans" w:hAnsi="BISans" w:cs="BISans"/>
          <w:color w:val="000000"/>
          <w:sz w:val="20"/>
          <w:szCs w:val="20"/>
        </w:rPr>
      </w:pPr>
      <w:r w:rsidRPr="00764DD6">
        <w:rPr>
          <w:rFonts w:ascii="BISans" w:eastAsia="BISans" w:hAnsi="BISans" w:cs="BISans"/>
          <w:color w:val="000000"/>
          <w:sz w:val="20"/>
          <w:szCs w:val="20"/>
        </w:rPr>
        <w:t>Prevenzione primaria di eventi di tromboembolismo venoso in pazienti che si sottopongono a chirurgia elettiva di sostituzione totale dell’anca o del ginocchio;</w:t>
      </w:r>
    </w:p>
    <w:p w:rsidR="00764DD6" w:rsidRPr="00764DD6" w:rsidRDefault="00764DD6" w:rsidP="00764DD6">
      <w:pPr>
        <w:numPr>
          <w:ilvl w:val="0"/>
          <w:numId w:val="7"/>
        </w:numPr>
        <w:spacing w:after="0" w:line="264" w:lineRule="auto"/>
        <w:ind w:left="284" w:hanging="284"/>
        <w:contextualSpacing/>
        <w:jc w:val="both"/>
        <w:rPr>
          <w:rFonts w:ascii="BISans" w:eastAsia="BISans" w:hAnsi="BISans" w:cs="BISans"/>
          <w:color w:val="000000"/>
          <w:sz w:val="20"/>
          <w:szCs w:val="20"/>
        </w:rPr>
      </w:pPr>
      <w:r w:rsidRPr="00764DD6">
        <w:rPr>
          <w:rFonts w:ascii="BISans" w:eastAsia="BISans" w:hAnsi="BISans" w:cs="BISans"/>
          <w:color w:val="000000"/>
          <w:sz w:val="20"/>
          <w:szCs w:val="20"/>
        </w:rPr>
        <w:t>Trattamento di trombosi venosa profonda (TVP) ed embolia polmonare (EP) e prevenzione delle recidive di TVP ed EP negli adulti.</w:t>
      </w:r>
    </w:p>
    <w:p w:rsidR="00764DD6" w:rsidRPr="00764DD6" w:rsidRDefault="00764DD6" w:rsidP="00764DD6">
      <w:pPr>
        <w:spacing w:after="0" w:line="264" w:lineRule="auto"/>
        <w:jc w:val="both"/>
        <w:rPr>
          <w:rFonts w:ascii="BISans" w:eastAsia="BISans" w:hAnsi="BISans" w:cs="BISans"/>
          <w:color w:val="000000"/>
          <w:sz w:val="20"/>
          <w:szCs w:val="20"/>
        </w:rPr>
      </w:pPr>
    </w:p>
    <w:p w:rsidR="00764DD6" w:rsidRPr="00764DD6" w:rsidRDefault="00764DD6" w:rsidP="00764DD6">
      <w:pPr>
        <w:spacing w:after="0" w:line="264" w:lineRule="auto"/>
        <w:jc w:val="both"/>
        <w:rPr>
          <w:rFonts w:ascii="BISans" w:eastAsia="BISans" w:hAnsi="BISans" w:cs="BISans"/>
          <w:color w:val="000000"/>
          <w:sz w:val="20"/>
          <w:szCs w:val="20"/>
        </w:rPr>
      </w:pPr>
      <w:r w:rsidRPr="00764DD6">
        <w:rPr>
          <w:rFonts w:ascii="BISans" w:eastAsia="BISans" w:hAnsi="BISans" w:cs="BISans"/>
          <w:color w:val="000000"/>
          <w:sz w:val="20"/>
          <w:szCs w:val="20"/>
        </w:rPr>
        <w:t>Dabigatran, che è un inibitore diretto della trombina (IDT)</w:t>
      </w:r>
      <w:r w:rsidRPr="00764DD6">
        <w:rPr>
          <w:rFonts w:ascii="BISans" w:eastAsia="BISans" w:hAnsi="BISans" w:cs="BISans"/>
          <w:color w:val="000000"/>
          <w:sz w:val="20"/>
          <w:szCs w:val="20"/>
          <w:vertAlign w:val="superscript"/>
        </w:rPr>
        <w:t>17</w:t>
      </w:r>
      <w:r w:rsidRPr="00764DD6">
        <w:rPr>
          <w:rFonts w:ascii="BISans" w:eastAsia="BISans" w:hAnsi="BISans" w:cs="BISans"/>
          <w:color w:val="000000"/>
          <w:sz w:val="20"/>
          <w:szCs w:val="20"/>
        </w:rPr>
        <w:t>, è stato il primo farmaco di una nuova generazione di anticoagulanti orali ad azione diretta, ad essere ampiamente approvato e disponibile sul mercato, per rispondere a un forte bisogno insoddisfatto di terapie per la prevenzione e il trattamento delle malattie tromboemboliche acute e croniche.</w:t>
      </w:r>
      <w:r w:rsidRPr="00764DD6">
        <w:rPr>
          <w:rFonts w:ascii="BISans" w:eastAsia="BISans" w:hAnsi="BISans" w:cs="BISans"/>
          <w:color w:val="000000"/>
          <w:sz w:val="20"/>
          <w:szCs w:val="20"/>
          <w:vertAlign w:val="superscript"/>
        </w:rPr>
        <w:t xml:space="preserve"> </w:t>
      </w:r>
      <w:r w:rsidRPr="00764DD6">
        <w:rPr>
          <w:rFonts w:ascii="BISans" w:eastAsia="BISans" w:hAnsi="BISans" w:cs="BISans"/>
          <w:color w:val="000000"/>
          <w:sz w:val="20"/>
          <w:szCs w:val="20"/>
        </w:rPr>
        <w:t>Gli inibitori diretti della trombina ottengono potenti effetti antitrombotici, bloccando in maniera specifica l’attività della trombina, l’enzima centrale nel processo di formazione del trombo.</w:t>
      </w:r>
      <w:r w:rsidRPr="00764DD6">
        <w:rPr>
          <w:rFonts w:ascii="BISans" w:eastAsia="BISans" w:hAnsi="BISans" w:cs="BISans"/>
          <w:color w:val="000000"/>
          <w:sz w:val="20"/>
          <w:szCs w:val="20"/>
          <w:vertAlign w:val="superscript"/>
        </w:rPr>
        <w:t>18</w:t>
      </w:r>
      <w:r w:rsidRPr="00764DD6">
        <w:rPr>
          <w:rFonts w:ascii="BISans" w:eastAsia="BISans" w:hAnsi="BISans" w:cs="BISans"/>
          <w:color w:val="000000"/>
          <w:sz w:val="20"/>
          <w:szCs w:val="20"/>
        </w:rPr>
        <w:t xml:space="preserve"> A differenza degli antagonisti della vitamina K, che agiscono in maniera variabile tramite i diversi fattori della coagulazione, dabigatran determina un’anticoagulazione efficace, prevedibile e riproducibile, con basso potenziale di interazione con altri farmaci e nessuna interazione con il cibo, senza richiedere il monitoraggio regolare della coagulazione né aggiustamenti di dosaggio.</w:t>
      </w:r>
      <w:r w:rsidRPr="00764DD6">
        <w:rPr>
          <w:rFonts w:ascii="BISans" w:eastAsia="BISans" w:hAnsi="BISans" w:cs="BISans"/>
          <w:color w:val="000000"/>
          <w:sz w:val="20"/>
          <w:szCs w:val="20"/>
          <w:vertAlign w:val="superscript"/>
        </w:rPr>
        <w:t>17,19</w:t>
      </w:r>
    </w:p>
    <w:p w:rsidR="00764DD6" w:rsidRPr="00764DD6" w:rsidRDefault="00764DD6" w:rsidP="00764DD6">
      <w:pPr>
        <w:spacing w:after="0" w:line="264" w:lineRule="auto"/>
        <w:jc w:val="both"/>
        <w:rPr>
          <w:rFonts w:ascii="BISans" w:eastAsia="BISans" w:hAnsi="BISans" w:cs="BISans"/>
          <w:color w:val="000000"/>
          <w:sz w:val="20"/>
          <w:szCs w:val="20"/>
        </w:rPr>
      </w:pPr>
    </w:p>
    <w:p w:rsidR="00764DD6" w:rsidRPr="00764DD6" w:rsidRDefault="00764DD6" w:rsidP="00764DD6">
      <w:pPr>
        <w:widowControl w:val="0"/>
        <w:autoSpaceDE w:val="0"/>
        <w:autoSpaceDN w:val="0"/>
        <w:adjustRightInd w:val="0"/>
        <w:spacing w:after="0" w:line="264" w:lineRule="auto"/>
        <w:jc w:val="both"/>
        <w:rPr>
          <w:rFonts w:ascii="BISans" w:eastAsia="Times New Roman" w:hAnsi="BISans" w:cs="Arial"/>
          <w:color w:val="000000"/>
          <w:sz w:val="20"/>
          <w:szCs w:val="20"/>
        </w:rPr>
      </w:pPr>
      <w:r w:rsidRPr="00764DD6">
        <w:rPr>
          <w:rFonts w:ascii="BISans" w:eastAsia="Times New Roman" w:hAnsi="BISans" w:cs="Arial"/>
          <w:color w:val="000000"/>
          <w:sz w:val="20"/>
          <w:szCs w:val="20"/>
        </w:rPr>
        <w:t>Dabigatran è l’unico anticoagulante orale non-antagonista della vitamina K (NOAC) per il quale esista un farmaco approvato, che ne inattiva in maniera specifica l’effetto.</w:t>
      </w:r>
      <w:r w:rsidRPr="00764DD6">
        <w:rPr>
          <w:rFonts w:ascii="BISans" w:eastAsia="Times New Roman" w:hAnsi="BISans" w:cs="Arial"/>
          <w:color w:val="000000"/>
          <w:sz w:val="20"/>
          <w:szCs w:val="20"/>
          <w:vertAlign w:val="superscript"/>
        </w:rPr>
        <w:t>12-15</w:t>
      </w:r>
      <w:r w:rsidR="00A20932">
        <w:rPr>
          <w:rFonts w:ascii="BISans" w:eastAsia="Times New Roman" w:hAnsi="BISans" w:cs="Arial"/>
          <w:color w:val="000000"/>
          <w:sz w:val="20"/>
          <w:szCs w:val="20"/>
        </w:rPr>
        <w:t xml:space="preserve"> </w:t>
      </w:r>
      <w:r w:rsidRPr="00764DD6">
        <w:rPr>
          <w:rFonts w:ascii="BISans" w:eastAsia="Times New Roman" w:hAnsi="BISans" w:cs="Arial"/>
          <w:color w:val="000000"/>
          <w:sz w:val="20"/>
          <w:szCs w:val="20"/>
        </w:rPr>
        <w:t xml:space="preserve">Questo farmaco è idarucizumab, approvato per </w:t>
      </w:r>
      <w:r w:rsidRPr="00764DD6">
        <w:rPr>
          <w:rFonts w:ascii="BISans" w:eastAsia="Times New Roman" w:hAnsi="BISans" w:cs="Arial"/>
          <w:color w:val="000000"/>
          <w:sz w:val="20"/>
          <w:szCs w:val="20"/>
        </w:rPr>
        <w:lastRenderedPageBreak/>
        <w:t>l’impiego in pazienti adulti trattati con dabigatran, che necessitano di rapida inattivazione del suo effetto anticoagulante, prima di interventi chirurgici d’urgenza/interventi di emergenza, o in caso di sanguinamento incontrollato o che metta a rischio la vita del paziente.</w:t>
      </w:r>
      <w:r w:rsidRPr="00764DD6">
        <w:rPr>
          <w:rFonts w:ascii="BISans" w:eastAsia="Times New Roman" w:hAnsi="BISans" w:cs="Arial"/>
          <w:color w:val="000000"/>
          <w:sz w:val="20"/>
          <w:szCs w:val="20"/>
          <w:vertAlign w:val="superscript"/>
        </w:rPr>
        <w:t>14,15</w:t>
      </w:r>
    </w:p>
    <w:p w:rsidR="00764DD6" w:rsidRPr="00764DD6" w:rsidRDefault="00764DD6" w:rsidP="00764DD6">
      <w:pPr>
        <w:widowControl w:val="0"/>
        <w:autoSpaceDE w:val="0"/>
        <w:autoSpaceDN w:val="0"/>
        <w:adjustRightInd w:val="0"/>
        <w:spacing w:after="0" w:line="264" w:lineRule="auto"/>
        <w:rPr>
          <w:rFonts w:ascii="BISans" w:eastAsia="Times New Roman" w:hAnsi="BISans" w:cs="Arial"/>
          <w:color w:val="000000"/>
          <w:sz w:val="20"/>
          <w:szCs w:val="20"/>
        </w:rPr>
      </w:pPr>
    </w:p>
    <w:p w:rsidR="00764DD6" w:rsidRPr="00764DD6" w:rsidRDefault="00764DD6" w:rsidP="00764DD6">
      <w:pPr>
        <w:spacing w:after="0" w:line="264" w:lineRule="auto"/>
        <w:rPr>
          <w:rFonts w:ascii="BISans" w:eastAsia="BISans" w:hAnsi="BISans" w:cs="Angsana New"/>
          <w:b/>
          <w:bCs/>
          <w:color w:val="003366"/>
          <w:sz w:val="20"/>
        </w:rPr>
      </w:pPr>
      <w:r w:rsidRPr="00764DD6">
        <w:rPr>
          <w:rFonts w:ascii="BISans" w:eastAsia="BISans" w:hAnsi="BISans" w:cs="Angsana New"/>
          <w:b/>
          <w:bCs/>
          <w:color w:val="003366"/>
          <w:sz w:val="20"/>
        </w:rPr>
        <w:t xml:space="preserve">Boehringer Ingelheim </w:t>
      </w:r>
    </w:p>
    <w:p w:rsidR="00764DD6" w:rsidRPr="00764DD6" w:rsidRDefault="00764DD6" w:rsidP="00764DD6">
      <w:pPr>
        <w:widowControl w:val="0"/>
        <w:autoSpaceDE w:val="0"/>
        <w:autoSpaceDN w:val="0"/>
        <w:adjustRightInd w:val="0"/>
        <w:spacing w:after="0" w:line="264" w:lineRule="auto"/>
        <w:jc w:val="both"/>
        <w:rPr>
          <w:rFonts w:ascii="BISans" w:eastAsia="BISans" w:hAnsi="BISans" w:cs="Angsana New"/>
          <w:sz w:val="20"/>
        </w:rPr>
      </w:pPr>
      <w:r w:rsidRPr="00764DD6">
        <w:rPr>
          <w:rFonts w:ascii="BISans" w:eastAsia="BISans" w:hAnsi="BISans" w:cs="Angsana New"/>
          <w:sz w:val="20"/>
        </w:rPr>
        <w:t xml:space="preserve">Il gruppo Boehringer Ingelheim è una delle prime 20 aziende farmaceutiche del mondo. Il gruppo ha sede a Ingelheim, Germania, e opera a livello globale con circa 50.000 dipendenti. </w:t>
      </w:r>
    </w:p>
    <w:p w:rsidR="00764DD6" w:rsidRPr="00764DD6" w:rsidRDefault="00764DD6" w:rsidP="00764DD6">
      <w:pPr>
        <w:widowControl w:val="0"/>
        <w:autoSpaceDE w:val="0"/>
        <w:autoSpaceDN w:val="0"/>
        <w:adjustRightInd w:val="0"/>
        <w:spacing w:after="0" w:line="264" w:lineRule="auto"/>
        <w:jc w:val="both"/>
        <w:rPr>
          <w:rFonts w:ascii="BISans" w:eastAsia="BISans" w:hAnsi="BISans" w:cs="Angsana New"/>
          <w:sz w:val="20"/>
        </w:rPr>
      </w:pPr>
    </w:p>
    <w:p w:rsidR="00764DD6" w:rsidRPr="00764DD6" w:rsidRDefault="00764DD6" w:rsidP="00764DD6">
      <w:pPr>
        <w:widowControl w:val="0"/>
        <w:autoSpaceDE w:val="0"/>
        <w:autoSpaceDN w:val="0"/>
        <w:adjustRightInd w:val="0"/>
        <w:spacing w:after="0" w:line="264" w:lineRule="auto"/>
        <w:jc w:val="both"/>
        <w:rPr>
          <w:rFonts w:ascii="BISans" w:eastAsia="BISans" w:hAnsi="BISans" w:cs="Angsana New"/>
          <w:sz w:val="20"/>
        </w:rPr>
      </w:pPr>
      <w:r w:rsidRPr="00764DD6">
        <w:rPr>
          <w:rFonts w:ascii="BISans" w:eastAsia="BISans" w:hAnsi="BISans" w:cs="Angsana New"/>
          <w:sz w:val="20"/>
        </w:rPr>
        <w:t xml:space="preserve">Fondata nel 1885, l’azienda a proprietà familiare si dedica a ricerca, sviluppo, produzione e commercializzazione di prodotti innovativi dall’elevato valore terapeutico nel campo della medicina e della veterinaria.  </w:t>
      </w:r>
    </w:p>
    <w:p w:rsidR="00764DD6" w:rsidRPr="00764DD6" w:rsidRDefault="00764DD6" w:rsidP="00764DD6">
      <w:pPr>
        <w:widowControl w:val="0"/>
        <w:autoSpaceDE w:val="0"/>
        <w:autoSpaceDN w:val="0"/>
        <w:adjustRightInd w:val="0"/>
        <w:spacing w:after="0" w:line="264" w:lineRule="auto"/>
        <w:jc w:val="both"/>
        <w:rPr>
          <w:rFonts w:ascii="BISans" w:eastAsia="BISans" w:hAnsi="BISans" w:cs="Angsana New"/>
          <w:sz w:val="20"/>
        </w:rPr>
      </w:pPr>
    </w:p>
    <w:p w:rsidR="00764DD6" w:rsidRPr="00764DD6" w:rsidRDefault="00764DD6" w:rsidP="00764DD6">
      <w:pPr>
        <w:widowControl w:val="0"/>
        <w:autoSpaceDE w:val="0"/>
        <w:autoSpaceDN w:val="0"/>
        <w:adjustRightInd w:val="0"/>
        <w:spacing w:after="0" w:line="264" w:lineRule="auto"/>
        <w:jc w:val="both"/>
        <w:rPr>
          <w:rFonts w:ascii="BISans" w:eastAsia="BISans" w:hAnsi="BISans" w:cs="Angsana New"/>
          <w:sz w:val="20"/>
        </w:rPr>
      </w:pPr>
      <w:r w:rsidRPr="00764DD6">
        <w:rPr>
          <w:rFonts w:ascii="BISans" w:eastAsia="BISans" w:hAnsi="BISans" w:cs="Angsana New"/>
          <w:sz w:val="20"/>
        </w:rPr>
        <w:t>Operare in maniera socialmente responsabile è un punto centrale della cultura e dell’impegno di Boehringer Ingelheim. La partecipazione a progetti sociali in tutto il mondo, quali ad esempio l’iniziativa "</w:t>
      </w:r>
      <w:r w:rsidRPr="00764DD6">
        <w:rPr>
          <w:rFonts w:ascii="BISans" w:eastAsia="BISans" w:hAnsi="BISans" w:cs="Angsana New"/>
          <w:i/>
          <w:sz w:val="20"/>
        </w:rPr>
        <w:t>Making more Health</w:t>
      </w:r>
      <w:r w:rsidRPr="00764DD6">
        <w:rPr>
          <w:rFonts w:ascii="BISans" w:eastAsia="BISans" w:hAnsi="BISans" w:cs="Angsana New"/>
          <w:sz w:val="20"/>
        </w:rPr>
        <w:t xml:space="preserve">", e l’attenzione per i propri dipendenti sono parte di questo impegno di responsabilità sociale, così come lo sono il rispetto, le pari opportunità e la conciliazione dei tempi di lavoro e della famiglia che costituiscono le fondamenta della mutua collaborazione fra l’azienda e i suoi dipendenti, e l’attenzione all’ambiente, alla sua tutela e sostenibilità, che sono sottese in ogni attività che Boehringer Ingelheim intraprende.  </w:t>
      </w:r>
    </w:p>
    <w:p w:rsidR="00764DD6" w:rsidRPr="00764DD6" w:rsidRDefault="00764DD6" w:rsidP="00764DD6">
      <w:pPr>
        <w:widowControl w:val="0"/>
        <w:autoSpaceDE w:val="0"/>
        <w:autoSpaceDN w:val="0"/>
        <w:adjustRightInd w:val="0"/>
        <w:spacing w:after="0" w:line="264" w:lineRule="auto"/>
        <w:jc w:val="both"/>
        <w:rPr>
          <w:rFonts w:ascii="BISans" w:eastAsia="BISans" w:hAnsi="BISans" w:cs="Angsana New"/>
          <w:sz w:val="20"/>
        </w:rPr>
      </w:pPr>
    </w:p>
    <w:p w:rsidR="00764DD6" w:rsidRPr="00764DD6" w:rsidRDefault="00764DD6" w:rsidP="00764DD6">
      <w:pPr>
        <w:widowControl w:val="0"/>
        <w:autoSpaceDE w:val="0"/>
        <w:autoSpaceDN w:val="0"/>
        <w:adjustRightInd w:val="0"/>
        <w:spacing w:after="0" w:line="264" w:lineRule="auto"/>
        <w:jc w:val="both"/>
        <w:rPr>
          <w:rFonts w:ascii="BISans" w:eastAsia="BISans" w:hAnsi="BISans" w:cs="Angsana New"/>
          <w:sz w:val="20"/>
        </w:rPr>
      </w:pPr>
      <w:r w:rsidRPr="00764DD6">
        <w:rPr>
          <w:rFonts w:ascii="BISans" w:eastAsia="BISans" w:hAnsi="BISans" w:cs="Angsana New"/>
          <w:sz w:val="20"/>
        </w:rPr>
        <w:t>Nel 2015, Boehringer Ingelheim ha registrato un fatturato netto di circa 14,8 miliardi di euro e investimenti in ricerca e sviluppo pari al 20,3 percento del suo fatturato netto.</w:t>
      </w:r>
    </w:p>
    <w:p w:rsidR="00764DD6" w:rsidRPr="00764DD6" w:rsidRDefault="00764DD6" w:rsidP="00764DD6">
      <w:pPr>
        <w:widowControl w:val="0"/>
        <w:autoSpaceDE w:val="0"/>
        <w:autoSpaceDN w:val="0"/>
        <w:adjustRightInd w:val="0"/>
        <w:spacing w:after="0" w:line="264" w:lineRule="auto"/>
        <w:jc w:val="both"/>
        <w:rPr>
          <w:rFonts w:ascii="BISans" w:eastAsia="BISans" w:hAnsi="BISans" w:cs="Angsana New"/>
          <w:sz w:val="20"/>
        </w:rPr>
      </w:pPr>
    </w:p>
    <w:p w:rsidR="00764DD6" w:rsidRPr="00764DD6" w:rsidRDefault="00764DD6" w:rsidP="00764DD6">
      <w:pPr>
        <w:widowControl w:val="0"/>
        <w:autoSpaceDE w:val="0"/>
        <w:autoSpaceDN w:val="0"/>
        <w:adjustRightInd w:val="0"/>
        <w:spacing w:after="0" w:line="264" w:lineRule="auto"/>
        <w:jc w:val="both"/>
        <w:rPr>
          <w:rFonts w:ascii="BISans" w:eastAsia="BISans" w:hAnsi="BISans" w:cs="Angsana New"/>
          <w:sz w:val="20"/>
        </w:rPr>
      </w:pPr>
      <w:r w:rsidRPr="00764DD6">
        <w:rPr>
          <w:rFonts w:ascii="BISans" w:eastAsia="BISans" w:hAnsi="BISans" w:cs="Angsana New"/>
          <w:sz w:val="20"/>
        </w:rPr>
        <w:t>Per maggiori informazioni visitate il sito www.boehringer-ingelheim.com</w:t>
      </w:r>
    </w:p>
    <w:p w:rsidR="00764DD6" w:rsidRPr="00764DD6" w:rsidRDefault="00764DD6" w:rsidP="00764DD6">
      <w:pPr>
        <w:widowControl w:val="0"/>
        <w:autoSpaceDE w:val="0"/>
        <w:autoSpaceDN w:val="0"/>
        <w:adjustRightInd w:val="0"/>
        <w:spacing w:after="0" w:line="264" w:lineRule="auto"/>
        <w:rPr>
          <w:rFonts w:ascii="BISans" w:eastAsia="Times New Roman" w:hAnsi="BISans" w:cs="BISans"/>
          <w:i/>
          <w:iCs/>
          <w:color w:val="000000"/>
          <w:sz w:val="20"/>
          <w:szCs w:val="20"/>
        </w:rPr>
      </w:pPr>
    </w:p>
    <w:p w:rsidR="00764DD6" w:rsidRPr="00764DD6" w:rsidRDefault="00764DD6" w:rsidP="00764DD6">
      <w:pPr>
        <w:spacing w:after="0" w:line="264" w:lineRule="auto"/>
        <w:rPr>
          <w:rFonts w:ascii="BISans" w:eastAsia="BISans" w:hAnsi="BISans" w:cs="Angsana New"/>
          <w:b/>
          <w:bCs/>
          <w:color w:val="003366"/>
          <w:sz w:val="20"/>
        </w:rPr>
      </w:pPr>
      <w:r w:rsidRPr="00764DD6">
        <w:rPr>
          <w:rFonts w:ascii="BISans" w:eastAsia="BISans" w:hAnsi="BISans" w:cs="Angsana New"/>
          <w:b/>
          <w:bCs/>
          <w:color w:val="003366"/>
          <w:sz w:val="20"/>
        </w:rPr>
        <w:t>Ulteriori canali di comunicazione:</w:t>
      </w:r>
    </w:p>
    <w:p w:rsidR="00764DD6" w:rsidRPr="00764DD6" w:rsidRDefault="00764DD6" w:rsidP="00764DD6">
      <w:pPr>
        <w:spacing w:after="0" w:line="264" w:lineRule="auto"/>
        <w:rPr>
          <w:rFonts w:ascii="BISans" w:eastAsia="BISans" w:hAnsi="BISans" w:cs="Angsana New"/>
          <w:sz w:val="20"/>
        </w:rPr>
      </w:pPr>
      <w:r w:rsidRPr="00764DD6">
        <w:rPr>
          <w:rFonts w:ascii="BISans" w:eastAsia="BISans" w:hAnsi="BISans" w:cs="Angsana New"/>
          <w:sz w:val="20"/>
        </w:rPr>
        <w:t>www.facebook.com/boehringeringelheim</w:t>
      </w:r>
    </w:p>
    <w:p w:rsidR="00764DD6" w:rsidRPr="00764DD6" w:rsidRDefault="00A20932" w:rsidP="00764DD6">
      <w:pPr>
        <w:spacing w:after="0" w:line="264" w:lineRule="auto"/>
        <w:rPr>
          <w:rFonts w:ascii="BISans" w:eastAsia="BISans" w:hAnsi="BISans" w:cs="Angsana New"/>
          <w:sz w:val="20"/>
        </w:rPr>
      </w:pPr>
      <w:hyperlink r:id="rId7" w:history="1">
        <w:r w:rsidR="00764DD6" w:rsidRPr="00764DD6">
          <w:rPr>
            <w:rFonts w:ascii="BISans" w:eastAsia="BISans" w:hAnsi="BISans" w:cs="Angsana New"/>
            <w:sz w:val="20"/>
          </w:rPr>
          <w:t>www.twitter.com/Boehringer</w:t>
        </w:r>
      </w:hyperlink>
    </w:p>
    <w:p w:rsidR="00764DD6" w:rsidRPr="00764DD6" w:rsidRDefault="00A20932" w:rsidP="00764DD6">
      <w:pPr>
        <w:spacing w:after="0" w:line="264" w:lineRule="auto"/>
        <w:rPr>
          <w:rFonts w:ascii="BISans" w:eastAsia="Times New Roman" w:hAnsi="BISans" w:cs="Arial"/>
          <w:sz w:val="20"/>
        </w:rPr>
      </w:pPr>
      <w:hyperlink r:id="rId8" w:history="1">
        <w:r w:rsidR="00764DD6" w:rsidRPr="00764DD6">
          <w:rPr>
            <w:rFonts w:ascii="BISans" w:eastAsia="BISans" w:hAnsi="BISans" w:cs="Arial"/>
            <w:sz w:val="20"/>
          </w:rPr>
          <w:t>www.youtube.com/user/boehringeringelheim</w:t>
        </w:r>
      </w:hyperlink>
    </w:p>
    <w:p w:rsidR="00764DD6" w:rsidRPr="00764DD6" w:rsidRDefault="00764DD6" w:rsidP="00764DD6">
      <w:pPr>
        <w:spacing w:after="0" w:line="264" w:lineRule="auto"/>
        <w:rPr>
          <w:rFonts w:ascii="BISans" w:eastAsia="BISans" w:hAnsi="BISans" w:cs="Angsana New"/>
          <w:sz w:val="20"/>
        </w:rPr>
      </w:pPr>
      <w:r w:rsidRPr="00764DD6">
        <w:rPr>
          <w:rFonts w:ascii="BISans" w:eastAsia="BISans" w:hAnsi="BISans" w:cs="Arial"/>
          <w:sz w:val="20"/>
        </w:rPr>
        <w:t>www.youtube.com/user/CVTV</w:t>
      </w:r>
    </w:p>
    <w:p w:rsidR="00764DD6" w:rsidRPr="00764DD6" w:rsidRDefault="00A20932" w:rsidP="00764DD6">
      <w:pPr>
        <w:spacing w:after="0" w:line="264" w:lineRule="auto"/>
        <w:rPr>
          <w:rFonts w:ascii="BISans" w:eastAsia="BISans" w:hAnsi="BISans" w:cs="Arial"/>
          <w:bCs/>
          <w:sz w:val="20"/>
        </w:rPr>
      </w:pPr>
      <w:hyperlink r:id="rId9" w:history="1">
        <w:r w:rsidR="00764DD6" w:rsidRPr="00764DD6">
          <w:rPr>
            <w:rFonts w:ascii="BISans" w:eastAsia="BISans" w:hAnsi="BISans" w:cs="Arial"/>
            <w:sz w:val="20"/>
          </w:rPr>
          <w:t>www.pinterest.com/biglobal</w:t>
        </w:r>
      </w:hyperlink>
    </w:p>
    <w:p w:rsidR="00764DD6" w:rsidRPr="00764DD6" w:rsidRDefault="00A20932" w:rsidP="00764DD6">
      <w:pPr>
        <w:spacing w:after="0" w:line="264" w:lineRule="auto"/>
        <w:rPr>
          <w:rFonts w:ascii="BISans" w:eastAsia="BISans" w:hAnsi="BISans" w:cs="Arial"/>
          <w:bCs/>
          <w:sz w:val="20"/>
        </w:rPr>
      </w:pPr>
      <w:hyperlink r:id="rId10" w:history="1">
        <w:r w:rsidR="00764DD6" w:rsidRPr="00764DD6">
          <w:rPr>
            <w:rFonts w:ascii="BISans" w:eastAsia="BISans" w:hAnsi="BISans" w:cs="Arial"/>
            <w:bCs/>
            <w:sz w:val="20"/>
          </w:rPr>
          <w:t>www.instagram.com/boehringer_ingelheim</w:t>
        </w:r>
      </w:hyperlink>
    </w:p>
    <w:p w:rsidR="00764DD6" w:rsidRPr="00764DD6" w:rsidRDefault="00764DD6" w:rsidP="00764DD6">
      <w:pPr>
        <w:spacing w:after="0" w:line="264" w:lineRule="auto"/>
        <w:rPr>
          <w:rFonts w:ascii="BISans" w:eastAsia="BISans" w:hAnsi="BISans" w:cs="Arial"/>
          <w:bCs/>
          <w:sz w:val="20"/>
        </w:rPr>
      </w:pPr>
    </w:p>
    <w:p w:rsidR="00764DD6" w:rsidRPr="00764DD6" w:rsidRDefault="00764DD6" w:rsidP="00764DD6">
      <w:pPr>
        <w:spacing w:after="0" w:line="283" w:lineRule="atLeast"/>
        <w:ind w:right="29"/>
        <w:rPr>
          <w:rFonts w:ascii="BISans" w:eastAsia="BISans" w:hAnsi="BISans" w:cs="Angsana New"/>
          <w:sz w:val="20"/>
          <w:szCs w:val="20"/>
        </w:rPr>
      </w:pPr>
      <w:r w:rsidRPr="00764DD6">
        <w:rPr>
          <w:rFonts w:ascii="BISans" w:eastAsia="BISans" w:hAnsi="BISans" w:cs="Angsana New"/>
          <w:b/>
          <w:bCs/>
          <w:color w:val="000000"/>
          <w:sz w:val="20"/>
          <w:szCs w:val="20"/>
        </w:rPr>
        <w:t>Per ulteriori informazioni:</w:t>
      </w:r>
    </w:p>
    <w:p w:rsidR="00764DD6" w:rsidRPr="00764DD6" w:rsidRDefault="00764DD6" w:rsidP="00764DD6">
      <w:pPr>
        <w:spacing w:after="0" w:line="283" w:lineRule="atLeast"/>
        <w:ind w:right="28"/>
        <w:rPr>
          <w:rFonts w:ascii="BISans" w:eastAsia="BISans" w:hAnsi="BISans" w:cs="Angsana New"/>
          <w:sz w:val="20"/>
          <w:szCs w:val="20"/>
        </w:rPr>
      </w:pPr>
      <w:r w:rsidRPr="00764DD6">
        <w:rPr>
          <w:rFonts w:ascii="BISans" w:eastAsia="BISans" w:hAnsi="BISans" w:cs="Angsana New"/>
          <w:sz w:val="20"/>
          <w:szCs w:val="20"/>
        </w:rPr>
        <w:t>Marina Guffanti</w:t>
      </w:r>
    </w:p>
    <w:p w:rsidR="00764DD6" w:rsidRPr="00764DD6" w:rsidRDefault="00764DD6" w:rsidP="00764DD6">
      <w:pPr>
        <w:spacing w:after="0" w:line="283" w:lineRule="atLeast"/>
        <w:ind w:right="28"/>
        <w:rPr>
          <w:rFonts w:ascii="BISans" w:eastAsia="BISans" w:hAnsi="BISans" w:cs="Angsana New"/>
          <w:sz w:val="20"/>
          <w:szCs w:val="20"/>
        </w:rPr>
      </w:pPr>
      <w:r w:rsidRPr="00764DD6">
        <w:rPr>
          <w:rFonts w:ascii="BISans" w:eastAsia="BISans" w:hAnsi="BISans" w:cs="Angsana New"/>
          <w:sz w:val="20"/>
          <w:szCs w:val="20"/>
        </w:rPr>
        <w:t>Comunicazione</w:t>
      </w:r>
    </w:p>
    <w:p w:rsidR="00764DD6" w:rsidRPr="00764DD6" w:rsidRDefault="00764DD6" w:rsidP="00764DD6">
      <w:pPr>
        <w:spacing w:after="0" w:line="283" w:lineRule="atLeast"/>
        <w:ind w:right="28"/>
        <w:rPr>
          <w:rFonts w:ascii="BISans" w:eastAsia="BISans" w:hAnsi="BISans" w:cs="Angsana New"/>
          <w:b/>
          <w:sz w:val="20"/>
          <w:szCs w:val="20"/>
        </w:rPr>
      </w:pPr>
      <w:r w:rsidRPr="00764DD6">
        <w:rPr>
          <w:rFonts w:ascii="BISans" w:eastAsia="BISans" w:hAnsi="BISans" w:cs="Angsana New"/>
          <w:b/>
          <w:sz w:val="20"/>
          <w:szCs w:val="20"/>
        </w:rPr>
        <w:t>Boehringer Ingelheim Italia SpA</w:t>
      </w:r>
    </w:p>
    <w:p w:rsidR="00764DD6" w:rsidRPr="00764DD6" w:rsidRDefault="00764DD6" w:rsidP="00764DD6">
      <w:pPr>
        <w:spacing w:after="0" w:line="283" w:lineRule="atLeast"/>
        <w:ind w:right="28"/>
        <w:rPr>
          <w:rFonts w:ascii="BISans" w:eastAsia="BISans" w:hAnsi="BISans" w:cs="Angsana New"/>
          <w:sz w:val="20"/>
          <w:szCs w:val="20"/>
        </w:rPr>
      </w:pPr>
      <w:r w:rsidRPr="00764DD6">
        <w:rPr>
          <w:rFonts w:ascii="BISans" w:eastAsia="BISans" w:hAnsi="BISans" w:cs="Angsana New"/>
          <w:sz w:val="20"/>
          <w:szCs w:val="20"/>
        </w:rPr>
        <w:t>Telefono: 02 5355453</w:t>
      </w:r>
    </w:p>
    <w:p w:rsidR="00764DD6" w:rsidRPr="00764DD6" w:rsidRDefault="00764DD6" w:rsidP="00764DD6">
      <w:pPr>
        <w:spacing w:after="0" w:line="283" w:lineRule="atLeast"/>
        <w:ind w:right="28"/>
        <w:rPr>
          <w:rFonts w:ascii="BISans" w:eastAsia="BISans" w:hAnsi="BISans" w:cs="Angsana New"/>
          <w:sz w:val="20"/>
          <w:szCs w:val="20"/>
        </w:rPr>
      </w:pPr>
      <w:r w:rsidRPr="00764DD6">
        <w:rPr>
          <w:rFonts w:ascii="BISans" w:eastAsia="BISans" w:hAnsi="BISans" w:cs="Angsana New"/>
          <w:sz w:val="20"/>
          <w:szCs w:val="20"/>
        </w:rPr>
        <w:lastRenderedPageBreak/>
        <w:t>Cell: 348 3995284</w:t>
      </w:r>
    </w:p>
    <w:p w:rsidR="00764DD6" w:rsidRPr="00764DD6" w:rsidRDefault="00764DD6" w:rsidP="00764DD6">
      <w:pPr>
        <w:spacing w:after="0" w:line="283" w:lineRule="atLeast"/>
        <w:ind w:right="28"/>
        <w:rPr>
          <w:rFonts w:ascii="BISans" w:eastAsia="BISans" w:hAnsi="BISans" w:cs="Angsana New"/>
          <w:sz w:val="20"/>
          <w:szCs w:val="20"/>
        </w:rPr>
      </w:pPr>
      <w:r w:rsidRPr="00764DD6">
        <w:rPr>
          <w:rFonts w:ascii="BISans" w:eastAsia="BISans" w:hAnsi="BISans" w:cs="Angsana New"/>
          <w:sz w:val="20"/>
          <w:szCs w:val="20"/>
        </w:rPr>
        <w:t xml:space="preserve">Mail: </w:t>
      </w:r>
      <w:hyperlink r:id="rId11" w:history="1">
        <w:r w:rsidRPr="00764DD6">
          <w:rPr>
            <w:rFonts w:ascii="BISans" w:eastAsia="BISans" w:hAnsi="BISans" w:cs="Angsana New"/>
            <w:sz w:val="20"/>
            <w:szCs w:val="20"/>
          </w:rPr>
          <w:t>marina.guffanti@boehringer-ingelheim.com</w:t>
        </w:r>
      </w:hyperlink>
    </w:p>
    <w:p w:rsidR="00764DD6" w:rsidRDefault="00764DD6" w:rsidP="00764DD6">
      <w:pPr>
        <w:spacing w:after="0" w:line="264" w:lineRule="auto"/>
        <w:rPr>
          <w:rFonts w:ascii="BISans" w:eastAsia="BISans" w:hAnsi="BISans" w:cs="Angsana New"/>
          <w:b/>
          <w:bCs/>
          <w:color w:val="003366"/>
          <w:sz w:val="20"/>
        </w:rPr>
      </w:pPr>
    </w:p>
    <w:p w:rsidR="00764DD6" w:rsidRPr="00764DD6" w:rsidRDefault="00764DD6" w:rsidP="00764DD6">
      <w:pPr>
        <w:spacing w:after="0" w:line="264" w:lineRule="auto"/>
        <w:rPr>
          <w:rFonts w:ascii="BISans" w:eastAsia="BISans" w:hAnsi="BISans" w:cs="Angsana New"/>
          <w:b/>
          <w:bCs/>
          <w:color w:val="003366"/>
          <w:sz w:val="20"/>
        </w:rPr>
      </w:pPr>
    </w:p>
    <w:p w:rsidR="00764DD6" w:rsidRPr="00764DD6" w:rsidRDefault="00764DD6" w:rsidP="00764DD6">
      <w:pPr>
        <w:spacing w:after="0" w:line="264" w:lineRule="auto"/>
        <w:jc w:val="both"/>
        <w:rPr>
          <w:rFonts w:ascii="BISans" w:eastAsia="BISans" w:hAnsi="BISans" w:cs="Angsana New"/>
          <w:b/>
          <w:bCs/>
          <w:color w:val="003366"/>
          <w:sz w:val="20"/>
          <w:lang w:val="en-US"/>
        </w:rPr>
      </w:pPr>
      <w:r>
        <w:rPr>
          <w:rFonts w:ascii="BISans" w:eastAsia="BISans" w:hAnsi="BISans" w:cs="Angsana New"/>
          <w:b/>
          <w:bCs/>
          <w:color w:val="003366"/>
          <w:sz w:val="20"/>
          <w:lang w:val="en-US"/>
        </w:rPr>
        <w:t>Bibliografia:</w:t>
      </w:r>
      <w:r w:rsidRPr="00764DD6">
        <w:rPr>
          <w:rFonts w:ascii="BISans" w:eastAsia="BISans" w:hAnsi="BISans" w:cs="Angsana New"/>
          <w:b/>
          <w:bCs/>
          <w:color w:val="003366"/>
          <w:sz w:val="20"/>
          <w:lang w:val="en-US"/>
        </w:rPr>
        <w:t xml:space="preserve"> </w:t>
      </w:r>
    </w:p>
    <w:p w:rsidR="00764DD6" w:rsidRPr="00764DD6" w:rsidRDefault="00A20932"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en-GB"/>
        </w:rPr>
      </w:pPr>
      <w:hyperlink r:id="rId12" w:anchor="!/4223/presentation/38106" w:history="1">
        <w:r w:rsidR="00764DD6" w:rsidRPr="00764DD6">
          <w:rPr>
            <w:rFonts w:ascii="BISans" w:eastAsia="BISans" w:hAnsi="BISans" w:cs="Arial"/>
            <w:color w:val="000000"/>
            <w:sz w:val="20"/>
            <w:szCs w:val="20"/>
            <w:lang w:val="en-GB"/>
          </w:rPr>
          <w:t xml:space="preserve">Calkins, H. </w:t>
        </w:r>
        <w:r w:rsidR="00764DD6" w:rsidRPr="00764DD6">
          <w:rPr>
            <w:rFonts w:ascii="BISans" w:eastAsia="BISans" w:hAnsi="BISans" w:cs="Arial"/>
            <w:i/>
            <w:color w:val="000000"/>
            <w:sz w:val="20"/>
            <w:szCs w:val="20"/>
            <w:lang w:val="en-GB"/>
          </w:rPr>
          <w:t>et al.</w:t>
        </w:r>
        <w:r w:rsidR="00764DD6" w:rsidRPr="00764DD6">
          <w:rPr>
            <w:rFonts w:ascii="BISans" w:eastAsia="BISans" w:hAnsi="BISans" w:cs="Arial"/>
            <w:color w:val="000000"/>
            <w:sz w:val="20"/>
            <w:szCs w:val="20"/>
            <w:lang w:val="en-GB"/>
          </w:rPr>
          <w:t xml:space="preserve"> </w:t>
        </w:r>
        <w:r w:rsidR="00764DD6" w:rsidRPr="00764DD6">
          <w:rPr>
            <w:rFonts w:ascii="BISans" w:eastAsia="BISans" w:hAnsi="BISans" w:cs="Angsana New"/>
            <w:color w:val="000000"/>
            <w:sz w:val="20"/>
            <w:szCs w:val="20"/>
            <w:lang w:val="en-GB"/>
          </w:rPr>
          <w:t>Safety and Efficacy of Uninterrupted Anticoagulation Wi</w:t>
        </w:r>
        <w:bookmarkStart w:id="0" w:name="_GoBack"/>
        <w:bookmarkEnd w:id="0"/>
        <w:r w:rsidR="00764DD6" w:rsidRPr="00764DD6">
          <w:rPr>
            <w:rFonts w:ascii="BISans" w:eastAsia="BISans" w:hAnsi="BISans" w:cs="Angsana New"/>
            <w:color w:val="000000"/>
            <w:sz w:val="20"/>
            <w:szCs w:val="20"/>
            <w:lang w:val="en-GB"/>
          </w:rPr>
          <w:t xml:space="preserve">th Dabigatran </w:t>
        </w:r>
        <w:proofErr w:type="spellStart"/>
        <w:r w:rsidR="00764DD6" w:rsidRPr="00764DD6">
          <w:rPr>
            <w:rFonts w:ascii="BISans" w:eastAsia="BISans" w:hAnsi="BISans" w:cs="Angsana New"/>
            <w:color w:val="000000"/>
            <w:sz w:val="20"/>
            <w:szCs w:val="20"/>
            <w:lang w:val="en-GB"/>
          </w:rPr>
          <w:t>Etexilate</w:t>
        </w:r>
        <w:proofErr w:type="spellEnd"/>
        <w:r w:rsidR="00764DD6" w:rsidRPr="00764DD6">
          <w:rPr>
            <w:rFonts w:ascii="BISans" w:eastAsia="BISans" w:hAnsi="BISans" w:cs="Angsana New"/>
            <w:color w:val="000000"/>
            <w:sz w:val="20"/>
            <w:szCs w:val="20"/>
            <w:lang w:val="en-GB"/>
          </w:rPr>
          <w:t xml:space="preserve"> Versus Warfarin in Patients Undergoing Catheter Ablation of Atrial Fibrillation: The RE-CIRCUIT Study</w:t>
        </w:r>
      </w:hyperlink>
      <w:r w:rsidR="00764DD6" w:rsidRPr="00764DD6">
        <w:rPr>
          <w:rFonts w:ascii="BISans" w:eastAsia="BISans" w:hAnsi="BISans" w:cs="Arial"/>
          <w:color w:val="000000"/>
          <w:sz w:val="20"/>
          <w:szCs w:val="20"/>
          <w:lang w:val="en-GB"/>
        </w:rPr>
        <w:t xml:space="preserve">. #411-08: Late-Breaking Clinical Trials presentation during the </w:t>
      </w:r>
      <w:r w:rsidR="00764DD6" w:rsidRPr="00764DD6">
        <w:rPr>
          <w:rFonts w:ascii="BISans" w:eastAsia="BISans" w:hAnsi="BISans" w:cs="Angsana New"/>
          <w:color w:val="000000"/>
          <w:sz w:val="20"/>
          <w:szCs w:val="20"/>
          <w:lang w:val="en-GB"/>
        </w:rPr>
        <w:t>American College of Cardiology 66th Annual Scientific Session, Washington, USA.</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en-GB"/>
        </w:rPr>
      </w:pPr>
      <w:r w:rsidRPr="00764DD6">
        <w:rPr>
          <w:rFonts w:ascii="BISans" w:eastAsia="BISans" w:hAnsi="BISans" w:cs="Angsana New"/>
          <w:sz w:val="20"/>
          <w:lang w:val="de-DE"/>
        </w:rPr>
        <w:t xml:space="preserve">Calkins H. </w:t>
      </w:r>
      <w:r w:rsidRPr="00764DD6">
        <w:rPr>
          <w:rFonts w:ascii="BISans" w:eastAsia="BISans" w:hAnsi="BISans" w:cs="Angsana New"/>
          <w:i/>
          <w:iCs/>
          <w:sz w:val="20"/>
          <w:lang w:val="de-DE"/>
        </w:rPr>
        <w:t>et al.</w:t>
      </w:r>
      <w:r w:rsidRPr="00764DD6">
        <w:rPr>
          <w:rFonts w:ascii="BISans" w:eastAsia="BISans" w:hAnsi="BISans" w:cs="Angsana New"/>
          <w:sz w:val="20"/>
          <w:lang w:val="de-DE"/>
        </w:rPr>
        <w:t xml:space="preserve"> </w:t>
      </w:r>
      <w:proofErr w:type="spellStart"/>
      <w:r w:rsidRPr="00764DD6">
        <w:rPr>
          <w:rFonts w:ascii="BISans" w:eastAsia="BISans" w:hAnsi="BISans" w:cs="Angsana New"/>
          <w:sz w:val="20"/>
          <w:lang w:val="de-DE"/>
        </w:rPr>
        <w:t>Uninterrupted</w:t>
      </w:r>
      <w:proofErr w:type="spellEnd"/>
      <w:r w:rsidRPr="00764DD6">
        <w:rPr>
          <w:rFonts w:ascii="BISans" w:eastAsia="BISans" w:hAnsi="BISans" w:cs="Angsana New"/>
          <w:sz w:val="20"/>
          <w:lang w:val="de-DE"/>
        </w:rPr>
        <w:t xml:space="preserve"> Dabigatran versus </w:t>
      </w:r>
      <w:proofErr w:type="spellStart"/>
      <w:r w:rsidRPr="00764DD6">
        <w:rPr>
          <w:rFonts w:ascii="BISans" w:eastAsia="BISans" w:hAnsi="BISans" w:cs="Angsana New"/>
          <w:sz w:val="20"/>
          <w:lang w:val="de-DE"/>
        </w:rPr>
        <w:t>Warfarin</w:t>
      </w:r>
      <w:proofErr w:type="spellEnd"/>
      <w:r w:rsidRPr="00764DD6">
        <w:rPr>
          <w:rFonts w:ascii="BISans" w:eastAsia="BISans" w:hAnsi="BISans" w:cs="Angsana New"/>
          <w:sz w:val="20"/>
          <w:lang w:val="de-DE"/>
        </w:rPr>
        <w:t xml:space="preserve"> </w:t>
      </w:r>
      <w:proofErr w:type="spellStart"/>
      <w:r w:rsidRPr="00764DD6">
        <w:rPr>
          <w:rFonts w:ascii="BISans" w:eastAsia="BISans" w:hAnsi="BISans" w:cs="Angsana New"/>
          <w:sz w:val="20"/>
          <w:lang w:val="de-DE"/>
        </w:rPr>
        <w:t>for</w:t>
      </w:r>
      <w:proofErr w:type="spellEnd"/>
      <w:r w:rsidRPr="00764DD6">
        <w:rPr>
          <w:rFonts w:ascii="BISans" w:eastAsia="BISans" w:hAnsi="BISans" w:cs="Angsana New"/>
          <w:sz w:val="20"/>
          <w:lang w:val="de-DE"/>
        </w:rPr>
        <w:t xml:space="preserve"> Ablation in </w:t>
      </w:r>
      <w:proofErr w:type="spellStart"/>
      <w:r w:rsidRPr="00764DD6">
        <w:rPr>
          <w:rFonts w:ascii="BISans" w:eastAsia="BISans" w:hAnsi="BISans" w:cs="Angsana New"/>
          <w:sz w:val="20"/>
          <w:lang w:val="de-DE"/>
        </w:rPr>
        <w:t>Atrial</w:t>
      </w:r>
      <w:proofErr w:type="spellEnd"/>
      <w:r w:rsidRPr="00764DD6">
        <w:rPr>
          <w:rFonts w:ascii="BISans" w:eastAsia="BISans" w:hAnsi="BISans" w:cs="Angsana New"/>
          <w:sz w:val="20"/>
          <w:lang w:val="de-DE"/>
        </w:rPr>
        <w:t xml:space="preserve"> </w:t>
      </w:r>
      <w:proofErr w:type="spellStart"/>
      <w:r w:rsidRPr="00764DD6">
        <w:rPr>
          <w:rFonts w:ascii="BISans" w:eastAsia="BISans" w:hAnsi="BISans" w:cs="Angsana New"/>
          <w:sz w:val="20"/>
          <w:lang w:val="de-DE"/>
        </w:rPr>
        <w:t>Fibrillation</w:t>
      </w:r>
      <w:proofErr w:type="spellEnd"/>
      <w:r w:rsidRPr="00764DD6">
        <w:rPr>
          <w:rFonts w:ascii="BISans" w:eastAsia="BISans" w:hAnsi="BISans" w:cs="Angsana New"/>
          <w:sz w:val="20"/>
          <w:lang w:val="de-DE"/>
        </w:rPr>
        <w:t xml:space="preserve">. </w:t>
      </w:r>
      <w:r w:rsidRPr="00764DD6">
        <w:rPr>
          <w:rFonts w:ascii="BISans" w:eastAsia="BISans" w:hAnsi="BISans" w:cs="Angsana New"/>
          <w:i/>
          <w:iCs/>
          <w:sz w:val="20"/>
          <w:lang w:val="de-DE"/>
        </w:rPr>
        <w:t>NEJM</w:t>
      </w:r>
      <w:r w:rsidRPr="00764DD6">
        <w:rPr>
          <w:rFonts w:ascii="BISans" w:eastAsia="BISans" w:hAnsi="BISans" w:cs="Angsana New"/>
          <w:sz w:val="20"/>
          <w:lang w:val="de-DE"/>
        </w:rPr>
        <w:t>. 2017. DOI: 10.1056/NEJMoa1701005</w:t>
      </w:r>
      <w:r w:rsidRPr="00764DD6">
        <w:rPr>
          <w:rFonts w:ascii="BISans" w:eastAsia="BISans" w:hAnsi="BISans" w:cs="Arial"/>
          <w:color w:val="000000"/>
          <w:sz w:val="20"/>
          <w:szCs w:val="20"/>
          <w:lang w:val="en-GB"/>
        </w:rPr>
        <w:t>.</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en-GB"/>
        </w:rPr>
      </w:pPr>
      <w:proofErr w:type="spellStart"/>
      <w:r w:rsidRPr="00764DD6">
        <w:rPr>
          <w:rFonts w:ascii="BISans" w:eastAsia="BISans" w:hAnsi="BISans" w:cs="Arial"/>
          <w:color w:val="000000"/>
          <w:sz w:val="20"/>
          <w:szCs w:val="20"/>
          <w:lang w:val="en-GB"/>
        </w:rPr>
        <w:t>Auricchio</w:t>
      </w:r>
      <w:proofErr w:type="spellEnd"/>
      <w:r w:rsidRPr="00764DD6">
        <w:rPr>
          <w:rFonts w:ascii="BISans" w:eastAsia="BISans" w:hAnsi="BISans" w:cs="Arial"/>
          <w:color w:val="000000"/>
          <w:sz w:val="20"/>
          <w:szCs w:val="20"/>
          <w:lang w:val="en-GB"/>
        </w:rPr>
        <w:t xml:space="preserve"> A. </w:t>
      </w:r>
      <w:r w:rsidRPr="00764DD6">
        <w:rPr>
          <w:rFonts w:ascii="BISans" w:eastAsia="BISans" w:hAnsi="BISans" w:cs="Arial"/>
          <w:i/>
          <w:color w:val="000000"/>
          <w:sz w:val="20"/>
          <w:szCs w:val="20"/>
          <w:lang w:val="en-GB"/>
        </w:rPr>
        <w:t>et al.</w:t>
      </w:r>
      <w:r w:rsidRPr="00764DD6">
        <w:rPr>
          <w:rFonts w:ascii="BISans" w:eastAsia="BISans" w:hAnsi="BISans" w:cs="Arial"/>
          <w:color w:val="000000"/>
          <w:sz w:val="20"/>
          <w:szCs w:val="20"/>
          <w:lang w:val="en-GB"/>
        </w:rPr>
        <w:t xml:space="preserve"> The </w:t>
      </w:r>
      <w:proofErr w:type="gramStart"/>
      <w:r w:rsidRPr="00764DD6">
        <w:rPr>
          <w:rFonts w:ascii="BISans" w:eastAsia="BISans" w:hAnsi="BISans" w:cs="Arial"/>
          <w:color w:val="000000"/>
          <w:sz w:val="20"/>
          <w:szCs w:val="20"/>
          <w:lang w:val="en-GB"/>
        </w:rPr>
        <w:t>Current Status</w:t>
      </w:r>
      <w:proofErr w:type="gramEnd"/>
      <w:r w:rsidRPr="00764DD6">
        <w:rPr>
          <w:rFonts w:ascii="BISans" w:eastAsia="BISans" w:hAnsi="BISans" w:cs="Arial"/>
          <w:color w:val="000000"/>
          <w:sz w:val="20"/>
          <w:szCs w:val="20"/>
          <w:lang w:val="en-GB"/>
        </w:rPr>
        <w:t xml:space="preserve"> of Cardiac Electrophysiology in ESC Member Countries. The EHRA White Book 2013. Available at: http://www.escardio.org/static_file/Escardio/Press-media/press-releases/2013/ehra-white-book-2013.pdf. Last accessed April 2015.</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de-DE"/>
        </w:rPr>
      </w:pPr>
      <w:r w:rsidRPr="00764DD6">
        <w:rPr>
          <w:rFonts w:ascii="BISans" w:eastAsia="BISans" w:hAnsi="BISans" w:cs="Arial"/>
          <w:color w:val="000000"/>
          <w:sz w:val="20"/>
          <w:szCs w:val="20"/>
          <w:lang w:val="de-DE"/>
        </w:rPr>
        <w:t>JRCAC Data Center 2013.</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en-GB"/>
        </w:rPr>
      </w:pPr>
      <w:r w:rsidRPr="00764DD6">
        <w:rPr>
          <w:rFonts w:ascii="BISans" w:eastAsia="BISans" w:hAnsi="BISans" w:cs="Arial"/>
          <w:color w:val="000000"/>
          <w:sz w:val="20"/>
          <w:szCs w:val="20"/>
          <w:lang w:val="en-GB"/>
        </w:rPr>
        <w:t xml:space="preserve">O’Connor E, </w:t>
      </w:r>
      <w:proofErr w:type="spellStart"/>
      <w:r w:rsidRPr="00764DD6">
        <w:rPr>
          <w:rFonts w:ascii="BISans" w:eastAsia="BISans" w:hAnsi="BISans" w:cs="Arial"/>
          <w:color w:val="000000"/>
          <w:sz w:val="20"/>
          <w:szCs w:val="20"/>
          <w:lang w:val="en-GB"/>
        </w:rPr>
        <w:t>Minihan</w:t>
      </w:r>
      <w:proofErr w:type="spellEnd"/>
      <w:r w:rsidRPr="00764DD6">
        <w:rPr>
          <w:rFonts w:ascii="BISans" w:eastAsia="BISans" w:hAnsi="BISans" w:cs="Arial"/>
          <w:color w:val="000000"/>
          <w:sz w:val="20"/>
          <w:szCs w:val="20"/>
          <w:lang w:val="en-GB"/>
        </w:rPr>
        <w:t xml:space="preserve"> D. </w:t>
      </w:r>
      <w:proofErr w:type="spellStart"/>
      <w:r w:rsidRPr="00764DD6">
        <w:rPr>
          <w:rFonts w:ascii="BISans" w:eastAsia="BISans" w:hAnsi="BISans" w:cs="Arial"/>
          <w:color w:val="000000"/>
          <w:sz w:val="20"/>
          <w:szCs w:val="20"/>
          <w:lang w:val="en-GB"/>
        </w:rPr>
        <w:t>Cardium</w:t>
      </w:r>
      <w:proofErr w:type="spellEnd"/>
      <w:r w:rsidRPr="00764DD6">
        <w:rPr>
          <w:rFonts w:ascii="BISans" w:eastAsia="BISans" w:hAnsi="BISans" w:cs="Arial"/>
          <w:color w:val="000000"/>
          <w:sz w:val="20"/>
          <w:szCs w:val="20"/>
          <w:lang w:val="en-GB"/>
        </w:rPr>
        <w:t xml:space="preserve"> Study: Atrial Fibrillation, Decision Resources, February 2013.</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de-DE"/>
        </w:rPr>
      </w:pPr>
      <w:r w:rsidRPr="00764DD6">
        <w:rPr>
          <w:rFonts w:ascii="BISans" w:eastAsia="BISans" w:hAnsi="BISans" w:cs="Arial"/>
          <w:color w:val="000000"/>
          <w:sz w:val="20"/>
          <w:szCs w:val="20"/>
          <w:lang w:val="da-DK"/>
        </w:rPr>
        <w:t xml:space="preserve">Lloyd-Jones DM. </w:t>
      </w:r>
      <w:r w:rsidRPr="00764DD6">
        <w:rPr>
          <w:rFonts w:ascii="BISans" w:eastAsia="BISans" w:hAnsi="BISans" w:cs="Arial"/>
          <w:i/>
          <w:color w:val="000000"/>
          <w:sz w:val="20"/>
          <w:szCs w:val="20"/>
          <w:lang w:val="da-DK"/>
        </w:rPr>
        <w:t>et al.</w:t>
      </w:r>
      <w:r w:rsidRPr="00764DD6">
        <w:rPr>
          <w:rFonts w:ascii="BISans" w:eastAsia="BISans" w:hAnsi="BISans" w:cs="Arial"/>
          <w:color w:val="000000"/>
          <w:sz w:val="20"/>
          <w:szCs w:val="20"/>
          <w:lang w:val="da-DK"/>
        </w:rPr>
        <w:t xml:space="preserve"> </w:t>
      </w:r>
      <w:r w:rsidRPr="00764DD6">
        <w:rPr>
          <w:rFonts w:ascii="BISans" w:eastAsia="BISans" w:hAnsi="BISans" w:cs="Arial"/>
          <w:color w:val="000000"/>
          <w:sz w:val="20"/>
          <w:szCs w:val="20"/>
          <w:lang w:val="en-GB"/>
        </w:rPr>
        <w:t xml:space="preserve">Lifetime risk for development of atrial fibrillation: the Framingham Heart Study. </w:t>
      </w:r>
      <w:proofErr w:type="spellStart"/>
      <w:r w:rsidRPr="00764DD6">
        <w:rPr>
          <w:rFonts w:ascii="BISans" w:eastAsia="BISans" w:hAnsi="BISans" w:cs="Arial"/>
          <w:i/>
          <w:color w:val="000000"/>
          <w:sz w:val="20"/>
          <w:szCs w:val="20"/>
          <w:lang w:val="de-DE"/>
        </w:rPr>
        <w:t>Circulation</w:t>
      </w:r>
      <w:proofErr w:type="spellEnd"/>
      <w:r w:rsidRPr="00764DD6">
        <w:rPr>
          <w:rFonts w:ascii="BISans" w:eastAsia="BISans" w:hAnsi="BISans" w:cs="Arial"/>
          <w:color w:val="000000"/>
          <w:sz w:val="20"/>
          <w:szCs w:val="20"/>
          <w:lang w:val="de-DE"/>
        </w:rPr>
        <w:t>. 2004;</w:t>
      </w:r>
      <w:r w:rsidRPr="00764DD6">
        <w:rPr>
          <w:rFonts w:ascii="BISans" w:eastAsia="BISans" w:hAnsi="BISans" w:cs="Arial"/>
          <w:b/>
          <w:color w:val="000000"/>
          <w:sz w:val="20"/>
          <w:szCs w:val="20"/>
          <w:lang w:val="de-DE"/>
        </w:rPr>
        <w:t>110</w:t>
      </w:r>
      <w:r w:rsidRPr="00764DD6">
        <w:rPr>
          <w:rFonts w:ascii="BISans" w:eastAsia="BISans" w:hAnsi="BISans" w:cs="Arial"/>
          <w:color w:val="000000"/>
          <w:sz w:val="20"/>
          <w:szCs w:val="20"/>
          <w:lang w:val="de-DE"/>
        </w:rPr>
        <w:t>(9):1042-46.</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en-GB"/>
        </w:rPr>
      </w:pPr>
      <w:r w:rsidRPr="00764DD6">
        <w:rPr>
          <w:rFonts w:ascii="BISans" w:eastAsia="BISans" w:hAnsi="BISans" w:cs="Arial"/>
          <w:color w:val="000000"/>
          <w:sz w:val="20"/>
          <w:szCs w:val="20"/>
          <w:lang w:val="en-GB"/>
        </w:rPr>
        <w:t xml:space="preserve">Mayo Clinic. </w:t>
      </w:r>
      <w:hyperlink r:id="rId13" w:history="1">
        <w:r w:rsidRPr="00764DD6">
          <w:rPr>
            <w:rFonts w:ascii="BISans" w:eastAsia="BISans" w:hAnsi="BISans" w:cs="Arial"/>
            <w:color w:val="000000"/>
            <w:sz w:val="20"/>
            <w:szCs w:val="20"/>
            <w:lang w:val="en-GB"/>
          </w:rPr>
          <w:t>Catheter ablation to isolate the pulmonary veins to treat atrial fibrillation</w:t>
        </w:r>
      </w:hyperlink>
      <w:r w:rsidRPr="00764DD6">
        <w:rPr>
          <w:rFonts w:ascii="BISans" w:eastAsia="BISans" w:hAnsi="BISans" w:cs="Arial"/>
          <w:color w:val="000000"/>
          <w:sz w:val="20"/>
          <w:szCs w:val="20"/>
          <w:lang w:val="en-GB"/>
        </w:rPr>
        <w:t xml:space="preserve">. </w:t>
      </w:r>
      <w:r w:rsidRPr="00764DD6">
        <w:rPr>
          <w:rFonts w:ascii="BISans" w:eastAsia="BISans" w:hAnsi="BISans" w:cs="Arial"/>
          <w:sz w:val="20"/>
          <w:szCs w:val="20"/>
          <w:lang w:val="en-GB"/>
        </w:rPr>
        <w:t>http://www.mayoclinic.org/diseases-conditions/atrial-fibrillation/multimedia/img-20096441May</w:t>
      </w:r>
      <w:r w:rsidRPr="00764DD6">
        <w:rPr>
          <w:rFonts w:ascii="BISans" w:eastAsia="BISans" w:hAnsi="BISans" w:cs="Arial"/>
          <w:color w:val="000000"/>
          <w:sz w:val="20"/>
          <w:szCs w:val="20"/>
          <w:lang w:val="en-GB"/>
        </w:rPr>
        <w:t xml:space="preserve"> Last accessed March 2017.</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en-GB"/>
        </w:rPr>
      </w:pPr>
      <w:proofErr w:type="spellStart"/>
      <w:r w:rsidRPr="00764DD6">
        <w:rPr>
          <w:rFonts w:ascii="BISans" w:eastAsia="BISans" w:hAnsi="BISans" w:cs="Arial"/>
          <w:color w:val="000000"/>
          <w:sz w:val="20"/>
          <w:szCs w:val="20"/>
          <w:lang w:val="en-GB"/>
        </w:rPr>
        <w:t>Kirchhof</w:t>
      </w:r>
      <w:proofErr w:type="spellEnd"/>
      <w:r w:rsidRPr="00764DD6">
        <w:rPr>
          <w:rFonts w:ascii="BISans" w:eastAsia="BISans" w:hAnsi="BISans" w:cs="Arial"/>
          <w:color w:val="000000"/>
          <w:sz w:val="20"/>
          <w:szCs w:val="20"/>
          <w:lang w:val="en-GB"/>
        </w:rPr>
        <w:t xml:space="preserve"> P. </w:t>
      </w:r>
      <w:r w:rsidRPr="00764DD6">
        <w:rPr>
          <w:rFonts w:ascii="BISans" w:eastAsia="BISans" w:hAnsi="BISans" w:cs="Arial"/>
          <w:i/>
          <w:color w:val="000000"/>
          <w:sz w:val="20"/>
          <w:szCs w:val="20"/>
          <w:lang w:val="en-GB"/>
        </w:rPr>
        <w:t>et al.</w:t>
      </w:r>
      <w:r w:rsidRPr="00764DD6">
        <w:rPr>
          <w:rFonts w:ascii="BISans" w:eastAsia="BISans" w:hAnsi="BISans" w:cs="Arial"/>
          <w:color w:val="000000"/>
          <w:sz w:val="20"/>
          <w:szCs w:val="20"/>
          <w:lang w:val="en-GB"/>
        </w:rPr>
        <w:t xml:space="preserve"> 2016 ESC Guidelines for the management of atrial fibrillation developed in collaboration with EACTS. </w:t>
      </w:r>
      <w:proofErr w:type="spellStart"/>
      <w:r w:rsidRPr="00764DD6">
        <w:rPr>
          <w:rFonts w:ascii="BISans" w:eastAsia="BISans" w:hAnsi="BISans" w:cs="Arial"/>
          <w:i/>
          <w:color w:val="000000"/>
          <w:sz w:val="20"/>
          <w:szCs w:val="20"/>
          <w:lang w:val="de-DE"/>
        </w:rPr>
        <w:t>Europace</w:t>
      </w:r>
      <w:proofErr w:type="spellEnd"/>
      <w:r w:rsidRPr="00764DD6">
        <w:rPr>
          <w:rFonts w:ascii="BISans" w:eastAsia="BISans" w:hAnsi="BISans" w:cs="Arial"/>
          <w:i/>
          <w:color w:val="000000"/>
          <w:sz w:val="20"/>
          <w:szCs w:val="20"/>
          <w:lang w:val="de-DE"/>
        </w:rPr>
        <w:t>.</w:t>
      </w:r>
      <w:r w:rsidRPr="00764DD6">
        <w:rPr>
          <w:rFonts w:ascii="BISans" w:eastAsia="BISans" w:hAnsi="BISans" w:cs="Arial"/>
          <w:color w:val="000000"/>
          <w:sz w:val="20"/>
          <w:szCs w:val="20"/>
          <w:lang w:val="en-GB"/>
        </w:rPr>
        <w:t xml:space="preserve"> </w:t>
      </w:r>
      <w:r w:rsidRPr="00764DD6">
        <w:rPr>
          <w:rFonts w:ascii="BISans" w:eastAsia="BISans" w:hAnsi="BISans" w:cs="Arial"/>
          <w:color w:val="000000"/>
          <w:sz w:val="20"/>
          <w:szCs w:val="20"/>
          <w:lang w:val="de-DE"/>
        </w:rPr>
        <w:t>2016;</w:t>
      </w:r>
      <w:r w:rsidRPr="00764DD6">
        <w:rPr>
          <w:rFonts w:ascii="BISans" w:eastAsia="BISans" w:hAnsi="BISans" w:cs="Arial"/>
          <w:b/>
          <w:color w:val="000000"/>
          <w:sz w:val="20"/>
          <w:szCs w:val="20"/>
          <w:lang w:val="de-DE"/>
        </w:rPr>
        <w:t>18</w:t>
      </w:r>
      <w:r w:rsidRPr="00764DD6">
        <w:rPr>
          <w:rFonts w:ascii="BISans" w:eastAsia="BISans" w:hAnsi="BISans" w:cs="Arial"/>
          <w:color w:val="000000"/>
          <w:sz w:val="20"/>
          <w:szCs w:val="20"/>
          <w:lang w:val="de-DE"/>
        </w:rPr>
        <w:t>(11):1609–78.</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en-GB"/>
        </w:rPr>
      </w:pPr>
      <w:r w:rsidRPr="00764DD6">
        <w:rPr>
          <w:rFonts w:ascii="BISans" w:eastAsia="BISans" w:hAnsi="BISans" w:cs="Arial"/>
          <w:color w:val="000000"/>
          <w:sz w:val="20"/>
          <w:szCs w:val="20"/>
          <w:lang w:val="en-GB"/>
        </w:rPr>
        <w:t xml:space="preserve">Calkins H. </w:t>
      </w:r>
      <w:r w:rsidRPr="00764DD6">
        <w:rPr>
          <w:rFonts w:ascii="BISans" w:eastAsia="BISans" w:hAnsi="BISans" w:cs="Arial"/>
          <w:i/>
          <w:color w:val="000000"/>
          <w:sz w:val="20"/>
          <w:szCs w:val="20"/>
          <w:lang w:val="en-GB"/>
        </w:rPr>
        <w:t>et al</w:t>
      </w:r>
      <w:r w:rsidRPr="00764DD6">
        <w:rPr>
          <w:rFonts w:ascii="BISans" w:eastAsia="BISans" w:hAnsi="BISans" w:cs="Arial"/>
          <w:color w:val="000000"/>
          <w:sz w:val="20"/>
          <w:szCs w:val="20"/>
          <w:lang w:val="en-GB"/>
        </w:rPr>
        <w:t xml:space="preserve">. 2012 HRS/EHRA/ECAS Expert Consensus Statement on Catheter and Surgical Ablation of Atrial Fibrillation: Recommendations for Patient Selection, Procedural Techniques, Patient Management and Follow-up, Definitions, Endpoints, and Research Trial Design: A report of the Heart Rhythm Society (HRS) Task Force on Catheter and Surgical Ablation of Atrial Fibrillation. </w:t>
      </w:r>
      <w:proofErr w:type="spellStart"/>
      <w:r w:rsidRPr="00764DD6">
        <w:rPr>
          <w:rFonts w:ascii="BISans" w:eastAsia="BISans" w:hAnsi="BISans" w:cs="Arial"/>
          <w:i/>
          <w:color w:val="000000"/>
          <w:sz w:val="20"/>
          <w:szCs w:val="20"/>
          <w:lang w:val="en-GB"/>
        </w:rPr>
        <w:t>Europace</w:t>
      </w:r>
      <w:proofErr w:type="spellEnd"/>
      <w:r w:rsidRPr="00764DD6">
        <w:rPr>
          <w:rFonts w:ascii="BISans" w:eastAsia="BISans" w:hAnsi="BISans" w:cs="Arial"/>
          <w:i/>
          <w:color w:val="000000"/>
          <w:sz w:val="20"/>
          <w:szCs w:val="20"/>
          <w:lang w:val="en-GB"/>
        </w:rPr>
        <w:t>.</w:t>
      </w:r>
      <w:r w:rsidRPr="00764DD6">
        <w:rPr>
          <w:rFonts w:ascii="BISans" w:eastAsia="BISans" w:hAnsi="BISans" w:cs="Arial"/>
          <w:color w:val="000000"/>
          <w:sz w:val="20"/>
          <w:szCs w:val="20"/>
          <w:lang w:val="en-GB"/>
        </w:rPr>
        <w:t xml:space="preserve"> 2012;</w:t>
      </w:r>
      <w:r w:rsidRPr="00764DD6">
        <w:rPr>
          <w:rFonts w:ascii="BISans" w:eastAsia="BISans" w:hAnsi="BISans" w:cs="Arial"/>
          <w:b/>
          <w:color w:val="000000"/>
          <w:sz w:val="20"/>
          <w:szCs w:val="20"/>
          <w:lang w:val="en-GB"/>
        </w:rPr>
        <w:t>14</w:t>
      </w:r>
      <w:r w:rsidRPr="00764DD6">
        <w:rPr>
          <w:rFonts w:ascii="BISans" w:eastAsia="BISans" w:hAnsi="BISans" w:cs="Arial"/>
          <w:color w:val="000000"/>
          <w:sz w:val="20"/>
          <w:szCs w:val="20"/>
          <w:lang w:val="en-GB"/>
        </w:rPr>
        <w:t xml:space="preserve">(4):528–606. </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en-GB"/>
        </w:rPr>
      </w:pPr>
      <w:proofErr w:type="spellStart"/>
      <w:r w:rsidRPr="00764DD6">
        <w:rPr>
          <w:rFonts w:ascii="BISans" w:eastAsia="BISans" w:hAnsi="BISans" w:cs="Arial"/>
          <w:color w:val="000000"/>
          <w:sz w:val="20"/>
          <w:szCs w:val="20"/>
          <w:lang w:val="en-GB"/>
        </w:rPr>
        <w:t>Weitz</w:t>
      </w:r>
      <w:proofErr w:type="spellEnd"/>
      <w:r w:rsidRPr="00764DD6">
        <w:rPr>
          <w:rFonts w:ascii="BISans" w:eastAsia="BISans" w:hAnsi="BISans" w:cs="Arial"/>
          <w:color w:val="000000"/>
          <w:sz w:val="20"/>
          <w:szCs w:val="20"/>
          <w:lang w:val="en-GB"/>
        </w:rPr>
        <w:t xml:space="preserve"> JI. </w:t>
      </w:r>
      <w:r w:rsidRPr="00764DD6">
        <w:rPr>
          <w:rFonts w:ascii="BISans" w:eastAsia="BISans" w:hAnsi="BISans" w:cs="Arial"/>
          <w:i/>
          <w:color w:val="000000"/>
          <w:sz w:val="20"/>
          <w:szCs w:val="20"/>
          <w:lang w:val="en-GB"/>
        </w:rPr>
        <w:t>et al</w:t>
      </w:r>
      <w:r w:rsidRPr="00764DD6">
        <w:rPr>
          <w:rFonts w:ascii="BISans" w:eastAsia="BISans" w:hAnsi="BISans" w:cs="Arial"/>
          <w:color w:val="000000"/>
          <w:sz w:val="20"/>
          <w:szCs w:val="20"/>
          <w:lang w:val="en-GB"/>
        </w:rPr>
        <w:t xml:space="preserve">. Periprocedural Management of New Oral Anticoagulants in Patients Undergoing Atrial Fibrillation Ablation. </w:t>
      </w:r>
      <w:r w:rsidRPr="00764DD6">
        <w:rPr>
          <w:rFonts w:ascii="BISans" w:eastAsia="BISans" w:hAnsi="BISans" w:cs="Arial"/>
          <w:i/>
          <w:color w:val="000000"/>
          <w:sz w:val="20"/>
          <w:szCs w:val="20"/>
          <w:lang w:val="en-GB"/>
        </w:rPr>
        <w:t>Circulation</w:t>
      </w:r>
      <w:r w:rsidRPr="00764DD6">
        <w:rPr>
          <w:rFonts w:ascii="BISans" w:eastAsia="BISans" w:hAnsi="BISans" w:cs="Arial"/>
          <w:color w:val="000000"/>
          <w:sz w:val="20"/>
          <w:szCs w:val="20"/>
          <w:lang w:val="en-GB"/>
        </w:rPr>
        <w:t xml:space="preserve">. </w:t>
      </w:r>
      <w:proofErr w:type="gramStart"/>
      <w:r w:rsidRPr="00764DD6">
        <w:rPr>
          <w:rFonts w:ascii="BISans" w:eastAsia="BISans" w:hAnsi="BISans" w:cs="Arial"/>
          <w:color w:val="000000"/>
          <w:sz w:val="20"/>
          <w:szCs w:val="20"/>
          <w:lang w:val="en-GB"/>
        </w:rPr>
        <w:t>2014;</w:t>
      </w:r>
      <w:r w:rsidRPr="00764DD6">
        <w:rPr>
          <w:rFonts w:ascii="BISans" w:eastAsia="BISans" w:hAnsi="BISans" w:cs="Arial"/>
          <w:b/>
          <w:color w:val="000000"/>
          <w:sz w:val="20"/>
          <w:szCs w:val="20"/>
          <w:lang w:val="en-GB"/>
        </w:rPr>
        <w:t>129</w:t>
      </w:r>
      <w:r w:rsidRPr="00764DD6">
        <w:rPr>
          <w:rFonts w:ascii="BISans" w:eastAsia="BISans" w:hAnsi="BISans" w:cs="Arial"/>
          <w:color w:val="000000"/>
          <w:sz w:val="20"/>
          <w:szCs w:val="20"/>
          <w:lang w:val="en-GB"/>
        </w:rPr>
        <w:t>:1688</w:t>
      </w:r>
      <w:proofErr w:type="gramEnd"/>
      <w:r w:rsidRPr="00764DD6">
        <w:rPr>
          <w:rFonts w:ascii="BISans" w:eastAsia="BISans" w:hAnsi="BISans" w:cs="Arial"/>
          <w:color w:val="000000"/>
          <w:sz w:val="20"/>
          <w:szCs w:val="20"/>
          <w:lang w:val="en-GB"/>
        </w:rPr>
        <w:t>–94.</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en-GB"/>
        </w:rPr>
      </w:pPr>
      <w:proofErr w:type="spellStart"/>
      <w:r w:rsidRPr="00764DD6">
        <w:rPr>
          <w:rFonts w:ascii="BISans" w:eastAsia="BISans" w:hAnsi="BISans" w:cs="Arial"/>
          <w:color w:val="000000"/>
          <w:sz w:val="20"/>
          <w:szCs w:val="20"/>
          <w:lang w:val="en-GB"/>
        </w:rPr>
        <w:t>Sticherling</w:t>
      </w:r>
      <w:proofErr w:type="spellEnd"/>
      <w:r w:rsidRPr="00764DD6">
        <w:rPr>
          <w:rFonts w:ascii="BISans" w:eastAsia="BISans" w:hAnsi="BISans" w:cs="Arial"/>
          <w:color w:val="000000"/>
          <w:sz w:val="20"/>
          <w:szCs w:val="20"/>
          <w:lang w:val="en-GB"/>
        </w:rPr>
        <w:t xml:space="preserve"> C. </w:t>
      </w:r>
      <w:proofErr w:type="gramStart"/>
      <w:r w:rsidRPr="00764DD6">
        <w:rPr>
          <w:rFonts w:ascii="BISans" w:eastAsia="BISans" w:hAnsi="BISans" w:cs="Arial"/>
          <w:i/>
          <w:color w:val="000000"/>
          <w:sz w:val="20"/>
          <w:szCs w:val="20"/>
          <w:lang w:val="en-GB"/>
        </w:rPr>
        <w:t>et al.</w:t>
      </w:r>
      <w:proofErr w:type="gramEnd"/>
      <w:r w:rsidRPr="00764DD6">
        <w:rPr>
          <w:rFonts w:ascii="BISans" w:eastAsia="BISans" w:hAnsi="BISans" w:cs="Arial"/>
          <w:color w:val="000000"/>
          <w:sz w:val="20"/>
          <w:szCs w:val="20"/>
          <w:lang w:val="en-GB"/>
        </w:rPr>
        <w:t xml:space="preserve"> Antithrombotic management in patients undergoing electrophysiological procedures: a European Heart Rhythm Association (EHRA) position document endorsed by the ESC Working Group Thrombosis, Heart Rhythm Society (HRS), and Asia Pacific Heart Rhythm Society (APHRS). </w:t>
      </w:r>
      <w:proofErr w:type="spellStart"/>
      <w:r w:rsidRPr="00764DD6">
        <w:rPr>
          <w:rFonts w:ascii="BISans" w:eastAsia="BISans" w:hAnsi="BISans" w:cs="Arial"/>
          <w:i/>
          <w:color w:val="000000"/>
          <w:sz w:val="20"/>
          <w:szCs w:val="20"/>
          <w:lang w:val="en-GB"/>
        </w:rPr>
        <w:t>Europace</w:t>
      </w:r>
      <w:proofErr w:type="spellEnd"/>
      <w:r w:rsidRPr="00764DD6">
        <w:rPr>
          <w:rFonts w:ascii="BISans" w:eastAsia="BISans" w:hAnsi="BISans" w:cs="Arial"/>
          <w:i/>
          <w:color w:val="000000"/>
          <w:sz w:val="20"/>
          <w:szCs w:val="20"/>
          <w:lang w:val="en-GB"/>
        </w:rPr>
        <w:t>.</w:t>
      </w:r>
      <w:r w:rsidRPr="00764DD6">
        <w:rPr>
          <w:rFonts w:ascii="BISans" w:eastAsia="BISans" w:hAnsi="BISans" w:cs="Arial"/>
          <w:color w:val="000000"/>
          <w:sz w:val="20"/>
          <w:szCs w:val="20"/>
          <w:lang w:val="en-GB"/>
        </w:rPr>
        <w:t xml:space="preserve"> 2015;</w:t>
      </w:r>
      <w:r w:rsidRPr="00764DD6">
        <w:rPr>
          <w:rFonts w:ascii="BISans" w:eastAsia="BISans" w:hAnsi="BISans" w:cs="Arial"/>
          <w:b/>
          <w:color w:val="000000"/>
          <w:sz w:val="20"/>
          <w:szCs w:val="20"/>
          <w:lang w:val="en-GB"/>
        </w:rPr>
        <w:t>17</w:t>
      </w:r>
      <w:r w:rsidRPr="00764DD6">
        <w:rPr>
          <w:rFonts w:ascii="BISans" w:eastAsia="BISans" w:hAnsi="BISans" w:cs="Arial"/>
          <w:color w:val="000000"/>
          <w:sz w:val="20"/>
          <w:szCs w:val="20"/>
          <w:lang w:val="en-GB"/>
        </w:rPr>
        <w:t>(8):1197–214.</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en-GB"/>
        </w:rPr>
      </w:pPr>
      <w:proofErr w:type="spellStart"/>
      <w:r w:rsidRPr="00764DD6">
        <w:rPr>
          <w:rFonts w:ascii="BISans" w:eastAsia="BISans" w:hAnsi="BISans" w:cs="Arial"/>
          <w:color w:val="000000"/>
          <w:sz w:val="20"/>
          <w:szCs w:val="20"/>
          <w:lang w:val="en-GB"/>
        </w:rPr>
        <w:t>Pradaxa</w:t>
      </w:r>
      <w:proofErr w:type="spellEnd"/>
      <w:r w:rsidRPr="00764DD6">
        <w:rPr>
          <w:rFonts w:ascii="BISans" w:eastAsia="BISans" w:hAnsi="BISans" w:cs="Arial"/>
          <w:color w:val="000000"/>
          <w:sz w:val="20"/>
          <w:szCs w:val="20"/>
          <w:lang w:val="en-GB"/>
        </w:rPr>
        <w:t>® European Summary of Product Characteristics, 2017.</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de-DE"/>
        </w:rPr>
      </w:pPr>
      <w:r w:rsidRPr="00764DD6">
        <w:rPr>
          <w:rFonts w:ascii="BISans" w:eastAsia="BISans" w:hAnsi="BISans" w:cs="Arial"/>
          <w:color w:val="000000"/>
          <w:sz w:val="20"/>
          <w:szCs w:val="20"/>
          <w:lang w:val="de-DE"/>
        </w:rPr>
        <w:t xml:space="preserve">PRADAXA US </w:t>
      </w:r>
      <w:proofErr w:type="spellStart"/>
      <w:r w:rsidRPr="00764DD6">
        <w:rPr>
          <w:rFonts w:ascii="BISans" w:eastAsia="BISans" w:hAnsi="BISans" w:cs="Arial"/>
          <w:color w:val="000000"/>
          <w:sz w:val="20"/>
          <w:szCs w:val="20"/>
          <w:lang w:val="de-DE"/>
        </w:rPr>
        <w:t>Prescribing</w:t>
      </w:r>
      <w:proofErr w:type="spellEnd"/>
      <w:r w:rsidRPr="00764DD6">
        <w:rPr>
          <w:rFonts w:ascii="BISans" w:eastAsia="BISans" w:hAnsi="BISans" w:cs="Arial"/>
          <w:color w:val="000000"/>
          <w:sz w:val="20"/>
          <w:szCs w:val="20"/>
          <w:lang w:val="de-DE"/>
        </w:rPr>
        <w:t xml:space="preserve"> Information, 2014.</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en-GB"/>
        </w:rPr>
      </w:pPr>
      <w:proofErr w:type="spellStart"/>
      <w:r w:rsidRPr="00764DD6">
        <w:rPr>
          <w:rFonts w:ascii="BISans" w:eastAsia="BISans" w:hAnsi="BISans" w:cs="Arial"/>
          <w:color w:val="000000"/>
          <w:sz w:val="20"/>
          <w:szCs w:val="20"/>
          <w:lang w:val="en-GB"/>
        </w:rPr>
        <w:lastRenderedPageBreak/>
        <w:t>Praxbind</w:t>
      </w:r>
      <w:proofErr w:type="spellEnd"/>
      <w:r w:rsidRPr="00764DD6">
        <w:rPr>
          <w:rFonts w:ascii="BISans" w:eastAsia="BISans" w:hAnsi="BISans" w:cs="Arial"/>
          <w:color w:val="000000"/>
          <w:sz w:val="20"/>
          <w:szCs w:val="20"/>
          <w:lang w:val="en-GB"/>
        </w:rPr>
        <w:t>® European Summary of Product Characteristics, 2016.</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de-DE"/>
        </w:rPr>
      </w:pPr>
      <w:r w:rsidRPr="00764DD6">
        <w:rPr>
          <w:rFonts w:ascii="BISans" w:eastAsia="BISans" w:hAnsi="BISans" w:cs="Arial"/>
          <w:color w:val="000000"/>
          <w:sz w:val="20"/>
          <w:szCs w:val="20"/>
          <w:lang w:val="de-DE"/>
        </w:rPr>
        <w:t xml:space="preserve">PRAXBIND US </w:t>
      </w:r>
      <w:proofErr w:type="spellStart"/>
      <w:r w:rsidRPr="00764DD6">
        <w:rPr>
          <w:rFonts w:ascii="BISans" w:eastAsia="BISans" w:hAnsi="BISans" w:cs="Arial"/>
          <w:color w:val="000000"/>
          <w:sz w:val="20"/>
          <w:szCs w:val="20"/>
          <w:lang w:val="de-DE"/>
        </w:rPr>
        <w:t>Prescribing</w:t>
      </w:r>
      <w:proofErr w:type="spellEnd"/>
      <w:r w:rsidRPr="00764DD6">
        <w:rPr>
          <w:rFonts w:ascii="BISans" w:eastAsia="BISans" w:hAnsi="BISans" w:cs="Arial"/>
          <w:color w:val="000000"/>
          <w:sz w:val="20"/>
          <w:szCs w:val="20"/>
          <w:lang w:val="de-DE"/>
        </w:rPr>
        <w:t xml:space="preserve"> Information, 2015.</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nb-NO"/>
        </w:rPr>
      </w:pPr>
      <w:r w:rsidRPr="00764DD6">
        <w:rPr>
          <w:rFonts w:ascii="BISans" w:eastAsia="BISans" w:hAnsi="BISans" w:cs="Arial"/>
          <w:color w:val="000000"/>
          <w:sz w:val="20"/>
          <w:szCs w:val="20"/>
          <w:lang w:val="nb-NO"/>
        </w:rPr>
        <w:t>Boehringer Ingelheim Data on File.</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de-DE"/>
        </w:rPr>
      </w:pPr>
      <w:proofErr w:type="spellStart"/>
      <w:r w:rsidRPr="00764DD6">
        <w:rPr>
          <w:rFonts w:ascii="BISans" w:eastAsia="BISans" w:hAnsi="BISans" w:cs="Arial"/>
          <w:color w:val="000000"/>
          <w:sz w:val="20"/>
          <w:szCs w:val="20"/>
          <w:lang w:val="en-GB"/>
        </w:rPr>
        <w:t>Stangier</w:t>
      </w:r>
      <w:proofErr w:type="spellEnd"/>
      <w:r w:rsidRPr="00764DD6">
        <w:rPr>
          <w:rFonts w:ascii="BISans" w:eastAsia="BISans" w:hAnsi="BISans" w:cs="Arial"/>
          <w:color w:val="000000"/>
          <w:sz w:val="20"/>
          <w:szCs w:val="20"/>
          <w:lang w:val="en-GB"/>
        </w:rPr>
        <w:t xml:space="preserve"> J. Clinical pharmacokinetics and pharmacodynamics of the oral direct thrombin inhibitor dabigatran </w:t>
      </w:r>
      <w:proofErr w:type="spellStart"/>
      <w:r w:rsidRPr="00764DD6">
        <w:rPr>
          <w:rFonts w:ascii="BISans" w:eastAsia="BISans" w:hAnsi="BISans" w:cs="Arial"/>
          <w:color w:val="000000"/>
          <w:sz w:val="20"/>
          <w:szCs w:val="20"/>
          <w:lang w:val="en-GB"/>
        </w:rPr>
        <w:t>etexilate</w:t>
      </w:r>
      <w:proofErr w:type="spellEnd"/>
      <w:r w:rsidRPr="00764DD6">
        <w:rPr>
          <w:rFonts w:ascii="BISans" w:eastAsia="BISans" w:hAnsi="BISans" w:cs="Arial"/>
          <w:color w:val="000000"/>
          <w:sz w:val="20"/>
          <w:szCs w:val="20"/>
          <w:lang w:val="en-GB"/>
        </w:rPr>
        <w:t xml:space="preserve">. </w:t>
      </w:r>
      <w:r w:rsidRPr="00764DD6">
        <w:rPr>
          <w:rFonts w:ascii="BISans" w:eastAsia="BISans" w:hAnsi="BISans" w:cs="Arial"/>
          <w:color w:val="000000"/>
          <w:sz w:val="20"/>
          <w:szCs w:val="20"/>
          <w:lang w:val="de-DE"/>
        </w:rPr>
        <w:t xml:space="preserve">Clin </w:t>
      </w:r>
      <w:proofErr w:type="spellStart"/>
      <w:r w:rsidRPr="00764DD6">
        <w:rPr>
          <w:rFonts w:ascii="BISans" w:eastAsia="BISans" w:hAnsi="BISans" w:cs="Arial"/>
          <w:color w:val="000000"/>
          <w:sz w:val="20"/>
          <w:szCs w:val="20"/>
          <w:lang w:val="de-DE"/>
        </w:rPr>
        <w:t>Pharmacokinet</w:t>
      </w:r>
      <w:proofErr w:type="spellEnd"/>
      <w:r w:rsidRPr="00764DD6">
        <w:rPr>
          <w:rFonts w:ascii="BISans" w:eastAsia="BISans" w:hAnsi="BISans" w:cs="Arial"/>
          <w:color w:val="000000"/>
          <w:sz w:val="20"/>
          <w:szCs w:val="20"/>
          <w:lang w:val="de-DE"/>
        </w:rPr>
        <w:t>. 2008;</w:t>
      </w:r>
      <w:r w:rsidRPr="00764DD6">
        <w:rPr>
          <w:rFonts w:ascii="BISans" w:eastAsia="BISans" w:hAnsi="BISans" w:cs="Arial"/>
          <w:b/>
          <w:color w:val="000000"/>
          <w:sz w:val="20"/>
          <w:szCs w:val="20"/>
          <w:lang w:val="de-DE"/>
        </w:rPr>
        <w:t>47</w:t>
      </w:r>
      <w:r w:rsidRPr="00764DD6">
        <w:rPr>
          <w:rFonts w:ascii="BISans" w:eastAsia="BISans" w:hAnsi="BISans" w:cs="Arial"/>
          <w:color w:val="000000"/>
          <w:sz w:val="20"/>
          <w:szCs w:val="20"/>
          <w:lang w:val="de-DE"/>
        </w:rPr>
        <w:t>(5):285–95.</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en-GB"/>
        </w:rPr>
      </w:pPr>
      <w:r w:rsidRPr="00764DD6">
        <w:rPr>
          <w:rFonts w:ascii="BISans" w:eastAsia="BISans" w:hAnsi="BISans" w:cs="Arial"/>
          <w:color w:val="000000"/>
          <w:sz w:val="20"/>
          <w:szCs w:val="20"/>
        </w:rPr>
        <w:t xml:space="preserve">Di Nisio M. </w:t>
      </w:r>
      <w:r w:rsidRPr="00764DD6">
        <w:rPr>
          <w:rFonts w:ascii="BISans" w:eastAsia="BISans" w:hAnsi="BISans" w:cs="Arial"/>
          <w:i/>
          <w:color w:val="000000"/>
          <w:sz w:val="20"/>
          <w:szCs w:val="20"/>
        </w:rPr>
        <w:t>et al.</w:t>
      </w:r>
      <w:r w:rsidRPr="00764DD6">
        <w:rPr>
          <w:rFonts w:ascii="BISans" w:eastAsia="BISans" w:hAnsi="BISans" w:cs="Arial"/>
          <w:color w:val="000000"/>
          <w:sz w:val="20"/>
          <w:szCs w:val="20"/>
        </w:rPr>
        <w:t xml:space="preserve"> </w:t>
      </w:r>
      <w:r w:rsidRPr="00764DD6">
        <w:rPr>
          <w:rFonts w:ascii="BISans" w:eastAsia="BISans" w:hAnsi="BISans" w:cs="Arial"/>
          <w:color w:val="000000"/>
          <w:sz w:val="20"/>
          <w:szCs w:val="20"/>
          <w:lang w:val="en-GB"/>
        </w:rPr>
        <w:t xml:space="preserve">Direct thrombin inhibitors. </w:t>
      </w:r>
      <w:r w:rsidRPr="00764DD6">
        <w:rPr>
          <w:rFonts w:ascii="BISans" w:eastAsia="BISans" w:hAnsi="BISans" w:cs="Arial"/>
          <w:i/>
          <w:color w:val="000000"/>
          <w:sz w:val="20"/>
          <w:szCs w:val="20"/>
          <w:lang w:val="en-GB"/>
        </w:rPr>
        <w:t xml:space="preserve">N </w:t>
      </w:r>
      <w:proofErr w:type="spellStart"/>
      <w:r w:rsidRPr="00764DD6">
        <w:rPr>
          <w:rFonts w:ascii="BISans" w:eastAsia="BISans" w:hAnsi="BISans" w:cs="Arial"/>
          <w:i/>
          <w:color w:val="000000"/>
          <w:sz w:val="20"/>
          <w:szCs w:val="20"/>
          <w:lang w:val="en-GB"/>
        </w:rPr>
        <w:t>Engl</w:t>
      </w:r>
      <w:proofErr w:type="spellEnd"/>
      <w:r w:rsidRPr="00764DD6">
        <w:rPr>
          <w:rFonts w:ascii="BISans" w:eastAsia="BISans" w:hAnsi="BISans" w:cs="Arial"/>
          <w:i/>
          <w:color w:val="000000"/>
          <w:sz w:val="20"/>
          <w:szCs w:val="20"/>
          <w:lang w:val="en-GB"/>
        </w:rPr>
        <w:t xml:space="preserve"> J Med</w:t>
      </w:r>
      <w:r w:rsidRPr="00764DD6">
        <w:rPr>
          <w:rFonts w:ascii="BISans" w:eastAsia="BISans" w:hAnsi="BISans" w:cs="Arial"/>
          <w:color w:val="000000"/>
          <w:sz w:val="20"/>
          <w:szCs w:val="20"/>
          <w:lang w:val="en-GB"/>
        </w:rPr>
        <w:t xml:space="preserve">. </w:t>
      </w:r>
      <w:proofErr w:type="gramStart"/>
      <w:r w:rsidRPr="00764DD6">
        <w:rPr>
          <w:rFonts w:ascii="BISans" w:eastAsia="BISans" w:hAnsi="BISans" w:cs="Arial"/>
          <w:color w:val="000000"/>
          <w:sz w:val="20"/>
          <w:szCs w:val="20"/>
          <w:lang w:val="en-GB"/>
        </w:rPr>
        <w:t>2005;</w:t>
      </w:r>
      <w:r w:rsidRPr="00764DD6">
        <w:rPr>
          <w:rFonts w:ascii="BISans" w:eastAsia="BISans" w:hAnsi="BISans" w:cs="Arial"/>
          <w:b/>
          <w:color w:val="000000"/>
          <w:sz w:val="20"/>
          <w:szCs w:val="20"/>
          <w:lang w:val="en-GB"/>
        </w:rPr>
        <w:t>353</w:t>
      </w:r>
      <w:r w:rsidRPr="00764DD6">
        <w:rPr>
          <w:rFonts w:ascii="BISans" w:eastAsia="BISans" w:hAnsi="BISans" w:cs="Arial"/>
          <w:color w:val="000000"/>
          <w:sz w:val="20"/>
          <w:szCs w:val="20"/>
          <w:lang w:val="en-GB"/>
        </w:rPr>
        <w:t>:1028</w:t>
      </w:r>
      <w:proofErr w:type="gramEnd"/>
      <w:r w:rsidRPr="00764DD6">
        <w:rPr>
          <w:rFonts w:ascii="BISans" w:eastAsia="BISans" w:hAnsi="BISans" w:cs="Arial"/>
          <w:color w:val="000000"/>
          <w:sz w:val="20"/>
          <w:szCs w:val="20"/>
          <w:lang w:val="en-GB"/>
        </w:rPr>
        <w:t>–40.</w:t>
      </w:r>
    </w:p>
    <w:p w:rsidR="00764DD6" w:rsidRPr="00764DD6" w:rsidRDefault="00764DD6" w:rsidP="00764DD6">
      <w:pPr>
        <w:numPr>
          <w:ilvl w:val="0"/>
          <w:numId w:val="9"/>
        </w:numPr>
        <w:spacing w:after="0" w:line="264" w:lineRule="auto"/>
        <w:ind w:left="425" w:hanging="425"/>
        <w:jc w:val="both"/>
        <w:textAlignment w:val="baseline"/>
        <w:rPr>
          <w:rFonts w:ascii="BISans" w:eastAsia="BISans" w:hAnsi="BISans" w:cs="Arial"/>
          <w:color w:val="000000"/>
          <w:sz w:val="20"/>
          <w:szCs w:val="20"/>
          <w:lang w:val="en-GB"/>
        </w:rPr>
      </w:pPr>
      <w:proofErr w:type="spellStart"/>
      <w:r w:rsidRPr="00764DD6">
        <w:rPr>
          <w:rFonts w:ascii="BISans" w:eastAsia="BISans" w:hAnsi="BISans" w:cs="Arial"/>
          <w:color w:val="000000"/>
          <w:sz w:val="20"/>
          <w:szCs w:val="20"/>
          <w:lang w:val="en-GB"/>
        </w:rPr>
        <w:t>Stangier</w:t>
      </w:r>
      <w:proofErr w:type="spellEnd"/>
      <w:r w:rsidRPr="00764DD6">
        <w:rPr>
          <w:rFonts w:ascii="BISans" w:eastAsia="BISans" w:hAnsi="BISans" w:cs="Arial"/>
          <w:color w:val="000000"/>
          <w:sz w:val="20"/>
          <w:szCs w:val="20"/>
          <w:lang w:val="en-GB"/>
        </w:rPr>
        <w:t xml:space="preserve"> J. </w:t>
      </w:r>
      <w:proofErr w:type="gramStart"/>
      <w:r w:rsidRPr="00764DD6">
        <w:rPr>
          <w:rFonts w:ascii="BISans" w:eastAsia="BISans" w:hAnsi="BISans" w:cs="Arial"/>
          <w:i/>
          <w:color w:val="000000"/>
          <w:sz w:val="20"/>
          <w:szCs w:val="20"/>
          <w:lang w:val="en-GB"/>
        </w:rPr>
        <w:t>et al</w:t>
      </w:r>
      <w:r w:rsidRPr="00764DD6">
        <w:rPr>
          <w:rFonts w:ascii="BISans" w:eastAsia="BISans" w:hAnsi="BISans" w:cs="Arial"/>
          <w:color w:val="000000"/>
          <w:sz w:val="20"/>
          <w:szCs w:val="20"/>
          <w:lang w:val="en-GB"/>
        </w:rPr>
        <w:t>.</w:t>
      </w:r>
      <w:proofErr w:type="gramEnd"/>
      <w:r w:rsidRPr="00764DD6">
        <w:rPr>
          <w:rFonts w:ascii="BISans" w:eastAsia="BISans" w:hAnsi="BISans" w:cs="Arial"/>
          <w:color w:val="000000"/>
          <w:sz w:val="20"/>
          <w:szCs w:val="20"/>
          <w:lang w:val="en-GB"/>
        </w:rPr>
        <w:t xml:space="preserve"> Pharmacokinetic Profile of the Oral Direct Thrombin Inhibitor Dabigatran </w:t>
      </w:r>
      <w:proofErr w:type="spellStart"/>
      <w:r w:rsidRPr="00764DD6">
        <w:rPr>
          <w:rFonts w:ascii="BISans" w:eastAsia="BISans" w:hAnsi="BISans" w:cs="Arial"/>
          <w:color w:val="000000"/>
          <w:sz w:val="20"/>
          <w:szCs w:val="20"/>
          <w:lang w:val="en-GB"/>
        </w:rPr>
        <w:t>Etexilate</w:t>
      </w:r>
      <w:proofErr w:type="spellEnd"/>
      <w:r w:rsidRPr="00764DD6">
        <w:rPr>
          <w:rFonts w:ascii="BISans" w:eastAsia="BISans" w:hAnsi="BISans" w:cs="Arial"/>
          <w:color w:val="000000"/>
          <w:sz w:val="20"/>
          <w:szCs w:val="20"/>
          <w:lang w:val="en-GB"/>
        </w:rPr>
        <w:t xml:space="preserve"> in Healthy Volunteers and Patients Undergoing Total Hip Replacement. </w:t>
      </w:r>
      <w:r w:rsidRPr="00764DD6">
        <w:rPr>
          <w:rFonts w:ascii="BISans" w:eastAsia="BISans" w:hAnsi="BISans" w:cs="Arial"/>
          <w:i/>
          <w:color w:val="000000"/>
          <w:sz w:val="20"/>
          <w:szCs w:val="20"/>
          <w:lang w:val="en-GB"/>
        </w:rPr>
        <w:t xml:space="preserve">J Clin </w:t>
      </w:r>
      <w:proofErr w:type="spellStart"/>
      <w:r w:rsidRPr="00764DD6">
        <w:rPr>
          <w:rFonts w:ascii="BISans" w:eastAsia="BISans" w:hAnsi="BISans" w:cs="Arial"/>
          <w:i/>
          <w:color w:val="000000"/>
          <w:sz w:val="20"/>
          <w:szCs w:val="20"/>
          <w:lang w:val="en-GB"/>
        </w:rPr>
        <w:t>Pharmacol</w:t>
      </w:r>
      <w:proofErr w:type="spellEnd"/>
      <w:r w:rsidRPr="00764DD6">
        <w:rPr>
          <w:rFonts w:ascii="BISans" w:eastAsia="BISans" w:hAnsi="BISans" w:cs="Arial"/>
          <w:color w:val="000000"/>
          <w:sz w:val="20"/>
          <w:szCs w:val="20"/>
          <w:lang w:val="en-GB"/>
        </w:rPr>
        <w:t xml:space="preserve">. </w:t>
      </w:r>
      <w:proofErr w:type="gramStart"/>
      <w:r w:rsidRPr="00764DD6">
        <w:rPr>
          <w:rFonts w:ascii="BISans" w:eastAsia="BISans" w:hAnsi="BISans" w:cs="Arial"/>
          <w:color w:val="000000"/>
          <w:sz w:val="20"/>
          <w:szCs w:val="20"/>
          <w:lang w:val="en-GB"/>
        </w:rPr>
        <w:t>2005;</w:t>
      </w:r>
      <w:r w:rsidRPr="00764DD6">
        <w:rPr>
          <w:rFonts w:ascii="BISans" w:eastAsia="BISans" w:hAnsi="BISans" w:cs="Arial"/>
          <w:b/>
          <w:color w:val="000000"/>
          <w:sz w:val="20"/>
          <w:szCs w:val="20"/>
          <w:lang w:val="en-GB"/>
        </w:rPr>
        <w:t>45</w:t>
      </w:r>
      <w:r w:rsidRPr="00764DD6">
        <w:rPr>
          <w:rFonts w:ascii="BISans" w:eastAsia="BISans" w:hAnsi="BISans" w:cs="Arial"/>
          <w:color w:val="000000"/>
          <w:sz w:val="20"/>
          <w:szCs w:val="20"/>
          <w:lang w:val="en-GB"/>
        </w:rPr>
        <w:t>:555</w:t>
      </w:r>
      <w:proofErr w:type="gramEnd"/>
      <w:r w:rsidRPr="00764DD6">
        <w:rPr>
          <w:rFonts w:ascii="BISans" w:eastAsia="BISans" w:hAnsi="BISans" w:cs="Arial"/>
          <w:color w:val="000000"/>
          <w:sz w:val="20"/>
          <w:szCs w:val="20"/>
          <w:lang w:val="en-GB"/>
        </w:rPr>
        <w:t>–63.</w:t>
      </w:r>
    </w:p>
    <w:p w:rsidR="00764DD6" w:rsidRPr="00764DD6" w:rsidRDefault="00764DD6" w:rsidP="00764DD6">
      <w:pPr>
        <w:spacing w:after="0" w:line="264" w:lineRule="auto"/>
        <w:rPr>
          <w:rFonts w:ascii="BISans" w:eastAsia="BISans" w:hAnsi="BISans" w:cs="Angsana New"/>
          <w:bCs/>
          <w:color w:val="FF0000"/>
          <w:sz w:val="20"/>
          <w:lang w:val="en-US"/>
        </w:rPr>
      </w:pPr>
    </w:p>
    <w:p w:rsidR="00FE51B4" w:rsidRPr="00A20932" w:rsidRDefault="00FE51B4" w:rsidP="00764DD6">
      <w:pPr>
        <w:rPr>
          <w:lang w:val="en-GB"/>
        </w:rPr>
      </w:pPr>
    </w:p>
    <w:sectPr w:rsidR="00FE51B4" w:rsidRPr="00A20932" w:rsidSect="005E2946">
      <w:headerReference w:type="default" r:id="rId14"/>
      <w:footerReference w:type="default" r:id="rId15"/>
      <w:headerReference w:type="first" r:id="rId16"/>
      <w:footerReference w:type="first" r:id="rId17"/>
      <w:footnotePr>
        <w:numFmt w:val="chicago"/>
      </w:footnotePr>
      <w:endnotePr>
        <w:numFmt w:val="decimal"/>
      </w:endnotePr>
      <w:pgSz w:w="11906" w:h="16838"/>
      <w:pgMar w:top="3420" w:right="3969" w:bottom="1530"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3E9" w:rsidRDefault="00B833E9" w:rsidP="00AC7343">
      <w:pPr>
        <w:spacing w:after="0" w:line="240" w:lineRule="auto"/>
      </w:pPr>
      <w:r>
        <w:separator/>
      </w:r>
    </w:p>
  </w:endnote>
  <w:endnote w:type="continuationSeparator" w:id="0">
    <w:p w:rsidR="00B833E9" w:rsidRDefault="00B833E9" w:rsidP="00AC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ISans">
    <w:altName w:val="Calibri"/>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ISansNEXTCond-Bold">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F50" w:rsidRPr="00977337" w:rsidRDefault="00DE5F50">
    <w:pPr>
      <w:pStyle w:val="Pidipagina"/>
    </w:pPr>
    <w:r w:rsidRPr="00977337">
      <w:rPr>
        <w:rFonts w:cs="Arial"/>
        <w:sz w:val="16"/>
        <w:szCs w:val="16"/>
      </w:rPr>
      <w:t xml:space="preserve">Boehringer Ingelheim </w:t>
    </w:r>
    <w:r>
      <w:rPr>
        <w:rFonts w:cs="Arial"/>
        <w:sz w:val="16"/>
        <w:szCs w:val="16"/>
      </w:rPr>
      <w:t>Comunicato Stampa</w:t>
    </w:r>
    <w:r w:rsidRPr="00977337">
      <w:rPr>
        <w:rFonts w:cs="Arial"/>
        <w:sz w:val="16"/>
        <w:szCs w:val="16"/>
      </w:rPr>
      <w:t xml:space="preserve"> pag</w:t>
    </w:r>
    <w:r>
      <w:rPr>
        <w:rFonts w:cs="Arial"/>
        <w:sz w:val="16"/>
        <w:szCs w:val="16"/>
      </w:rPr>
      <w:t>ina</w:t>
    </w:r>
    <w:r w:rsidRPr="00977337">
      <w:rPr>
        <w:rFonts w:cs="Arial"/>
        <w:sz w:val="16"/>
        <w:szCs w:val="16"/>
      </w:rPr>
      <w:t xml:space="preserve"> </w:t>
    </w:r>
    <w:r w:rsidRPr="00977337">
      <w:rPr>
        <w:rFonts w:cs="Arial"/>
        <w:sz w:val="16"/>
        <w:szCs w:val="16"/>
      </w:rPr>
      <w:fldChar w:fldCharType="begin"/>
    </w:r>
    <w:r w:rsidRPr="00977337">
      <w:rPr>
        <w:rFonts w:cs="Arial"/>
        <w:sz w:val="16"/>
        <w:szCs w:val="16"/>
      </w:rPr>
      <w:instrText xml:space="preserve"> PAGE </w:instrText>
    </w:r>
    <w:r w:rsidRPr="00977337">
      <w:rPr>
        <w:rFonts w:cs="Arial"/>
        <w:sz w:val="16"/>
        <w:szCs w:val="16"/>
      </w:rPr>
      <w:fldChar w:fldCharType="separate"/>
    </w:r>
    <w:r w:rsidR="00A20932">
      <w:rPr>
        <w:rFonts w:cs="Arial"/>
        <w:noProof/>
        <w:sz w:val="16"/>
        <w:szCs w:val="16"/>
      </w:rPr>
      <w:t>7</w:t>
    </w:r>
    <w:r w:rsidRPr="00977337">
      <w:rPr>
        <w:rFonts w:cs="Arial"/>
        <w:sz w:val="16"/>
        <w:szCs w:val="16"/>
      </w:rPr>
      <w:fldChar w:fldCharType="end"/>
    </w:r>
    <w:r w:rsidRPr="00977337">
      <w:rPr>
        <w:rFonts w:cs="Arial"/>
        <w:sz w:val="16"/>
        <w:szCs w:val="16"/>
      </w:rPr>
      <w:t xml:space="preserve"> </w:t>
    </w:r>
    <w:r>
      <w:rPr>
        <w:rFonts w:cs="Arial"/>
        <w:sz w:val="16"/>
        <w:szCs w:val="16"/>
      </w:rPr>
      <w:t>di</w:t>
    </w:r>
    <w:r w:rsidRPr="00977337">
      <w:rPr>
        <w:rFonts w:cs="Arial"/>
        <w:sz w:val="16"/>
        <w:szCs w:val="16"/>
      </w:rPr>
      <w:t xml:space="preserve"> </w:t>
    </w:r>
    <w:r w:rsidRPr="00977337">
      <w:rPr>
        <w:rFonts w:cs="Arial"/>
        <w:sz w:val="16"/>
        <w:szCs w:val="16"/>
      </w:rPr>
      <w:fldChar w:fldCharType="begin"/>
    </w:r>
    <w:r w:rsidRPr="00977337">
      <w:rPr>
        <w:rFonts w:cs="Arial"/>
        <w:sz w:val="16"/>
        <w:szCs w:val="16"/>
      </w:rPr>
      <w:instrText xml:space="preserve"> NUMPAGES  </w:instrText>
    </w:r>
    <w:r w:rsidRPr="00977337">
      <w:rPr>
        <w:rFonts w:cs="Arial"/>
        <w:sz w:val="16"/>
        <w:szCs w:val="16"/>
      </w:rPr>
      <w:fldChar w:fldCharType="separate"/>
    </w:r>
    <w:r w:rsidR="00A20932">
      <w:rPr>
        <w:rFonts w:cs="Arial"/>
        <w:noProof/>
        <w:sz w:val="16"/>
        <w:szCs w:val="16"/>
      </w:rPr>
      <w:t>7</w:t>
    </w:r>
    <w:r w:rsidRPr="00977337">
      <w:rPr>
        <w:rFonts w:cs="Arial"/>
        <w:sz w:val="16"/>
        <w:szCs w:val="16"/>
      </w:rPr>
      <w:fldChar w:fldCharType="end"/>
    </w:r>
    <w:r w:rsidRPr="00977337">
      <w:rPr>
        <w:rFonts w:cs="Arial"/>
        <w:color w:val="FF0000"/>
        <w:sz w:val="16"/>
        <w:szCs w:val="16"/>
      </w:rPr>
      <w:t xml:space="preserve"> </w:t>
    </w:r>
    <w:r w:rsidRPr="00977337">
      <w:rPr>
        <w:rFonts w:cs="Arial"/>
        <w:color w:val="FF0000"/>
        <w:sz w:val="16"/>
        <w:szCs w:val="16"/>
      </w:rPr>
      <w:tab/>
    </w:r>
    <w:r w:rsidRPr="00977337">
      <w:rPr>
        <w:rFonts w:cs="Arial"/>
        <w:color w:val="FF000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F50" w:rsidRPr="00977337" w:rsidRDefault="00DE5F50">
    <w:pPr>
      <w:pStyle w:val="Pidipagina"/>
      <w:rPr>
        <w:rFonts w:cs="Arial"/>
        <w:sz w:val="16"/>
        <w:szCs w:val="16"/>
      </w:rPr>
    </w:pPr>
    <w:r>
      <w:rPr>
        <w:rFonts w:cs="Arial"/>
        <w:sz w:val="16"/>
        <w:szCs w:val="16"/>
      </w:rPr>
      <w:t>Boehringer Ingelheim Comunicato Stampa</w:t>
    </w:r>
    <w:r w:rsidRPr="00977337">
      <w:rPr>
        <w:rFonts w:cs="Arial"/>
        <w:sz w:val="16"/>
        <w:szCs w:val="16"/>
      </w:rPr>
      <w:t xml:space="preserve"> pag</w:t>
    </w:r>
    <w:r>
      <w:rPr>
        <w:rFonts w:cs="Arial"/>
        <w:sz w:val="16"/>
        <w:szCs w:val="16"/>
      </w:rPr>
      <w:t>ina</w:t>
    </w:r>
    <w:r w:rsidRPr="00977337">
      <w:rPr>
        <w:rFonts w:cs="Arial"/>
        <w:sz w:val="16"/>
        <w:szCs w:val="16"/>
      </w:rPr>
      <w:t xml:space="preserve"> </w:t>
    </w:r>
    <w:r w:rsidRPr="00977337">
      <w:rPr>
        <w:rFonts w:cs="Arial"/>
        <w:sz w:val="16"/>
        <w:szCs w:val="16"/>
      </w:rPr>
      <w:fldChar w:fldCharType="begin"/>
    </w:r>
    <w:r w:rsidRPr="00977337">
      <w:rPr>
        <w:rFonts w:cs="Arial"/>
        <w:sz w:val="16"/>
        <w:szCs w:val="16"/>
      </w:rPr>
      <w:instrText xml:space="preserve"> PAGE </w:instrText>
    </w:r>
    <w:r w:rsidRPr="00977337">
      <w:rPr>
        <w:rFonts w:cs="Arial"/>
        <w:sz w:val="16"/>
        <w:szCs w:val="16"/>
      </w:rPr>
      <w:fldChar w:fldCharType="separate"/>
    </w:r>
    <w:r w:rsidR="00A20932">
      <w:rPr>
        <w:rFonts w:cs="Arial"/>
        <w:noProof/>
        <w:sz w:val="16"/>
        <w:szCs w:val="16"/>
      </w:rPr>
      <w:t>1</w:t>
    </w:r>
    <w:r w:rsidRPr="00977337">
      <w:rPr>
        <w:rFonts w:cs="Arial"/>
        <w:sz w:val="16"/>
        <w:szCs w:val="16"/>
      </w:rPr>
      <w:fldChar w:fldCharType="end"/>
    </w:r>
    <w:r w:rsidRPr="00977337">
      <w:rPr>
        <w:rFonts w:cs="Arial"/>
        <w:sz w:val="16"/>
        <w:szCs w:val="16"/>
      </w:rPr>
      <w:t xml:space="preserve"> </w:t>
    </w:r>
    <w:r>
      <w:rPr>
        <w:rFonts w:cs="Arial"/>
        <w:sz w:val="16"/>
        <w:szCs w:val="16"/>
      </w:rPr>
      <w:t>di</w:t>
    </w:r>
    <w:r w:rsidRPr="00977337">
      <w:rPr>
        <w:rFonts w:cs="Arial"/>
        <w:sz w:val="16"/>
        <w:szCs w:val="16"/>
      </w:rPr>
      <w:t xml:space="preserve"> </w:t>
    </w:r>
    <w:r w:rsidRPr="00977337">
      <w:rPr>
        <w:rFonts w:cs="Arial"/>
        <w:sz w:val="16"/>
        <w:szCs w:val="16"/>
      </w:rPr>
      <w:fldChar w:fldCharType="begin"/>
    </w:r>
    <w:r w:rsidRPr="00977337">
      <w:rPr>
        <w:rFonts w:cs="Arial"/>
        <w:sz w:val="16"/>
        <w:szCs w:val="16"/>
      </w:rPr>
      <w:instrText xml:space="preserve"> NUMPAGES  </w:instrText>
    </w:r>
    <w:r w:rsidRPr="00977337">
      <w:rPr>
        <w:rFonts w:cs="Arial"/>
        <w:sz w:val="16"/>
        <w:szCs w:val="16"/>
      </w:rPr>
      <w:fldChar w:fldCharType="separate"/>
    </w:r>
    <w:r w:rsidR="00A20932">
      <w:rPr>
        <w:rFonts w:cs="Arial"/>
        <w:noProof/>
        <w:sz w:val="16"/>
        <w:szCs w:val="16"/>
      </w:rPr>
      <w:t>7</w:t>
    </w:r>
    <w:r w:rsidRPr="00977337">
      <w:rPr>
        <w:rFonts w:cs="Arial"/>
        <w:sz w:val="16"/>
        <w:szCs w:val="16"/>
      </w:rPr>
      <w:fldChar w:fldCharType="end"/>
    </w:r>
    <w:r w:rsidRPr="00977337">
      <w:rPr>
        <w:rFonts w:cs="Arial"/>
        <w:sz w:val="16"/>
        <w:szCs w:val="16"/>
      </w:rPr>
      <w:tab/>
    </w:r>
    <w:r w:rsidRPr="00977337">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3E9" w:rsidRDefault="00B833E9" w:rsidP="00AC7343">
      <w:pPr>
        <w:spacing w:after="0" w:line="240" w:lineRule="auto"/>
      </w:pPr>
      <w:r>
        <w:separator/>
      </w:r>
    </w:p>
  </w:footnote>
  <w:footnote w:type="continuationSeparator" w:id="0">
    <w:p w:rsidR="00B833E9" w:rsidRDefault="00B833E9" w:rsidP="00AC73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F50" w:rsidRDefault="009F6C9F">
    <w:pPr>
      <w:pStyle w:val="Intestazione"/>
    </w:pPr>
    <w:r>
      <w:rPr>
        <w:noProof/>
        <w:lang w:eastAsia="it-IT"/>
      </w:rPr>
      <mc:AlternateContent>
        <mc:Choice Requires="wps">
          <w:drawing>
            <wp:anchor distT="0" distB="0" distL="114300" distR="114300" simplePos="0" relativeHeight="251654656" behindDoc="0" locked="0" layoutInCell="1" allowOverlap="1">
              <wp:simplePos x="0" y="0"/>
              <wp:positionH relativeFrom="column">
                <wp:posOffset>-550545</wp:posOffset>
              </wp:positionH>
              <wp:positionV relativeFrom="paragraph">
                <wp:posOffset>-106680</wp:posOffset>
              </wp:positionV>
              <wp:extent cx="450215" cy="19939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9939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F50" w:rsidRPr="0055412A" w:rsidRDefault="00DE5F50" w:rsidP="005E2946">
                          <w:pPr>
                            <w:spacing w:line="240" w:lineRule="auto"/>
                            <w:jc w:val="center"/>
                            <w:rPr>
                              <w:b/>
                              <w:color w:val="FFFFFF"/>
                              <w:sz w:val="12"/>
                              <w:szCs w:val="14"/>
                            </w:rPr>
                          </w:pPr>
                          <w:r w:rsidRPr="0055412A">
                            <w:rPr>
                              <w:sz w:val="18"/>
                            </w:rPr>
                            <w:fldChar w:fldCharType="begin"/>
                          </w:r>
                          <w:r w:rsidRPr="0055412A">
                            <w:rPr>
                              <w:sz w:val="18"/>
                            </w:rPr>
                            <w:instrText xml:space="preserve"> PAGE  \* Arabic  \* MERGEFORMAT </w:instrText>
                          </w:r>
                          <w:r w:rsidRPr="0055412A">
                            <w:rPr>
                              <w:sz w:val="18"/>
                            </w:rPr>
                            <w:fldChar w:fldCharType="separate"/>
                          </w:r>
                          <w:r w:rsidR="00A20932">
                            <w:rPr>
                              <w:noProof/>
                              <w:sz w:val="18"/>
                            </w:rPr>
                            <w:t>7</w:t>
                          </w:r>
                          <w:r w:rsidRPr="0055412A">
                            <w:rPr>
                              <w:sz w:val="18"/>
                            </w:rPr>
                            <w:fldChar w:fldCharType="end"/>
                          </w:r>
                        </w:p>
                      </w:txbxContent>
                    </wps:txbx>
                    <wps:bodyPr rot="0" vert="horz" wrap="square" lIns="54000" tIns="54000" rIns="54000" bIns="540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3.35pt;margin-top:-8.4pt;width:35.45pt;height:15.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" fillcolor="#036" stroked="f">
              <v:textbox inset="1.5mm,1.5mm,1.5mm,1.5mm">
                <w:txbxContent>
                  <w:p w:rsidR="00DE5F50" w:rsidRPr="0055412A" w:rsidRDefault="00DE5F50" w:rsidP="005E2946">
                    <w:pPr>
                      <w:spacing w:line="240" w:lineRule="auto"/>
                      <w:jc w:val="center"/>
                      <w:rPr>
                        <w:b/>
                        <w:color w:val="FFFFFF"/>
                        <w:sz w:val="12"/>
                        <w:szCs w:val="14"/>
                      </w:rPr>
                    </w:pPr>
                    <w:r w:rsidRPr="0055412A">
                      <w:rPr>
                        <w:sz w:val="18"/>
                      </w:rPr>
                      <w:fldChar w:fldCharType="begin"/>
                    </w:r>
                    <w:r w:rsidRPr="0055412A">
                      <w:rPr>
                        <w:sz w:val="18"/>
                      </w:rPr>
                      <w:instrText xml:space="preserve"> PAGE  \* Arabic  \* MERGEFORMAT </w:instrText>
                    </w:r>
                    <w:r w:rsidRPr="0055412A">
                      <w:rPr>
                        <w:sz w:val="18"/>
                      </w:rPr>
                      <w:fldChar w:fldCharType="separate"/>
                    </w:r>
                    <w:r w:rsidR="00A20932">
                      <w:rPr>
                        <w:noProof/>
                        <w:sz w:val="18"/>
                      </w:rPr>
                      <w:t>7</w:t>
                    </w:r>
                    <w:r w:rsidRPr="0055412A">
                      <w:rPr>
                        <w:sz w:val="18"/>
                      </w:rPr>
                      <w:fldChar w:fldCharType="end"/>
                    </w:r>
                  </w:p>
                </w:txbxContent>
              </v:textbox>
            </v:rect>
          </w:pict>
        </mc:Fallback>
      </mc:AlternateContent>
    </w:r>
    <w:r>
      <w:rPr>
        <w:noProof/>
        <w:lang w:eastAsia="it-IT"/>
      </w:rPr>
      <mc:AlternateContent>
        <mc:Choice Requires="wps">
          <w:drawing>
            <wp:anchor distT="0" distB="0" distL="114300" distR="114300" simplePos="0" relativeHeight="251659776" behindDoc="0" locked="0" layoutInCell="1" allowOverlap="1">
              <wp:simplePos x="0" y="0"/>
              <wp:positionH relativeFrom="page">
                <wp:posOffset>5192395</wp:posOffset>
              </wp:positionH>
              <wp:positionV relativeFrom="page">
                <wp:posOffset>350520</wp:posOffset>
              </wp:positionV>
              <wp:extent cx="2521585" cy="539750"/>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539750"/>
                      </a:xfrm>
                      <a:prstGeom prst="rect">
                        <a:avLst/>
                      </a:prstGeom>
                      <a:solidFill>
                        <a:srgbClr val="FF99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651919">
                                  <a:alpha val="50000"/>
                                </a:srgbClr>
                              </a:outerShdw>
                            </a:effectLst>
                          </a14:hiddenEffects>
                        </a:ext>
                      </a:extLst>
                    </wps:spPr>
                    <wps:txbx>
                      <w:txbxContent>
                        <w:p w:rsidR="00DE5F50" w:rsidRPr="00E90EC2" w:rsidRDefault="00DE5F50" w:rsidP="005E2946">
                          <w:pPr>
                            <w:rPr>
                              <w:rFonts w:cs="Arial"/>
                              <w:b/>
                              <w:color w:val="FFFFFF"/>
                              <w:sz w:val="30"/>
                              <w:szCs w:val="30"/>
                            </w:rPr>
                          </w:pPr>
                          <w:r>
                            <w:rPr>
                              <w:rFonts w:cs="Arial"/>
                              <w:b/>
                              <w:color w:val="FFFFFF"/>
                              <w:sz w:val="30"/>
                              <w:szCs w:val="30"/>
                            </w:rPr>
                            <w:t>Comunicato Stampa</w:t>
                          </w:r>
                        </w:p>
                      </w:txbxContent>
                    </wps:txbx>
                    <wps:bodyPr rot="0" vert="horz" wrap="square" lIns="259200" tIns="180000" rIns="45000" bIns="45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408.85pt;margin-top:27.6pt;width:198.55pt;height:4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" fillcolor="#f90" stroked="f" strokecolor="#f2f2f2" strokeweight="3pt">
              <v:shadow color="#651919" opacity=".5" offset="1pt"/>
              <v:textbox inset="7.2mm,5mm,1.25mm,1.25mm">
                <w:txbxContent>
                  <w:p w:rsidR="00DE5F50" w:rsidRPr="00E90EC2" w:rsidRDefault="00DE5F50" w:rsidP="005E2946">
                    <w:pPr>
                      <w:rPr>
                        <w:rFonts w:cs="Arial"/>
                        <w:b/>
                        <w:color w:val="FFFFFF"/>
                        <w:sz w:val="30"/>
                        <w:szCs w:val="30"/>
                      </w:rPr>
                    </w:pPr>
                    <w:r>
                      <w:rPr>
                        <w:rFonts w:cs="Arial"/>
                        <w:b/>
                        <w:color w:val="FFFFFF"/>
                        <w:sz w:val="30"/>
                        <w:szCs w:val="30"/>
                      </w:rPr>
                      <w:t>Comunicato Stampa</w:t>
                    </w:r>
                  </w:p>
                </w:txbxContent>
              </v:textbox>
              <w10:wrap anchorx="page" anchory="page"/>
            </v:rect>
          </w:pict>
        </mc:Fallback>
      </mc:AlternateContent>
    </w:r>
    <w:r>
      <w:rPr>
        <w:noProof/>
        <w:lang w:eastAsia="it-IT"/>
      </w:rPr>
      <mc:AlternateContent>
        <mc:Choice Requires="wps">
          <w:drawing>
            <wp:anchor distT="4294967291" distB="4294967291" distL="114300" distR="114300" simplePos="0" relativeHeight="251657728" behindDoc="0" locked="0" layoutInCell="1" allowOverlap="1">
              <wp:simplePos x="0" y="0"/>
              <wp:positionH relativeFrom="column">
                <wp:posOffset>-1093470</wp:posOffset>
              </wp:positionH>
              <wp:positionV relativeFrom="paragraph">
                <wp:posOffset>-97791</wp:posOffset>
              </wp:positionV>
              <wp:extent cx="7579995" cy="0"/>
              <wp:effectExtent l="0" t="0" r="1905" b="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FE995A" id="_x0000_t32" coordsize="21600,21600" o:spt="32" o:oned="t" path="m,l21600,21600e" filled="f">
              <v:path arrowok="t" fillok="f" o:connecttype="none"/>
              <o:lock v:ext="edit" shapetype="t"/>
            </v:shapetype>
            <v:shape id="AutoShape 3" o:spid="_x0000_s1026" type="#_x0000_t32" style="position:absolute;margin-left:-86.1pt;margin-top:-7.7pt;width:596.85pt;height:0;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" strokecolor="#f90" strokeweight="1pt"/>
          </w:pict>
        </mc:Fallback>
      </mc:AlternateContent>
    </w:r>
    <w:r>
      <w:rPr>
        <w:noProof/>
        <w:lang w:eastAsia="it-IT"/>
      </w:rPr>
      <mc:AlternateContent>
        <mc:Choice Requires="wps">
          <w:drawing>
            <wp:anchor distT="4294967291" distB="4294967291" distL="114300" distR="114300" simplePos="0" relativeHeight="251656704" behindDoc="0" locked="0" layoutInCell="1" allowOverlap="1">
              <wp:simplePos x="0" y="0"/>
              <wp:positionH relativeFrom="column">
                <wp:posOffset>-1093470</wp:posOffset>
              </wp:positionH>
              <wp:positionV relativeFrom="paragraph">
                <wp:posOffset>92709</wp:posOffset>
              </wp:positionV>
              <wp:extent cx="7579995" cy="0"/>
              <wp:effectExtent l="0" t="0" r="1905" b="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CB548" id="AutoShape 4" o:spid="_x0000_s1026" type="#_x0000_t32" style="position:absolute;margin-left:-86.1pt;margin-top:7.3pt;width:596.85pt;height:0;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" strokecolor="#f90"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F50" w:rsidRPr="0036108C" w:rsidRDefault="009F6C9F">
    <w:pPr>
      <w:pStyle w:val="Intestazione"/>
      <w:rPr>
        <w:lang w:val="en-US"/>
      </w:rPr>
    </w:pPr>
    <w:r>
      <w:rPr>
        <w:noProof/>
        <w:lang w:eastAsia="it-IT"/>
      </w:rPr>
      <mc:AlternateContent>
        <mc:Choice Requires="wps">
          <w:drawing>
            <wp:anchor distT="4294967291" distB="4294967291" distL="114300" distR="114300" simplePos="0" relativeHeight="251660800" behindDoc="0" locked="0" layoutInCell="1" allowOverlap="1">
              <wp:simplePos x="0" y="0"/>
              <wp:positionH relativeFrom="column">
                <wp:posOffset>-1093470</wp:posOffset>
              </wp:positionH>
              <wp:positionV relativeFrom="paragraph">
                <wp:posOffset>1412874</wp:posOffset>
              </wp:positionV>
              <wp:extent cx="7579995" cy="0"/>
              <wp:effectExtent l="0" t="0" r="1905" b="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052988" id="_x0000_t32" coordsize="21600,21600" o:spt="32" o:oned="t" path="m,l21600,21600e" filled="f">
              <v:path arrowok="t" fillok="f" o:connecttype="none"/>
              <o:lock v:ext="edit" shapetype="t"/>
            </v:shapetype>
            <v:shape id="AutoShape 6" o:spid="_x0000_s1026" type="#_x0000_t32" style="position:absolute;margin-left:-86.1pt;margin-top:111.25pt;width:596.85pt;height:0;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" strokecolor="#f90" strokeweight="1pt"/>
          </w:pict>
        </mc:Fallback>
      </mc:AlternateContent>
    </w:r>
    <w:r>
      <w:rPr>
        <w:noProof/>
        <w:lang w:eastAsia="it-IT"/>
      </w:rPr>
      <mc:AlternateContent>
        <mc:Choice Requires="wps">
          <w:drawing>
            <wp:anchor distT="4294967291" distB="4294967291" distL="114300" distR="114300" simplePos="0" relativeHeight="251658752" behindDoc="0" locked="0" layoutInCell="1" allowOverlap="1">
              <wp:simplePos x="0" y="0"/>
              <wp:positionH relativeFrom="column">
                <wp:posOffset>-1080135</wp:posOffset>
              </wp:positionH>
              <wp:positionV relativeFrom="paragraph">
                <wp:posOffset>142874</wp:posOffset>
              </wp:positionV>
              <wp:extent cx="7579995" cy="0"/>
              <wp:effectExtent l="0" t="0" r="1905"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AD01B" id="AutoShape 7" o:spid="_x0000_s1026" type="#_x0000_t32" style="position:absolute;margin-left:-85.05pt;margin-top:11.25pt;width:596.8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" strokecolor="white" strokeweight="1pt"/>
          </w:pict>
        </mc:Fallback>
      </mc:AlternateContent>
    </w:r>
    <w:r>
      <w:rPr>
        <w:noProof/>
        <w:lang w:eastAsia="it-IT"/>
      </w:rPr>
      <mc:AlternateContent>
        <mc:Choice Requires="wps">
          <w:drawing>
            <wp:anchor distT="0" distB="0" distL="114300" distR="114300" simplePos="0" relativeHeight="251653632" behindDoc="0" locked="0" layoutInCell="1" allowOverlap="1">
              <wp:simplePos x="0" y="0"/>
              <wp:positionH relativeFrom="page">
                <wp:posOffset>5039995</wp:posOffset>
              </wp:positionH>
              <wp:positionV relativeFrom="page">
                <wp:posOffset>607695</wp:posOffset>
              </wp:positionV>
              <wp:extent cx="2521585" cy="1259840"/>
              <wp:effectExtent l="0" t="0" r="0"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125984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93A6D" id="Rectangle 10" o:spid="_x0000_s1026" style="position:absolute;margin-left:396.85pt;margin-top:47.85pt;width:198.55pt;height:99.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" fillcolor="#036" stroked="f">
              <w10:wrap anchorx="page" anchory="page"/>
            </v:rect>
          </w:pict>
        </mc:Fallback>
      </mc:AlternateContent>
    </w:r>
    <w:r>
      <w:rPr>
        <w:noProof/>
        <w:lang w:eastAsia="it-IT"/>
      </w:rPr>
      <mc:AlternateContent>
        <mc:Choice Requires="wps">
          <w:drawing>
            <wp:anchor distT="0" distB="0" distL="114300" distR="114300" simplePos="0" relativeHeight="251662848" behindDoc="0" locked="1" layoutInCell="1" allowOverlap="1">
              <wp:simplePos x="0" y="0"/>
              <wp:positionH relativeFrom="page">
                <wp:posOffset>5229225</wp:posOffset>
              </wp:positionH>
              <wp:positionV relativeFrom="page">
                <wp:posOffset>2141855</wp:posOffset>
              </wp:positionV>
              <wp:extent cx="2000250" cy="63912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39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F50" w:rsidRPr="00651BA7" w:rsidRDefault="009F6C9F" w:rsidP="005E2946">
                          <w:r>
                            <w:rPr>
                              <w:noProof/>
                              <w:lang w:eastAsia="it-IT"/>
                            </w:rPr>
                            <w:drawing>
                              <wp:inline distT="0" distB="0" distL="0" distR="0">
                                <wp:extent cx="1784350" cy="114300"/>
                                <wp:effectExtent l="0" t="0" r="0" b="0"/>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84350" cy="114300"/>
                                        </a:xfrm>
                                        <a:prstGeom prst="rect">
                                          <a:avLst/>
                                        </a:prstGeom>
                                        <a:noFill/>
                                        <a:ln>
                                          <a:noFill/>
                                        </a:ln>
                                      </pic:spPr>
                                    </pic:pic>
                                  </a:graphicData>
                                </a:graphic>
                              </wp:inline>
                            </w:drawing>
                          </w:r>
                        </w:p>
                        <w:p w:rsidR="00DE5F50" w:rsidRDefault="009F6C9F" w:rsidP="005E2946">
                          <w:pPr>
                            <w:ind w:left="42"/>
                            <w:rPr>
                              <w:b/>
                              <w:color w:val="003366"/>
                            </w:rPr>
                          </w:pPr>
                          <w:r w:rsidRPr="0067598B">
                            <w:rPr>
                              <w:rFonts w:eastAsia="BISans" w:cs="Angsana New"/>
                              <w:noProof/>
                              <w:lang w:eastAsia="it-IT"/>
                            </w:rPr>
                            <w:drawing>
                              <wp:inline distT="0" distB="0" distL="0" distR="0">
                                <wp:extent cx="1790700" cy="1200150"/>
                                <wp:effectExtent l="0" t="0" r="0" b="0"/>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a:ln>
                                          <a:noFill/>
                                        </a:ln>
                                      </pic:spPr>
                                    </pic:pic>
                                  </a:graphicData>
                                </a:graphic>
                              </wp:inline>
                            </w:drawing>
                          </w:r>
                        </w:p>
                        <w:p w:rsidR="00DE5F50" w:rsidRPr="00956D7E" w:rsidRDefault="00DE5F50" w:rsidP="00A75E18">
                          <w:pPr>
                            <w:spacing w:after="0" w:line="240" w:lineRule="auto"/>
                            <w:rPr>
                              <w:b/>
                              <w:color w:val="003366"/>
                            </w:rPr>
                          </w:pPr>
                          <w:r w:rsidRPr="00956D7E">
                            <w:rPr>
                              <w:b/>
                              <w:color w:val="003366"/>
                            </w:rPr>
                            <w:t>Contatti:</w:t>
                          </w:r>
                        </w:p>
                        <w:p w:rsidR="00DE5F50" w:rsidRPr="00956D7E" w:rsidRDefault="00DE5F50" w:rsidP="00A75E18">
                          <w:pPr>
                            <w:spacing w:after="0" w:line="240" w:lineRule="auto"/>
                            <w:rPr>
                              <w:b/>
                              <w:color w:val="003366"/>
                            </w:rPr>
                          </w:pPr>
                          <w:r w:rsidRPr="00956D7E">
                            <w:rPr>
                              <w:b/>
                              <w:color w:val="003366"/>
                            </w:rPr>
                            <w:t>Boehringer Ingelheim</w:t>
                          </w:r>
                        </w:p>
                        <w:p w:rsidR="00DE5F50" w:rsidRPr="00197380" w:rsidRDefault="00DE5F50" w:rsidP="00A75E18">
                          <w:pPr>
                            <w:spacing w:after="0" w:line="240" w:lineRule="auto"/>
                            <w:rPr>
                              <w:b/>
                              <w:color w:val="003366"/>
                            </w:rPr>
                          </w:pPr>
                          <w:r w:rsidRPr="00197380">
                            <w:rPr>
                              <w:b/>
                              <w:color w:val="003366"/>
                            </w:rPr>
                            <w:t>Comunicazione:</w:t>
                          </w:r>
                        </w:p>
                        <w:p w:rsidR="00DE5F50" w:rsidRPr="00956D7E" w:rsidRDefault="00DE5F50" w:rsidP="00A75E18">
                          <w:pPr>
                            <w:pStyle w:val="Intestazione"/>
                            <w:rPr>
                              <w:b/>
                              <w:color w:val="1F497D"/>
                            </w:rPr>
                          </w:pPr>
                        </w:p>
                        <w:p w:rsidR="00DE5F50" w:rsidRPr="00956D7E" w:rsidRDefault="00DE5F50" w:rsidP="00A75E18">
                          <w:pPr>
                            <w:pStyle w:val="Intestazione"/>
                            <w:jc w:val="both"/>
                          </w:pPr>
                          <w:r w:rsidRPr="00956D7E">
                            <w:t>Marina Guffanti</w:t>
                          </w:r>
                        </w:p>
                        <w:p w:rsidR="00DE5F50" w:rsidRPr="00956D7E" w:rsidRDefault="00DE5F50" w:rsidP="00A75E18">
                          <w:pPr>
                            <w:pStyle w:val="Intestazione"/>
                            <w:jc w:val="both"/>
                            <w:rPr>
                              <w:lang w:val="en-US"/>
                            </w:rPr>
                          </w:pPr>
                          <w:r w:rsidRPr="00956D7E">
                            <w:rPr>
                              <w:lang w:val="en-US"/>
                            </w:rPr>
                            <w:t>Phone: + 39 – 02 5355453</w:t>
                          </w:r>
                        </w:p>
                        <w:p w:rsidR="00DE5F50" w:rsidRPr="00956D7E" w:rsidRDefault="00DE5F50" w:rsidP="00A75E18">
                          <w:pPr>
                            <w:pStyle w:val="Intestazione"/>
                            <w:jc w:val="both"/>
                            <w:rPr>
                              <w:lang w:val="en-US"/>
                            </w:rPr>
                          </w:pPr>
                          <w:r w:rsidRPr="00956D7E">
                            <w:rPr>
                              <w:lang w:val="en-US"/>
                            </w:rPr>
                            <w:t>Cell. +39 348 3995284</w:t>
                          </w:r>
                        </w:p>
                        <w:p w:rsidR="00DE5F50" w:rsidRPr="00956D7E" w:rsidRDefault="00DE5F50" w:rsidP="00A75E18">
                          <w:pPr>
                            <w:pStyle w:val="Intestazione"/>
                            <w:jc w:val="both"/>
                            <w:rPr>
                              <w:lang w:val="en-US"/>
                            </w:rPr>
                          </w:pPr>
                          <w:r w:rsidRPr="00956D7E">
                            <w:rPr>
                              <w:lang w:val="en-US"/>
                            </w:rPr>
                            <w:t>e- mail:</w:t>
                          </w:r>
                        </w:p>
                        <w:p w:rsidR="00DE5F50" w:rsidRDefault="00A20932" w:rsidP="00A75E18">
                          <w:pPr>
                            <w:spacing w:after="0" w:line="240" w:lineRule="auto"/>
                            <w:rPr>
                              <w:lang w:val="en-US"/>
                            </w:rPr>
                          </w:pPr>
                          <w:hyperlink r:id="rId3" w:history="1">
                            <w:r w:rsidR="00DE5F50" w:rsidRPr="009D1A01">
                              <w:rPr>
                                <w:rStyle w:val="Collegamentoipertestuale"/>
                                <w:lang w:val="en-US"/>
                              </w:rPr>
                              <w:t>marina.guffanti@boehringer-ingelheim.com</w:t>
                            </w:r>
                          </w:hyperlink>
                        </w:p>
                        <w:p w:rsidR="00DE5F50" w:rsidRPr="00956D7E" w:rsidRDefault="00DE5F50" w:rsidP="00A75E18">
                          <w:pPr>
                            <w:spacing w:after="0" w:line="240" w:lineRule="auto"/>
                            <w:rPr>
                              <w:lang w:val="en-US"/>
                            </w:rPr>
                          </w:pPr>
                        </w:p>
                        <w:p w:rsidR="00DE5F50" w:rsidRDefault="009F6C9F" w:rsidP="005E2946">
                          <w:r>
                            <w:rPr>
                              <w:noProof/>
                              <w:lang w:eastAsia="it-IT"/>
                            </w:rPr>
                            <w:drawing>
                              <wp:inline distT="0" distB="0" distL="0" distR="0">
                                <wp:extent cx="1797050" cy="114300"/>
                                <wp:effectExtent l="0" t="0" r="0" b="0"/>
                                <wp:docPr id="1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97050" cy="114300"/>
                                        </a:xfrm>
                                        <a:prstGeom prst="rect">
                                          <a:avLst/>
                                        </a:prstGeom>
                                        <a:noFill/>
                                        <a:ln>
                                          <a:noFill/>
                                        </a:ln>
                                      </pic:spPr>
                                    </pic:pic>
                                  </a:graphicData>
                                </a:graphic>
                              </wp:inline>
                            </w:drawing>
                          </w:r>
                          <w:r>
                            <w:rPr>
                              <w:noProof/>
                              <w:lang w:eastAsia="it-IT"/>
                            </w:rPr>
                            <w:drawing>
                              <wp:inline distT="0" distB="0" distL="0" distR="0">
                                <wp:extent cx="1803400" cy="1187450"/>
                                <wp:effectExtent l="0" t="0" r="0" b="0"/>
                                <wp:docPr id="12" name="Picture 62" descr="Home-P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me-Pg-3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3400" cy="1187450"/>
                                        </a:xfrm>
                                        <a:prstGeom prst="rect">
                                          <a:avLst/>
                                        </a:prstGeom>
                                        <a:noFill/>
                                        <a:ln>
                                          <a:noFill/>
                                        </a:ln>
                                      </pic:spPr>
                                    </pic:pic>
                                  </a:graphicData>
                                </a:graphic>
                              </wp:inline>
                            </w:drawing>
                          </w:r>
                        </w:p>
                        <w:p w:rsidR="00DE5F50" w:rsidRPr="00324A83" w:rsidRDefault="00DE5F50" w:rsidP="005E2946">
                          <w:pPr>
                            <w:rPr>
                              <w:b/>
                              <w:color w:val="003366"/>
                            </w:rPr>
                          </w:pPr>
                          <w:r w:rsidRPr="00324A83">
                            <w:rPr>
                              <w:b/>
                              <w:color w:val="003366"/>
                            </w:rPr>
                            <w:t>Per maggiori informazioni</w:t>
                          </w:r>
                        </w:p>
                        <w:p w:rsidR="00DE5F50" w:rsidRPr="00324A83" w:rsidRDefault="00A20932" w:rsidP="005E2946">
                          <w:pPr>
                            <w:spacing w:after="120"/>
                            <w:ind w:left="42"/>
                          </w:pPr>
                          <w:hyperlink r:id="rId5" w:history="1">
                            <w:r w:rsidR="00DE5F50" w:rsidRPr="00324A83">
                              <w:rPr>
                                <w:rStyle w:val="Collegamentoipertestuale"/>
                              </w:rPr>
                              <w:t>www.boehringer-ingelheim.com</w:t>
                            </w:r>
                          </w:hyperlink>
                        </w:p>
                        <w:p w:rsidR="00DE5F50" w:rsidRPr="002C4B3E" w:rsidRDefault="009F6C9F" w:rsidP="005E2946">
                          <w:r>
                            <w:rPr>
                              <w:noProof/>
                              <w:lang w:eastAsia="it-IT"/>
                            </w:rPr>
                            <w:drawing>
                              <wp:inline distT="0" distB="0" distL="0" distR="0">
                                <wp:extent cx="1784350" cy="3683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350" cy="36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411.75pt;margin-top:168.65pt;width:157.5pt;height:503.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" stroked="f">
              <v:textbox>
                <w:txbxContent>
                  <w:p w:rsidR="00DE5F50" w:rsidRPr="00651BA7" w:rsidRDefault="009F6C9F" w:rsidP="005E2946">
                    <w:r>
                      <w:rPr>
                        <w:noProof/>
                        <w:lang w:eastAsia="it-IT"/>
                      </w:rPr>
                      <w:drawing>
                        <wp:inline distT="0" distB="0" distL="0" distR="0">
                          <wp:extent cx="1784350" cy="114300"/>
                          <wp:effectExtent l="0" t="0" r="0" b="0"/>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7">
                                    <a:extLst>
                                      <a:ext uri="{28A0092B-C50C-407E-A947-70E740481C1C}">
                                        <a14:useLocalDpi xmlns:a14="http://schemas.microsoft.com/office/drawing/2010/main" val="0"/>
                                      </a:ext>
                                    </a:extLst>
                                  </a:blip>
                                  <a:srcRect r="45009" b="48810"/>
                                  <a:stretch>
                                    <a:fillRect/>
                                  </a:stretch>
                                </pic:blipFill>
                                <pic:spPr bwMode="auto">
                                  <a:xfrm>
                                    <a:off x="0" y="0"/>
                                    <a:ext cx="1784350" cy="114300"/>
                                  </a:xfrm>
                                  <a:prstGeom prst="rect">
                                    <a:avLst/>
                                  </a:prstGeom>
                                  <a:noFill/>
                                  <a:ln>
                                    <a:noFill/>
                                  </a:ln>
                                </pic:spPr>
                              </pic:pic>
                            </a:graphicData>
                          </a:graphic>
                        </wp:inline>
                      </w:drawing>
                    </w:r>
                  </w:p>
                  <w:p w:rsidR="00DE5F50" w:rsidRDefault="009F6C9F" w:rsidP="005E2946">
                    <w:pPr>
                      <w:ind w:left="42"/>
                      <w:rPr>
                        <w:b/>
                        <w:color w:val="003366"/>
                      </w:rPr>
                    </w:pPr>
                    <w:r w:rsidRPr="0067598B">
                      <w:rPr>
                        <w:rFonts w:eastAsia="BISans" w:cs="Angsana New"/>
                        <w:noProof/>
                        <w:lang w:eastAsia="it-IT"/>
                      </w:rPr>
                      <w:drawing>
                        <wp:inline distT="0" distB="0" distL="0" distR="0">
                          <wp:extent cx="1790700" cy="1200150"/>
                          <wp:effectExtent l="0" t="0" r="0" b="0"/>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a:ln>
                                    <a:noFill/>
                                  </a:ln>
                                </pic:spPr>
                              </pic:pic>
                            </a:graphicData>
                          </a:graphic>
                        </wp:inline>
                      </w:drawing>
                    </w:r>
                  </w:p>
                  <w:p w:rsidR="00DE5F50" w:rsidRPr="00956D7E" w:rsidRDefault="00DE5F50" w:rsidP="00A75E18">
                    <w:pPr>
                      <w:spacing w:after="0" w:line="240" w:lineRule="auto"/>
                      <w:rPr>
                        <w:b/>
                        <w:color w:val="003366"/>
                      </w:rPr>
                    </w:pPr>
                    <w:r w:rsidRPr="00956D7E">
                      <w:rPr>
                        <w:b/>
                        <w:color w:val="003366"/>
                      </w:rPr>
                      <w:t>Contatti:</w:t>
                    </w:r>
                  </w:p>
                  <w:p w:rsidR="00DE5F50" w:rsidRPr="00956D7E" w:rsidRDefault="00DE5F50" w:rsidP="00A75E18">
                    <w:pPr>
                      <w:spacing w:after="0" w:line="240" w:lineRule="auto"/>
                      <w:rPr>
                        <w:b/>
                        <w:color w:val="003366"/>
                      </w:rPr>
                    </w:pPr>
                    <w:r w:rsidRPr="00956D7E">
                      <w:rPr>
                        <w:b/>
                        <w:color w:val="003366"/>
                      </w:rPr>
                      <w:t>Boehringer Ingelheim</w:t>
                    </w:r>
                  </w:p>
                  <w:p w:rsidR="00DE5F50" w:rsidRPr="00197380" w:rsidRDefault="00DE5F50" w:rsidP="00A75E18">
                    <w:pPr>
                      <w:spacing w:after="0" w:line="240" w:lineRule="auto"/>
                      <w:rPr>
                        <w:b/>
                        <w:color w:val="003366"/>
                      </w:rPr>
                    </w:pPr>
                    <w:r w:rsidRPr="00197380">
                      <w:rPr>
                        <w:b/>
                        <w:color w:val="003366"/>
                      </w:rPr>
                      <w:t>Comunicazione:</w:t>
                    </w:r>
                  </w:p>
                  <w:p w:rsidR="00DE5F50" w:rsidRPr="00956D7E" w:rsidRDefault="00DE5F50" w:rsidP="00A75E18">
                    <w:pPr>
                      <w:pStyle w:val="Intestazione"/>
                      <w:rPr>
                        <w:b/>
                        <w:color w:val="1F497D"/>
                      </w:rPr>
                    </w:pPr>
                  </w:p>
                  <w:p w:rsidR="00DE5F50" w:rsidRPr="00956D7E" w:rsidRDefault="00DE5F50" w:rsidP="00A75E18">
                    <w:pPr>
                      <w:pStyle w:val="Intestazione"/>
                      <w:jc w:val="both"/>
                    </w:pPr>
                    <w:r w:rsidRPr="00956D7E">
                      <w:t>Marina Guffanti</w:t>
                    </w:r>
                  </w:p>
                  <w:p w:rsidR="00DE5F50" w:rsidRPr="00956D7E" w:rsidRDefault="00DE5F50" w:rsidP="00A75E18">
                    <w:pPr>
                      <w:pStyle w:val="Intestazione"/>
                      <w:jc w:val="both"/>
                      <w:rPr>
                        <w:lang w:val="en-US"/>
                      </w:rPr>
                    </w:pPr>
                    <w:r w:rsidRPr="00956D7E">
                      <w:rPr>
                        <w:lang w:val="en-US"/>
                      </w:rPr>
                      <w:t>Phone: + 39 – 02 5355453</w:t>
                    </w:r>
                  </w:p>
                  <w:p w:rsidR="00DE5F50" w:rsidRPr="00956D7E" w:rsidRDefault="00DE5F50" w:rsidP="00A75E18">
                    <w:pPr>
                      <w:pStyle w:val="Intestazione"/>
                      <w:jc w:val="both"/>
                      <w:rPr>
                        <w:lang w:val="en-US"/>
                      </w:rPr>
                    </w:pPr>
                    <w:r w:rsidRPr="00956D7E">
                      <w:rPr>
                        <w:lang w:val="en-US"/>
                      </w:rPr>
                      <w:t>Cell. +39 348 3995284</w:t>
                    </w:r>
                  </w:p>
                  <w:p w:rsidR="00DE5F50" w:rsidRPr="00956D7E" w:rsidRDefault="00DE5F50" w:rsidP="00A75E18">
                    <w:pPr>
                      <w:pStyle w:val="Intestazione"/>
                      <w:jc w:val="both"/>
                      <w:rPr>
                        <w:lang w:val="en-US"/>
                      </w:rPr>
                    </w:pPr>
                    <w:r w:rsidRPr="00956D7E">
                      <w:rPr>
                        <w:lang w:val="en-US"/>
                      </w:rPr>
                      <w:t>e- mail:</w:t>
                    </w:r>
                  </w:p>
                  <w:p w:rsidR="00DE5F50" w:rsidRDefault="00764DD6" w:rsidP="00A75E18">
                    <w:pPr>
                      <w:spacing w:after="0" w:line="240" w:lineRule="auto"/>
                      <w:rPr>
                        <w:lang w:val="en-US"/>
                      </w:rPr>
                    </w:pPr>
                    <w:hyperlink r:id="rId9" w:history="1">
                      <w:r w:rsidR="00DE5F50" w:rsidRPr="009D1A01">
                        <w:rPr>
                          <w:rStyle w:val="Collegamentoipertestuale"/>
                          <w:lang w:val="en-US"/>
                        </w:rPr>
                        <w:t>marina.guffanti@boehringer-ingelheim.com</w:t>
                      </w:r>
                    </w:hyperlink>
                  </w:p>
                  <w:p w:rsidR="00DE5F50" w:rsidRPr="00956D7E" w:rsidRDefault="00DE5F50" w:rsidP="00A75E18">
                    <w:pPr>
                      <w:spacing w:after="0" w:line="240" w:lineRule="auto"/>
                      <w:rPr>
                        <w:lang w:val="en-US"/>
                      </w:rPr>
                    </w:pPr>
                  </w:p>
                  <w:p w:rsidR="00DE5F50" w:rsidRDefault="009F6C9F" w:rsidP="005E2946">
                    <w:r>
                      <w:rPr>
                        <w:noProof/>
                        <w:lang w:eastAsia="it-IT"/>
                      </w:rPr>
                      <w:drawing>
                        <wp:inline distT="0" distB="0" distL="0" distR="0">
                          <wp:extent cx="1797050" cy="114300"/>
                          <wp:effectExtent l="0" t="0" r="0" b="0"/>
                          <wp:docPr id="1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7">
                                    <a:extLst>
                                      <a:ext uri="{28A0092B-C50C-407E-A947-70E740481C1C}">
                                        <a14:useLocalDpi xmlns:a14="http://schemas.microsoft.com/office/drawing/2010/main" val="0"/>
                                      </a:ext>
                                    </a:extLst>
                                  </a:blip>
                                  <a:srcRect r="45009" b="48810"/>
                                  <a:stretch>
                                    <a:fillRect/>
                                  </a:stretch>
                                </pic:blipFill>
                                <pic:spPr bwMode="auto">
                                  <a:xfrm>
                                    <a:off x="0" y="0"/>
                                    <a:ext cx="1797050" cy="114300"/>
                                  </a:xfrm>
                                  <a:prstGeom prst="rect">
                                    <a:avLst/>
                                  </a:prstGeom>
                                  <a:noFill/>
                                  <a:ln>
                                    <a:noFill/>
                                  </a:ln>
                                </pic:spPr>
                              </pic:pic>
                            </a:graphicData>
                          </a:graphic>
                        </wp:inline>
                      </w:drawing>
                    </w:r>
                    <w:r>
                      <w:rPr>
                        <w:noProof/>
                        <w:lang w:eastAsia="it-IT"/>
                      </w:rPr>
                      <w:drawing>
                        <wp:inline distT="0" distB="0" distL="0" distR="0">
                          <wp:extent cx="1803400" cy="1187450"/>
                          <wp:effectExtent l="0" t="0" r="0" b="0"/>
                          <wp:docPr id="12" name="Picture 62" descr="Home-P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me-Pg-3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400" cy="1187450"/>
                                  </a:xfrm>
                                  <a:prstGeom prst="rect">
                                    <a:avLst/>
                                  </a:prstGeom>
                                  <a:noFill/>
                                  <a:ln>
                                    <a:noFill/>
                                  </a:ln>
                                </pic:spPr>
                              </pic:pic>
                            </a:graphicData>
                          </a:graphic>
                        </wp:inline>
                      </w:drawing>
                    </w:r>
                  </w:p>
                  <w:p w:rsidR="00DE5F50" w:rsidRPr="00324A83" w:rsidRDefault="00DE5F50" w:rsidP="005E2946">
                    <w:pPr>
                      <w:rPr>
                        <w:b/>
                        <w:color w:val="003366"/>
                      </w:rPr>
                    </w:pPr>
                    <w:r w:rsidRPr="00324A83">
                      <w:rPr>
                        <w:b/>
                        <w:color w:val="003366"/>
                      </w:rPr>
                      <w:t>Per maggiori informazioni</w:t>
                    </w:r>
                  </w:p>
                  <w:p w:rsidR="00DE5F50" w:rsidRPr="00324A83" w:rsidRDefault="00764DD6" w:rsidP="005E2946">
                    <w:pPr>
                      <w:spacing w:after="120"/>
                      <w:ind w:left="42"/>
                    </w:pPr>
                    <w:hyperlink r:id="rId11" w:history="1">
                      <w:r w:rsidR="00DE5F50" w:rsidRPr="00324A83">
                        <w:rPr>
                          <w:rStyle w:val="Collegamentoipertestuale"/>
                        </w:rPr>
                        <w:t>www.boehringer-ingelheim.com</w:t>
                      </w:r>
                    </w:hyperlink>
                  </w:p>
                  <w:p w:rsidR="00DE5F50" w:rsidRPr="002C4B3E" w:rsidRDefault="009F6C9F" w:rsidP="005E2946">
                    <w:r>
                      <w:rPr>
                        <w:noProof/>
                        <w:lang w:eastAsia="it-IT"/>
                      </w:rPr>
                      <w:drawing>
                        <wp:inline distT="0" distB="0" distL="0" distR="0">
                          <wp:extent cx="1784350" cy="3683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0" cy="368300"/>
                                  </a:xfrm>
                                  <a:prstGeom prst="rect">
                                    <a:avLst/>
                                  </a:prstGeom>
                                  <a:noFill/>
                                  <a:ln>
                                    <a:noFill/>
                                  </a:ln>
                                </pic:spPr>
                              </pic:pic>
                            </a:graphicData>
                          </a:graphic>
                        </wp:inline>
                      </w:drawing>
                    </w:r>
                  </w:p>
                </w:txbxContent>
              </v:textbox>
              <w10:wrap anchorx="page" anchory="page"/>
              <w10:anchorlock/>
            </v:shape>
          </w:pict>
        </mc:Fallback>
      </mc:AlternateContent>
    </w:r>
    <w:r>
      <w:rPr>
        <w:noProof/>
        <w:lang w:eastAsia="it-IT"/>
      </w:rPr>
      <mc:AlternateContent>
        <mc:Choice Requires="wps">
          <w:drawing>
            <wp:anchor distT="0" distB="0" distL="114300" distR="114300" simplePos="0" relativeHeight="251655680" behindDoc="0" locked="1" layoutInCell="0" allowOverlap="1">
              <wp:simplePos x="0" y="0"/>
              <wp:positionH relativeFrom="page">
                <wp:posOffset>520700</wp:posOffset>
              </wp:positionH>
              <wp:positionV relativeFrom="page">
                <wp:posOffset>1166495</wp:posOffset>
              </wp:positionV>
              <wp:extent cx="4434205" cy="63627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20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F50" w:rsidRPr="00E90EC2" w:rsidRDefault="00DE5F50" w:rsidP="005E2946">
                          <w:pPr>
                            <w:rPr>
                              <w:rFonts w:cs="Arial"/>
                              <w:b/>
                              <w:color w:val="FFFFFF"/>
                              <w:sz w:val="72"/>
                              <w:szCs w:val="72"/>
                            </w:rPr>
                          </w:pPr>
                          <w:r>
                            <w:rPr>
                              <w:rFonts w:cs="Arial"/>
                              <w:b/>
                              <w:color w:val="FFFFFF"/>
                              <w:sz w:val="72"/>
                              <w:szCs w:val="72"/>
                            </w:rPr>
                            <w:t>Comunicato Stampa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1pt;margin-top:91.85pt;width:349.15pt;height:50.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C0swIAALA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" o:allowincell="f" filled="f" stroked="f">
              <v:textbox inset="0,0,0,0">
                <w:txbxContent>
                  <w:p w:rsidR="00DE5F50" w:rsidRPr="00E90EC2" w:rsidRDefault="00DE5F50" w:rsidP="005E2946">
                    <w:pPr>
                      <w:rPr>
                        <w:rFonts w:cs="Arial"/>
                        <w:b/>
                        <w:color w:val="FFFFFF"/>
                        <w:sz w:val="72"/>
                        <w:szCs w:val="72"/>
                      </w:rPr>
                    </w:pPr>
                    <w:r>
                      <w:rPr>
                        <w:rFonts w:cs="Arial"/>
                        <w:b/>
                        <w:color w:val="FFFFFF"/>
                        <w:sz w:val="72"/>
                        <w:szCs w:val="72"/>
                      </w:rPr>
                      <w:t>Comunicato Stampa</w:t>
                    </w:r>
                  </w:p>
                </w:txbxContent>
              </v:textbox>
              <w10:wrap anchorx="page" anchory="page"/>
              <w10:anchorlock/>
            </v:shape>
          </w:pict>
        </mc:Fallback>
      </mc:AlternateContent>
    </w:r>
    <w:r>
      <w:rPr>
        <w:noProof/>
        <w:lang w:eastAsia="it-IT"/>
      </w:rPr>
      <w:drawing>
        <wp:anchor distT="0" distB="0" distL="114300" distR="114300" simplePos="0" relativeHeight="251661824" behindDoc="0" locked="0" layoutInCell="1" allowOverlap="1">
          <wp:simplePos x="0" y="0"/>
          <wp:positionH relativeFrom="page">
            <wp:posOffset>5431155</wp:posOffset>
          </wp:positionH>
          <wp:positionV relativeFrom="page">
            <wp:posOffset>954405</wp:posOffset>
          </wp:positionV>
          <wp:extent cx="1543685" cy="478155"/>
          <wp:effectExtent l="0" t="0" r="0" b="0"/>
          <wp:wrapNone/>
          <wp:docPr id="21" name="Bild 1" descr="BI-Logo_36pt_blue_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ogo_36pt_blue_n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685" cy="4781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52608" behindDoc="1" locked="1" layoutInCell="1" allowOverlap="1">
              <wp:simplePos x="0" y="0"/>
              <wp:positionH relativeFrom="page">
                <wp:posOffset>0</wp:posOffset>
              </wp:positionH>
              <wp:positionV relativeFrom="page">
                <wp:posOffset>601345</wp:posOffset>
              </wp:positionV>
              <wp:extent cx="5039995" cy="1259840"/>
              <wp:effectExtent l="0" t="0" r="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259840"/>
                      </a:xfrm>
                      <a:prstGeom prst="rect">
                        <a:avLst/>
                      </a:prstGeom>
                      <a:solidFill>
                        <a:srgbClr val="FF99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651919">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B1021" id="Rectangle 11" o:spid="_x0000_s1026" style="position:absolute;margin-left:0;margin-top:47.35pt;width:396.85pt;height:99.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" fillcolor="#f90" stroked="f" strokecolor="#f2f2f2" strokeweight="3pt">
              <v:shadow color="#651919" opacity=".5" offse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3E03"/>
    <w:multiLevelType w:val="multilevel"/>
    <w:tmpl w:val="7E54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F57BE"/>
    <w:multiLevelType w:val="hybridMultilevel"/>
    <w:tmpl w:val="A1C6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75F49"/>
    <w:multiLevelType w:val="hybridMultilevel"/>
    <w:tmpl w:val="73B46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1359F"/>
    <w:multiLevelType w:val="hybridMultilevel"/>
    <w:tmpl w:val="E836DC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9B1552"/>
    <w:multiLevelType w:val="hybridMultilevel"/>
    <w:tmpl w:val="46127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BB5788"/>
    <w:multiLevelType w:val="hybridMultilevel"/>
    <w:tmpl w:val="A6160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1C7EEB"/>
    <w:multiLevelType w:val="hybridMultilevel"/>
    <w:tmpl w:val="B120A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E925D8A"/>
    <w:multiLevelType w:val="hybridMultilevel"/>
    <w:tmpl w:val="8C8AF798"/>
    <w:lvl w:ilvl="0" w:tplc="04070001">
      <w:start w:val="1"/>
      <w:numFmt w:val="bullet"/>
      <w:lvlText w:val=""/>
      <w:lvlJc w:val="left"/>
      <w:pPr>
        <w:ind w:left="765" w:hanging="360"/>
      </w:pPr>
      <w:rPr>
        <w:rFonts w:ascii="Symbol" w:hAnsi="Symbol" w:hint="default"/>
      </w:rPr>
    </w:lvl>
    <w:lvl w:ilvl="1" w:tplc="04070003">
      <w:start w:val="1"/>
      <w:numFmt w:val="bullet"/>
      <w:lvlText w:val="o"/>
      <w:lvlJc w:val="left"/>
      <w:pPr>
        <w:ind w:left="1485" w:hanging="360"/>
      </w:pPr>
      <w:rPr>
        <w:rFonts w:ascii="Courier New" w:hAnsi="Courier New" w:cs="Courier New" w:hint="default"/>
      </w:rPr>
    </w:lvl>
    <w:lvl w:ilvl="2" w:tplc="04070005">
      <w:start w:val="1"/>
      <w:numFmt w:val="bullet"/>
      <w:lvlText w:val=""/>
      <w:lvlJc w:val="left"/>
      <w:pPr>
        <w:ind w:left="2205" w:hanging="360"/>
      </w:pPr>
      <w:rPr>
        <w:rFonts w:ascii="Wingdings" w:hAnsi="Wingdings" w:hint="default"/>
      </w:rPr>
    </w:lvl>
    <w:lvl w:ilvl="3" w:tplc="04070001">
      <w:start w:val="1"/>
      <w:numFmt w:val="bullet"/>
      <w:lvlText w:val=""/>
      <w:lvlJc w:val="left"/>
      <w:pPr>
        <w:ind w:left="2925" w:hanging="360"/>
      </w:pPr>
      <w:rPr>
        <w:rFonts w:ascii="Symbol" w:hAnsi="Symbol" w:hint="default"/>
      </w:rPr>
    </w:lvl>
    <w:lvl w:ilvl="4" w:tplc="04070003">
      <w:start w:val="1"/>
      <w:numFmt w:val="bullet"/>
      <w:lvlText w:val="o"/>
      <w:lvlJc w:val="left"/>
      <w:pPr>
        <w:ind w:left="3645" w:hanging="360"/>
      </w:pPr>
      <w:rPr>
        <w:rFonts w:ascii="Courier New" w:hAnsi="Courier New" w:cs="Courier New" w:hint="default"/>
      </w:rPr>
    </w:lvl>
    <w:lvl w:ilvl="5" w:tplc="04070005">
      <w:start w:val="1"/>
      <w:numFmt w:val="bullet"/>
      <w:lvlText w:val=""/>
      <w:lvlJc w:val="left"/>
      <w:pPr>
        <w:ind w:left="4365" w:hanging="360"/>
      </w:pPr>
      <w:rPr>
        <w:rFonts w:ascii="Wingdings" w:hAnsi="Wingdings" w:hint="default"/>
      </w:rPr>
    </w:lvl>
    <w:lvl w:ilvl="6" w:tplc="04070001">
      <w:start w:val="1"/>
      <w:numFmt w:val="bullet"/>
      <w:lvlText w:val=""/>
      <w:lvlJc w:val="left"/>
      <w:pPr>
        <w:ind w:left="5085" w:hanging="360"/>
      </w:pPr>
      <w:rPr>
        <w:rFonts w:ascii="Symbol" w:hAnsi="Symbol" w:hint="default"/>
      </w:rPr>
    </w:lvl>
    <w:lvl w:ilvl="7" w:tplc="04070003">
      <w:start w:val="1"/>
      <w:numFmt w:val="bullet"/>
      <w:lvlText w:val="o"/>
      <w:lvlJc w:val="left"/>
      <w:pPr>
        <w:ind w:left="5805" w:hanging="360"/>
      </w:pPr>
      <w:rPr>
        <w:rFonts w:ascii="Courier New" w:hAnsi="Courier New" w:cs="Courier New" w:hint="default"/>
      </w:rPr>
    </w:lvl>
    <w:lvl w:ilvl="8" w:tplc="04070005">
      <w:start w:val="1"/>
      <w:numFmt w:val="bullet"/>
      <w:lvlText w:val=""/>
      <w:lvlJc w:val="left"/>
      <w:pPr>
        <w:ind w:left="6525" w:hanging="360"/>
      </w:pPr>
      <w:rPr>
        <w:rFonts w:ascii="Wingdings" w:hAnsi="Wingdings" w:hint="default"/>
      </w:rPr>
    </w:lvl>
  </w:abstractNum>
  <w:abstractNum w:abstractNumId="8" w15:restartNumberingAfterBreak="0">
    <w:nsid w:val="64BA04EC"/>
    <w:multiLevelType w:val="hybridMultilevel"/>
    <w:tmpl w:val="06D0C0FA"/>
    <w:lvl w:ilvl="0" w:tplc="F0CEC4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2"/>
  </w:num>
  <w:num w:numId="5">
    <w:abstractNumId w:val="5"/>
  </w:num>
  <w:num w:numId="6">
    <w:abstractNumId w:val="6"/>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283"/>
  <w:characterSpacingControl w:val="doNotCompress"/>
  <w:hdrShapeDefaults>
    <o:shapedefaults v:ext="edit" spidmax="11265"/>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343"/>
    <w:rsid w:val="000233D3"/>
    <w:rsid w:val="00024DD8"/>
    <w:rsid w:val="0014331A"/>
    <w:rsid w:val="001C65B1"/>
    <w:rsid w:val="001E1700"/>
    <w:rsid w:val="001E30CE"/>
    <w:rsid w:val="00221DF5"/>
    <w:rsid w:val="00251758"/>
    <w:rsid w:val="0029629C"/>
    <w:rsid w:val="002C3CF5"/>
    <w:rsid w:val="002D79EF"/>
    <w:rsid w:val="00324A83"/>
    <w:rsid w:val="00376DC9"/>
    <w:rsid w:val="00381EDD"/>
    <w:rsid w:val="003A1A46"/>
    <w:rsid w:val="003D0975"/>
    <w:rsid w:val="003F5C4D"/>
    <w:rsid w:val="00415BE2"/>
    <w:rsid w:val="0043247C"/>
    <w:rsid w:val="00452E42"/>
    <w:rsid w:val="004617F6"/>
    <w:rsid w:val="00497E3A"/>
    <w:rsid w:val="004A0372"/>
    <w:rsid w:val="004B7F04"/>
    <w:rsid w:val="004E6AA3"/>
    <w:rsid w:val="00516BF2"/>
    <w:rsid w:val="00590103"/>
    <w:rsid w:val="005E0FCC"/>
    <w:rsid w:val="005E2946"/>
    <w:rsid w:val="00601BDE"/>
    <w:rsid w:val="00606EA2"/>
    <w:rsid w:val="0066719B"/>
    <w:rsid w:val="0067598B"/>
    <w:rsid w:val="00683BCC"/>
    <w:rsid w:val="006C7C99"/>
    <w:rsid w:val="00764DD6"/>
    <w:rsid w:val="007B04BB"/>
    <w:rsid w:val="007B0CD9"/>
    <w:rsid w:val="00825F5D"/>
    <w:rsid w:val="00895D7A"/>
    <w:rsid w:val="008A3587"/>
    <w:rsid w:val="008D3E31"/>
    <w:rsid w:val="008E1392"/>
    <w:rsid w:val="0091619D"/>
    <w:rsid w:val="0094079C"/>
    <w:rsid w:val="00954330"/>
    <w:rsid w:val="00962262"/>
    <w:rsid w:val="00977337"/>
    <w:rsid w:val="009C3479"/>
    <w:rsid w:val="009F6C9F"/>
    <w:rsid w:val="00A02962"/>
    <w:rsid w:val="00A14D70"/>
    <w:rsid w:val="00A20932"/>
    <w:rsid w:val="00A75E18"/>
    <w:rsid w:val="00A9517E"/>
    <w:rsid w:val="00AA2F97"/>
    <w:rsid w:val="00AC7343"/>
    <w:rsid w:val="00AF10AE"/>
    <w:rsid w:val="00B52D16"/>
    <w:rsid w:val="00B74F10"/>
    <w:rsid w:val="00B833E9"/>
    <w:rsid w:val="00BE23E5"/>
    <w:rsid w:val="00BF3CC7"/>
    <w:rsid w:val="00C032C4"/>
    <w:rsid w:val="00C379AE"/>
    <w:rsid w:val="00C66077"/>
    <w:rsid w:val="00C7536A"/>
    <w:rsid w:val="00C82138"/>
    <w:rsid w:val="00D102B5"/>
    <w:rsid w:val="00D13B32"/>
    <w:rsid w:val="00D14654"/>
    <w:rsid w:val="00D37FBB"/>
    <w:rsid w:val="00D91F42"/>
    <w:rsid w:val="00DE5F50"/>
    <w:rsid w:val="00E32CD3"/>
    <w:rsid w:val="00E61CC1"/>
    <w:rsid w:val="00EA4507"/>
    <w:rsid w:val="00EA6FED"/>
    <w:rsid w:val="00ED5FD5"/>
    <w:rsid w:val="00F457D8"/>
    <w:rsid w:val="00FA1C4F"/>
    <w:rsid w:val="00FE51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618B3536"/>
  <w15:chartTrackingRefBased/>
  <w15:docId w15:val="{ACA38A6E-9E11-4AFF-B944-DD93CC88E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rsid w:val="00FE51B4"/>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734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C7343"/>
  </w:style>
  <w:style w:type="paragraph" w:styleId="Pidipagina">
    <w:name w:val="footer"/>
    <w:basedOn w:val="Normale"/>
    <w:link w:val="PidipaginaCarattere"/>
    <w:uiPriority w:val="99"/>
    <w:unhideWhenUsed/>
    <w:rsid w:val="00AC734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C7343"/>
  </w:style>
  <w:style w:type="paragraph" w:styleId="Testonotadichiusura">
    <w:name w:val="endnote text"/>
    <w:basedOn w:val="Normale"/>
    <w:link w:val="TestonotadichiusuraCarattere"/>
    <w:uiPriority w:val="99"/>
    <w:unhideWhenUsed/>
    <w:rsid w:val="00AC7343"/>
    <w:pPr>
      <w:spacing w:after="0" w:line="240" w:lineRule="auto"/>
    </w:pPr>
    <w:rPr>
      <w:sz w:val="20"/>
      <w:szCs w:val="20"/>
      <w:lang w:val="x-none" w:eastAsia="x-none"/>
    </w:rPr>
  </w:style>
  <w:style w:type="character" w:customStyle="1" w:styleId="TestonotadichiusuraCarattere">
    <w:name w:val="Testo nota di chiusura Carattere"/>
    <w:link w:val="Testonotadichiusura"/>
    <w:uiPriority w:val="99"/>
    <w:rsid w:val="00AC7343"/>
    <w:rPr>
      <w:sz w:val="20"/>
      <w:szCs w:val="20"/>
    </w:rPr>
  </w:style>
  <w:style w:type="character" w:styleId="Collegamentoipertestuale">
    <w:name w:val="Hyperlink"/>
    <w:uiPriority w:val="99"/>
    <w:semiHidden/>
    <w:rsid w:val="00AC7343"/>
    <w:rPr>
      <w:rFonts w:cs="Times New Roman"/>
      <w:color w:val="auto"/>
      <w:u w:val="none"/>
    </w:rPr>
  </w:style>
  <w:style w:type="character" w:styleId="Rimandonotadichiusura">
    <w:name w:val="endnote reference"/>
    <w:uiPriority w:val="99"/>
    <w:unhideWhenUsed/>
    <w:rsid w:val="00AC7343"/>
    <w:rPr>
      <w:vertAlign w:val="superscript"/>
    </w:rPr>
  </w:style>
  <w:style w:type="paragraph" w:styleId="Testonotaapidipagina">
    <w:name w:val="footnote text"/>
    <w:basedOn w:val="Normale"/>
    <w:link w:val="TestonotaapidipaginaCarattere"/>
    <w:uiPriority w:val="99"/>
    <w:semiHidden/>
    <w:unhideWhenUsed/>
    <w:rsid w:val="00AC7343"/>
    <w:pPr>
      <w:spacing w:after="0" w:line="283" w:lineRule="atLeast"/>
    </w:pPr>
    <w:rPr>
      <w:rFonts w:ascii="BISans" w:eastAsia="Times New Roman" w:hAnsi="BISans"/>
      <w:sz w:val="20"/>
      <w:szCs w:val="20"/>
      <w:lang w:val="de-DE" w:eastAsia="x-none"/>
    </w:rPr>
  </w:style>
  <w:style w:type="character" w:customStyle="1" w:styleId="TestonotaapidipaginaCarattere">
    <w:name w:val="Testo nota a piè di pagina Carattere"/>
    <w:link w:val="Testonotaapidipagina"/>
    <w:uiPriority w:val="99"/>
    <w:semiHidden/>
    <w:rsid w:val="00AC7343"/>
    <w:rPr>
      <w:rFonts w:ascii="BISans" w:eastAsia="Times New Roman" w:hAnsi="BISans" w:cs="Times New Roman"/>
      <w:sz w:val="20"/>
      <w:szCs w:val="20"/>
      <w:lang w:val="de-DE"/>
    </w:rPr>
  </w:style>
  <w:style w:type="character" w:styleId="Rimandonotaapidipagina">
    <w:name w:val="footnote reference"/>
    <w:uiPriority w:val="99"/>
    <w:semiHidden/>
    <w:unhideWhenUsed/>
    <w:rsid w:val="00AC7343"/>
    <w:rPr>
      <w:rFonts w:ascii="Times New Roman" w:hAnsi="Times New Roman" w:cs="Times New Roman" w:hint="default"/>
      <w:vertAlign w:val="superscript"/>
    </w:rPr>
  </w:style>
  <w:style w:type="paragraph" w:styleId="Testofumetto">
    <w:name w:val="Balloon Text"/>
    <w:basedOn w:val="Normale"/>
    <w:link w:val="TestofumettoCarattere"/>
    <w:uiPriority w:val="99"/>
    <w:semiHidden/>
    <w:unhideWhenUsed/>
    <w:rsid w:val="008A3587"/>
    <w:pPr>
      <w:spacing w:after="0" w:line="240" w:lineRule="auto"/>
    </w:pPr>
    <w:rPr>
      <w:rFonts w:ascii="Tahoma" w:hAnsi="Tahoma"/>
      <w:sz w:val="16"/>
      <w:szCs w:val="16"/>
      <w:lang w:val="x-none"/>
    </w:rPr>
  </w:style>
  <w:style w:type="character" w:customStyle="1" w:styleId="TestofumettoCarattere">
    <w:name w:val="Testo fumetto Carattere"/>
    <w:link w:val="Testofumetto"/>
    <w:uiPriority w:val="99"/>
    <w:semiHidden/>
    <w:rsid w:val="008A3587"/>
    <w:rPr>
      <w:rFonts w:ascii="Tahoma" w:hAnsi="Tahoma" w:cs="Tahoma"/>
      <w:sz w:val="16"/>
      <w:szCs w:val="16"/>
      <w:lang w:eastAsia="en-US"/>
    </w:rPr>
  </w:style>
  <w:style w:type="character" w:styleId="Rimandocommento">
    <w:name w:val="annotation reference"/>
    <w:uiPriority w:val="99"/>
    <w:semiHidden/>
    <w:unhideWhenUsed/>
    <w:rsid w:val="003F5C4D"/>
    <w:rPr>
      <w:sz w:val="16"/>
      <w:szCs w:val="16"/>
    </w:rPr>
  </w:style>
  <w:style w:type="paragraph" w:styleId="Testocommento">
    <w:name w:val="annotation text"/>
    <w:basedOn w:val="Normale"/>
    <w:link w:val="TestocommentoCarattere"/>
    <w:uiPriority w:val="99"/>
    <w:unhideWhenUsed/>
    <w:rsid w:val="003F5C4D"/>
    <w:rPr>
      <w:sz w:val="20"/>
      <w:szCs w:val="20"/>
      <w:lang w:val="x-none"/>
    </w:rPr>
  </w:style>
  <w:style w:type="character" w:customStyle="1" w:styleId="TestocommentoCarattere">
    <w:name w:val="Testo commento Carattere"/>
    <w:link w:val="Testocommento"/>
    <w:uiPriority w:val="99"/>
    <w:rsid w:val="003F5C4D"/>
    <w:rPr>
      <w:lang w:eastAsia="en-US"/>
    </w:rPr>
  </w:style>
  <w:style w:type="paragraph" w:styleId="Soggettocommento">
    <w:name w:val="annotation subject"/>
    <w:basedOn w:val="Testocommento"/>
    <w:next w:val="Testocommento"/>
    <w:link w:val="SoggettocommentoCarattere"/>
    <w:uiPriority w:val="99"/>
    <w:semiHidden/>
    <w:unhideWhenUsed/>
    <w:rsid w:val="003F5C4D"/>
    <w:rPr>
      <w:b/>
      <w:bCs/>
    </w:rPr>
  </w:style>
  <w:style w:type="character" w:customStyle="1" w:styleId="SoggettocommentoCarattere">
    <w:name w:val="Soggetto commento Carattere"/>
    <w:link w:val="Soggettocommento"/>
    <w:uiPriority w:val="99"/>
    <w:semiHidden/>
    <w:rsid w:val="003F5C4D"/>
    <w:rPr>
      <w:b/>
      <w:bCs/>
      <w:lang w:eastAsia="en-US"/>
    </w:rPr>
  </w:style>
  <w:style w:type="paragraph" w:styleId="Revisione">
    <w:name w:val="Revision"/>
    <w:hidden/>
    <w:uiPriority w:val="99"/>
    <w:semiHidden/>
    <w:rsid w:val="00A9517E"/>
    <w:rPr>
      <w:sz w:val="22"/>
      <w:szCs w:val="22"/>
      <w:lang w:eastAsia="en-US"/>
    </w:rPr>
  </w:style>
  <w:style w:type="character" w:styleId="Collegamentovisitato">
    <w:name w:val="FollowedHyperlink"/>
    <w:basedOn w:val="Carpredefinitoparagrafo"/>
    <w:uiPriority w:val="99"/>
    <w:semiHidden/>
    <w:unhideWhenUsed/>
    <w:rsid w:val="00381EDD"/>
    <w:rPr>
      <w:color w:val="800080"/>
      <w:u w:val="single"/>
    </w:rPr>
  </w:style>
  <w:style w:type="paragraph" w:customStyle="1" w:styleId="Default">
    <w:name w:val="Default"/>
    <w:uiPriority w:val="99"/>
    <w:rsid w:val="00024DD8"/>
    <w:pPr>
      <w:autoSpaceDE w:val="0"/>
      <w:autoSpaceDN w:val="0"/>
      <w:adjustRightInd w:val="0"/>
    </w:pPr>
    <w:rPr>
      <w:rFonts w:ascii="Arial" w:eastAsiaTheme="minorHAnsi" w:hAnsi="Arial" w:cs="Arial"/>
      <w:color w:val="000000"/>
      <w:sz w:val="24"/>
      <w:szCs w:val="24"/>
      <w:lang w:val="en-GB" w:eastAsia="en-US"/>
    </w:rPr>
  </w:style>
  <w:style w:type="character" w:customStyle="1" w:styleId="Highlight">
    <w:name w:val="Highlight"/>
    <w:uiPriority w:val="99"/>
    <w:rsid w:val="00024DD8"/>
    <w:rPr>
      <w:b/>
      <w:bCs/>
      <w:color w:val="1F3F79"/>
    </w:rPr>
  </w:style>
  <w:style w:type="paragraph" w:styleId="Paragrafoelenco">
    <w:name w:val="List Paragraph"/>
    <w:basedOn w:val="Normale"/>
    <w:uiPriority w:val="34"/>
    <w:qFormat/>
    <w:rsid w:val="00024DD8"/>
    <w:pPr>
      <w:spacing w:after="0" w:line="240" w:lineRule="auto"/>
      <w:ind w:left="720"/>
      <w:contextualSpacing/>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user/boehringeringelheim" TargetMode="External"/><Relationship Id="rId13" Type="http://schemas.openxmlformats.org/officeDocument/2006/relationships/hyperlink" Target="http://www.mayoclinic.org/diseases-conditions/atrial-fibrillation/multimedia/img-2009644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witter.com/Boehringer" TargetMode="External"/><Relationship Id="rId12" Type="http://schemas.openxmlformats.org/officeDocument/2006/relationships/hyperlink" Target="http://abstractsonline.com/pp8/"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na.guffanti@boehringer-ingelheim.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nstagram.com/boehringer_ingelhei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interest.com/bigloba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png"/><Relationship Id="rId3" Type="http://schemas.openxmlformats.org/officeDocument/2006/relationships/hyperlink" Target="mailto:marina.guffanti@boehringer-ingelheim.com" TargetMode="External"/><Relationship Id="rId7" Type="http://schemas.openxmlformats.org/officeDocument/2006/relationships/image" Target="media/image10.emf"/><Relationship Id="rId12" Type="http://schemas.openxmlformats.org/officeDocument/2006/relationships/image" Target="media/image40.png"/><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4.png"/><Relationship Id="rId11" Type="http://schemas.openxmlformats.org/officeDocument/2006/relationships/hyperlink" Target="http://www.boehringer-ingelheim.com" TargetMode="External"/><Relationship Id="rId5" Type="http://schemas.openxmlformats.org/officeDocument/2006/relationships/hyperlink" Target="http://www.boehringer-ingelheim.com" TargetMode="External"/><Relationship Id="rId10" Type="http://schemas.openxmlformats.org/officeDocument/2006/relationships/image" Target="media/image30.png"/><Relationship Id="rId4" Type="http://schemas.openxmlformats.org/officeDocument/2006/relationships/image" Target="media/image3.png"/><Relationship Id="rId9" Type="http://schemas.openxmlformats.org/officeDocument/2006/relationships/hyperlink" Target="mailto:marina.guffanti@boehringer-ingelheim.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2446</Words>
  <Characters>13945</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Boehringer Ingelheim</Company>
  <LinksUpToDate>false</LinksUpToDate>
  <CharactersWithSpaces>16359</CharactersWithSpaces>
  <SharedDoc>false</SharedDoc>
  <HLinks>
    <vt:vector size="36" baseType="variant">
      <vt:variant>
        <vt:i4>524393</vt:i4>
      </vt:variant>
      <vt:variant>
        <vt:i4>39</vt:i4>
      </vt:variant>
      <vt:variant>
        <vt:i4>0</vt:i4>
      </vt:variant>
      <vt:variant>
        <vt:i4>5</vt:i4>
      </vt:variant>
      <vt:variant>
        <vt:lpwstr>mailto:ml.paleari@vrelations.it</vt:lpwstr>
      </vt:variant>
      <vt:variant>
        <vt:lpwstr/>
      </vt:variant>
      <vt:variant>
        <vt:i4>3211269</vt:i4>
      </vt:variant>
      <vt:variant>
        <vt:i4>36</vt:i4>
      </vt:variant>
      <vt:variant>
        <vt:i4>0</vt:i4>
      </vt:variant>
      <vt:variant>
        <vt:i4>5</vt:i4>
      </vt:variant>
      <vt:variant>
        <vt:lpwstr>mailto:marina.guffanti@boehringer-ingelheim.com</vt:lpwstr>
      </vt:variant>
      <vt:variant>
        <vt:lpwstr/>
      </vt:variant>
      <vt:variant>
        <vt:i4>1835087</vt:i4>
      </vt:variant>
      <vt:variant>
        <vt:i4>33</vt:i4>
      </vt:variant>
      <vt:variant>
        <vt:i4>0</vt:i4>
      </vt:variant>
      <vt:variant>
        <vt:i4>5</vt:i4>
      </vt:variant>
      <vt:variant>
        <vt:lpwstr>http://www.boehringer-ingelheim.com/</vt:lpwstr>
      </vt:variant>
      <vt:variant>
        <vt:lpwstr/>
      </vt:variant>
      <vt:variant>
        <vt:i4>5177356</vt:i4>
      </vt:variant>
      <vt:variant>
        <vt:i4>30</vt:i4>
      </vt:variant>
      <vt:variant>
        <vt:i4>0</vt:i4>
      </vt:variant>
      <vt:variant>
        <vt:i4>5</vt:i4>
      </vt:variant>
      <vt:variant>
        <vt:lpwstr>http://www.boehringer-ingelheim-congress.com/</vt:lpwstr>
      </vt:variant>
      <vt:variant>
        <vt:lpwstr/>
      </vt:variant>
      <vt:variant>
        <vt:i4>1835087</vt:i4>
      </vt:variant>
      <vt:variant>
        <vt:i4>6</vt:i4>
      </vt:variant>
      <vt:variant>
        <vt:i4>0</vt:i4>
      </vt:variant>
      <vt:variant>
        <vt:i4>5</vt:i4>
      </vt:variant>
      <vt:variant>
        <vt:lpwstr>http://www.boehringer-ingelheim.com/</vt:lpwstr>
      </vt:variant>
      <vt:variant>
        <vt:lpwstr/>
      </vt:variant>
      <vt:variant>
        <vt:i4>3211269</vt:i4>
      </vt:variant>
      <vt:variant>
        <vt:i4>3</vt:i4>
      </vt:variant>
      <vt:variant>
        <vt:i4>0</vt:i4>
      </vt:variant>
      <vt:variant>
        <vt:i4>5</vt:i4>
      </vt:variant>
      <vt:variant>
        <vt:lpwstr>mailto:marina.guffanti@boehringer-ingelheim.com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dc:creator>
  <cp:keywords/>
  <cp:lastModifiedBy>Alessio Pappagallo</cp:lastModifiedBy>
  <cp:revision>4</cp:revision>
  <cp:lastPrinted>2016-03-07T16:50:00Z</cp:lastPrinted>
  <dcterms:created xsi:type="dcterms:W3CDTF">2017-03-20T09:25:00Z</dcterms:created>
  <dcterms:modified xsi:type="dcterms:W3CDTF">2017-03-20T09:29:00Z</dcterms:modified>
</cp:coreProperties>
</file>