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245F" w:rsidRPr="0044243E" w:rsidRDefault="00FC245F" w:rsidP="00FC245F">
      <w:pPr>
        <w:pStyle w:val="Default"/>
        <w:spacing w:after="60" w:line="360" w:lineRule="auto"/>
        <w:jc w:val="center"/>
        <w:rPr>
          <w:b/>
          <w:bCs/>
          <w:color w:val="auto"/>
          <w:szCs w:val="28"/>
          <w:u w:val="single"/>
          <w:lang w:val="it-IT"/>
        </w:rPr>
      </w:pPr>
      <w:r w:rsidRPr="0044243E">
        <w:rPr>
          <w:b/>
          <w:bCs/>
          <w:color w:val="auto"/>
          <w:szCs w:val="28"/>
          <w:u w:val="single"/>
          <w:lang w:val="it-IT"/>
        </w:rPr>
        <w:t>Comunicato stampa</w:t>
      </w:r>
    </w:p>
    <w:p w:rsidR="005D58EB" w:rsidRDefault="005D58EB" w:rsidP="00771A65">
      <w:pPr>
        <w:spacing w:line="264" w:lineRule="auto"/>
        <w:jc w:val="center"/>
        <w:rPr>
          <w:rFonts w:ascii="Arial" w:hAnsi="Arial" w:cs="Arial"/>
          <w:b/>
          <w:color w:val="0D0D0D" w:themeColor="text1" w:themeTint="F2"/>
          <w:sz w:val="28"/>
          <w:szCs w:val="28"/>
          <w:lang w:val="it-IT"/>
        </w:rPr>
      </w:pPr>
      <w:r>
        <w:rPr>
          <w:rFonts w:ascii="Arial" w:hAnsi="Arial" w:cs="Arial"/>
          <w:b/>
          <w:color w:val="0D0D0D" w:themeColor="text1" w:themeTint="F2"/>
          <w:sz w:val="28"/>
          <w:szCs w:val="28"/>
          <w:lang w:val="it-IT"/>
        </w:rPr>
        <w:t>L’</w:t>
      </w:r>
      <w:r w:rsidR="00415B8B">
        <w:rPr>
          <w:rFonts w:ascii="Arial" w:hAnsi="Arial" w:cs="Arial"/>
          <w:b/>
          <w:color w:val="0D0D0D" w:themeColor="text1" w:themeTint="F2"/>
          <w:sz w:val="28"/>
          <w:szCs w:val="28"/>
          <w:lang w:val="it-IT"/>
        </w:rPr>
        <w:t xml:space="preserve">Agenzia Europea </w:t>
      </w:r>
      <w:r w:rsidR="00D53498">
        <w:rPr>
          <w:rFonts w:ascii="Arial" w:hAnsi="Arial" w:cs="Arial"/>
          <w:b/>
          <w:color w:val="0D0D0D" w:themeColor="text1" w:themeTint="F2"/>
          <w:sz w:val="28"/>
          <w:szCs w:val="28"/>
          <w:lang w:val="it-IT"/>
        </w:rPr>
        <w:t xml:space="preserve">per </w:t>
      </w:r>
      <w:r w:rsidR="00415B8B">
        <w:rPr>
          <w:rFonts w:ascii="Arial" w:hAnsi="Arial" w:cs="Arial"/>
          <w:b/>
          <w:color w:val="0D0D0D" w:themeColor="text1" w:themeTint="F2"/>
          <w:sz w:val="28"/>
          <w:szCs w:val="28"/>
          <w:lang w:val="it-IT"/>
        </w:rPr>
        <w:t>i M</w:t>
      </w:r>
      <w:r>
        <w:rPr>
          <w:rFonts w:ascii="Arial" w:hAnsi="Arial" w:cs="Arial"/>
          <w:b/>
          <w:color w:val="0D0D0D" w:themeColor="text1" w:themeTint="F2"/>
          <w:sz w:val="28"/>
          <w:szCs w:val="28"/>
          <w:lang w:val="it-IT"/>
        </w:rPr>
        <w:t xml:space="preserve">edicinali approva </w:t>
      </w:r>
      <w:proofErr w:type="spellStart"/>
      <w:r w:rsidR="00415B8B" w:rsidRPr="00FC245F">
        <w:rPr>
          <w:rFonts w:ascii="Arial" w:hAnsi="Arial" w:cs="Arial"/>
          <w:b/>
          <w:color w:val="0D0D0D" w:themeColor="text1" w:themeTint="F2"/>
          <w:sz w:val="28"/>
          <w:szCs w:val="28"/>
          <w:lang w:val="it-IT"/>
        </w:rPr>
        <w:t>Truxima</w:t>
      </w:r>
      <w:proofErr w:type="spellEnd"/>
      <w:r w:rsidR="00415B8B" w:rsidRPr="00C51926">
        <w:rPr>
          <w:rFonts w:ascii="Arial" w:hAnsi="Arial" w:cs="Arial"/>
          <w:b/>
          <w:color w:val="0D0D0D" w:themeColor="text1" w:themeTint="F2"/>
          <w:sz w:val="28"/>
          <w:szCs w:val="28"/>
          <w:vertAlign w:val="superscript"/>
          <w:lang w:val="it-IT"/>
        </w:rPr>
        <w:t>®</w:t>
      </w:r>
      <w:r w:rsidR="009B27E3">
        <w:rPr>
          <w:rFonts w:ascii="Arial" w:hAnsi="Arial" w:cs="Arial"/>
          <w:b/>
          <w:color w:val="0D0D0D" w:themeColor="text1" w:themeTint="F2"/>
          <w:sz w:val="28"/>
          <w:szCs w:val="28"/>
          <w:lang w:val="it-IT"/>
        </w:rPr>
        <w:t xml:space="preserve"> </w:t>
      </w:r>
      <w:r w:rsidR="009B27E3" w:rsidRPr="006C4426">
        <w:rPr>
          <w:rFonts w:ascii="Arial" w:hAnsi="Arial" w:cs="Arial" w:hint="eastAsia"/>
          <w:b/>
          <w:color w:val="0D0D0D" w:themeColor="text1" w:themeTint="F2"/>
          <w:sz w:val="28"/>
          <w:szCs w:val="28"/>
          <w:lang w:val="it-IT"/>
        </w:rPr>
        <w:t>(</w:t>
      </w:r>
      <w:proofErr w:type="spellStart"/>
      <w:r w:rsidR="009B27E3" w:rsidRPr="006C4426">
        <w:rPr>
          <w:rFonts w:ascii="Arial" w:hAnsi="Arial" w:cs="Arial" w:hint="eastAsia"/>
          <w:b/>
          <w:color w:val="0D0D0D" w:themeColor="text1" w:themeTint="F2"/>
          <w:sz w:val="28"/>
          <w:szCs w:val="28"/>
          <w:lang w:val="it-IT"/>
        </w:rPr>
        <w:t>rituximab</w:t>
      </w:r>
      <w:proofErr w:type="spellEnd"/>
      <w:r w:rsidR="009B27E3" w:rsidRPr="006C4426">
        <w:rPr>
          <w:rFonts w:ascii="Arial" w:hAnsi="Arial" w:cs="Arial" w:hint="eastAsia"/>
          <w:b/>
          <w:color w:val="0D0D0D" w:themeColor="text1" w:themeTint="F2"/>
          <w:sz w:val="28"/>
          <w:szCs w:val="28"/>
          <w:lang w:val="it-IT"/>
        </w:rPr>
        <w:t>),</w:t>
      </w:r>
      <w:r w:rsidR="00415B8B">
        <w:rPr>
          <w:rFonts w:ascii="Arial" w:hAnsi="Arial" w:cs="Arial"/>
          <w:b/>
          <w:color w:val="0D0D0D" w:themeColor="text1" w:themeTint="F2"/>
          <w:sz w:val="28"/>
          <w:szCs w:val="28"/>
          <w:lang w:val="it-IT"/>
        </w:rPr>
        <w:t xml:space="preserve"> </w:t>
      </w:r>
      <w:r w:rsidR="00824BE4" w:rsidRPr="006C4426">
        <w:rPr>
          <w:rFonts w:ascii="Arial" w:hAnsi="Arial" w:cs="Arial" w:hint="eastAsia"/>
          <w:b/>
          <w:color w:val="0D0D0D" w:themeColor="text1" w:themeTint="F2"/>
          <w:sz w:val="28"/>
          <w:szCs w:val="28"/>
          <w:lang w:val="it-IT"/>
        </w:rPr>
        <w:t xml:space="preserve">primo anticorpo monoclonale </w:t>
      </w:r>
      <w:proofErr w:type="spellStart"/>
      <w:r w:rsidR="00824BE4">
        <w:rPr>
          <w:rFonts w:ascii="Arial" w:hAnsi="Arial" w:cs="Arial"/>
          <w:b/>
          <w:color w:val="0D0D0D" w:themeColor="text1" w:themeTint="F2"/>
          <w:sz w:val="28"/>
          <w:szCs w:val="28"/>
          <w:lang w:val="it-IT"/>
        </w:rPr>
        <w:t>biosimilare</w:t>
      </w:r>
      <w:proofErr w:type="spellEnd"/>
      <w:r w:rsidR="00824BE4">
        <w:rPr>
          <w:rFonts w:ascii="Arial" w:hAnsi="Arial" w:cs="Arial"/>
          <w:b/>
          <w:color w:val="0D0D0D" w:themeColor="text1" w:themeTint="F2"/>
          <w:sz w:val="28"/>
          <w:szCs w:val="28"/>
          <w:lang w:val="it-IT"/>
        </w:rPr>
        <w:t xml:space="preserve"> per </w:t>
      </w:r>
      <w:r w:rsidR="00A80896">
        <w:rPr>
          <w:rFonts w:ascii="Arial" w:hAnsi="Arial" w:cs="Arial"/>
          <w:b/>
          <w:color w:val="0D0D0D" w:themeColor="text1" w:themeTint="F2"/>
          <w:sz w:val="28"/>
          <w:szCs w:val="28"/>
          <w:lang w:val="it-IT"/>
        </w:rPr>
        <w:t>la terapia del tumore</w:t>
      </w:r>
    </w:p>
    <w:p w:rsidR="00880C5B" w:rsidRPr="00C52A20" w:rsidRDefault="00C52A20" w:rsidP="00C52A20">
      <w:pPr>
        <w:pStyle w:val="Paragrafoelenco"/>
        <w:numPr>
          <w:ilvl w:val="0"/>
          <w:numId w:val="8"/>
        </w:numPr>
        <w:spacing w:line="264" w:lineRule="auto"/>
        <w:ind w:left="851" w:right="379"/>
        <w:jc w:val="both"/>
        <w:rPr>
          <w:rFonts w:ascii="Arial" w:hAnsi="Arial" w:cs="Arial"/>
          <w:i/>
          <w:color w:val="0D0D0D" w:themeColor="text1" w:themeTint="F2"/>
          <w:shd w:val="clear" w:color="auto" w:fill="FFFFFF"/>
          <w:lang w:val="it-IT"/>
        </w:rPr>
      </w:pPr>
      <w:r>
        <w:rPr>
          <w:rFonts w:ascii="Arial" w:hAnsi="Arial" w:cs="Arial"/>
          <w:i/>
          <w:color w:val="0D0D0D" w:themeColor="text1" w:themeTint="F2"/>
          <w:lang w:val="it-IT"/>
        </w:rPr>
        <w:t>Con l’autorizzazione all’</w:t>
      </w:r>
      <w:r w:rsidR="00880C5B">
        <w:rPr>
          <w:rFonts w:ascii="Arial" w:hAnsi="Arial" w:cs="Arial"/>
          <w:i/>
          <w:color w:val="0D0D0D" w:themeColor="text1" w:themeTint="F2"/>
          <w:lang w:val="it-IT"/>
        </w:rPr>
        <w:t xml:space="preserve">immissione </w:t>
      </w:r>
      <w:r>
        <w:rPr>
          <w:rFonts w:ascii="Arial" w:hAnsi="Arial" w:cs="Arial"/>
          <w:i/>
          <w:color w:val="0D0D0D" w:themeColor="text1" w:themeTint="F2"/>
          <w:lang w:val="it-IT"/>
        </w:rPr>
        <w:t>in</w:t>
      </w:r>
      <w:r w:rsidR="00880C5B">
        <w:rPr>
          <w:rFonts w:ascii="Arial" w:hAnsi="Arial" w:cs="Arial"/>
          <w:i/>
          <w:color w:val="0D0D0D" w:themeColor="text1" w:themeTint="F2"/>
          <w:lang w:val="it-IT"/>
        </w:rPr>
        <w:t xml:space="preserve"> commercio </w:t>
      </w:r>
      <w:r w:rsidR="00505DAB">
        <w:rPr>
          <w:rFonts w:ascii="Arial" w:hAnsi="Arial" w:cs="Arial"/>
          <w:i/>
          <w:color w:val="0D0D0D" w:themeColor="text1" w:themeTint="F2"/>
          <w:lang w:val="it-IT"/>
        </w:rPr>
        <w:t xml:space="preserve">da parte di EMA e il suo futuro lancio in 7 Paesi europei, </w:t>
      </w:r>
      <w:proofErr w:type="spellStart"/>
      <w:r w:rsidR="00880C5B">
        <w:rPr>
          <w:rFonts w:ascii="Arial" w:hAnsi="Arial" w:cs="Arial"/>
          <w:i/>
          <w:color w:val="0D0D0D" w:themeColor="text1" w:themeTint="F2"/>
          <w:lang w:val="it-IT"/>
        </w:rPr>
        <w:t>Truxima</w:t>
      </w:r>
      <w:proofErr w:type="spellEnd"/>
      <w:r w:rsidR="00880C5B" w:rsidRPr="00880C5B">
        <w:rPr>
          <w:rFonts w:ascii="Arial" w:hAnsi="Arial" w:cs="Arial"/>
          <w:i/>
          <w:color w:val="0D0D0D" w:themeColor="text1" w:themeTint="F2"/>
          <w:vertAlign w:val="superscript"/>
          <w:lang w:val="it-IT"/>
        </w:rPr>
        <w:t>®</w:t>
      </w:r>
      <w:r w:rsidR="00880C5B">
        <w:rPr>
          <w:rFonts w:ascii="Arial" w:hAnsi="Arial" w:cs="Arial"/>
          <w:i/>
          <w:color w:val="0D0D0D" w:themeColor="text1" w:themeTint="F2"/>
          <w:vertAlign w:val="superscript"/>
          <w:lang w:val="it-IT"/>
        </w:rPr>
        <w:t xml:space="preserve"> </w:t>
      </w:r>
      <w:r w:rsidR="00505DAB">
        <w:rPr>
          <w:rFonts w:ascii="Arial" w:hAnsi="Arial" w:cs="Arial"/>
          <w:i/>
          <w:color w:val="0D0D0D" w:themeColor="text1" w:themeTint="F2"/>
          <w:shd w:val="clear" w:color="auto" w:fill="FFFFFF"/>
          <w:lang w:val="it-IT"/>
        </w:rPr>
        <w:t>è</w:t>
      </w:r>
      <w:r w:rsidR="00880C5B">
        <w:rPr>
          <w:rFonts w:ascii="Arial" w:hAnsi="Arial" w:cs="Arial"/>
          <w:i/>
          <w:color w:val="0D0D0D" w:themeColor="text1" w:themeTint="F2"/>
          <w:shd w:val="clear" w:color="auto" w:fill="FFFFFF"/>
          <w:lang w:val="it-IT"/>
        </w:rPr>
        <w:t xml:space="preserve"> il primo anticorpo monoclonale </w:t>
      </w:r>
      <w:proofErr w:type="spellStart"/>
      <w:r w:rsidR="00880C5B">
        <w:rPr>
          <w:rFonts w:ascii="Arial" w:hAnsi="Arial" w:cs="Arial"/>
          <w:i/>
          <w:color w:val="0D0D0D" w:themeColor="text1" w:themeTint="F2"/>
          <w:shd w:val="clear" w:color="auto" w:fill="FFFFFF"/>
          <w:lang w:val="it-IT"/>
        </w:rPr>
        <w:t>biosimilare</w:t>
      </w:r>
      <w:proofErr w:type="spellEnd"/>
      <w:r w:rsidR="00880C5B">
        <w:rPr>
          <w:rFonts w:ascii="Arial" w:hAnsi="Arial" w:cs="Arial"/>
          <w:i/>
          <w:color w:val="0D0D0D" w:themeColor="text1" w:themeTint="F2"/>
          <w:shd w:val="clear" w:color="auto" w:fill="FFFFFF"/>
          <w:lang w:val="it-IT"/>
        </w:rPr>
        <w:t xml:space="preserve"> </w:t>
      </w:r>
      <w:r w:rsidR="00E0101B">
        <w:rPr>
          <w:rFonts w:ascii="Arial" w:hAnsi="Arial" w:cs="Arial"/>
          <w:i/>
          <w:color w:val="0D0D0D" w:themeColor="text1" w:themeTint="F2"/>
          <w:shd w:val="clear" w:color="auto" w:fill="FFFFFF"/>
          <w:lang w:val="it-IT"/>
        </w:rPr>
        <w:t>approvato</w:t>
      </w:r>
      <w:r w:rsidR="00880C5B">
        <w:rPr>
          <w:rFonts w:ascii="Arial" w:hAnsi="Arial" w:cs="Arial"/>
          <w:i/>
          <w:color w:val="0D0D0D" w:themeColor="text1" w:themeTint="F2"/>
          <w:shd w:val="clear" w:color="auto" w:fill="FFFFFF"/>
          <w:lang w:val="it-IT"/>
        </w:rPr>
        <w:t xml:space="preserve"> per il trattamento del cancro</w:t>
      </w:r>
      <w:r w:rsidR="005B466A">
        <w:rPr>
          <w:rFonts w:ascii="Arial" w:hAnsi="Arial" w:cs="Arial"/>
          <w:i/>
          <w:color w:val="0D0D0D" w:themeColor="text1" w:themeTint="F2"/>
          <w:vertAlign w:val="superscript"/>
          <w:lang w:val="it-IT"/>
        </w:rPr>
        <w:t>1</w:t>
      </w:r>
      <w:r w:rsidR="00B6474E">
        <w:rPr>
          <w:rFonts w:ascii="Arial" w:hAnsi="Arial" w:cs="Arial"/>
          <w:i/>
          <w:color w:val="0D0D0D" w:themeColor="text1" w:themeTint="F2"/>
          <w:lang w:val="it-IT"/>
        </w:rPr>
        <w:t>.</w:t>
      </w:r>
    </w:p>
    <w:p w:rsidR="00C52A20" w:rsidRPr="00C52A20" w:rsidRDefault="00C52A20" w:rsidP="00C52A20">
      <w:pPr>
        <w:pStyle w:val="Paragrafoelenco"/>
        <w:spacing w:line="264" w:lineRule="auto"/>
        <w:ind w:left="851" w:right="379"/>
        <w:jc w:val="both"/>
        <w:rPr>
          <w:rFonts w:ascii="Arial" w:hAnsi="Arial" w:cs="Arial"/>
          <w:i/>
          <w:color w:val="0D0D0D" w:themeColor="text1" w:themeTint="F2"/>
          <w:sz w:val="10"/>
          <w:shd w:val="clear" w:color="auto" w:fill="FFFFFF"/>
          <w:lang w:val="it-IT"/>
        </w:rPr>
      </w:pPr>
    </w:p>
    <w:p w:rsidR="00C52A20" w:rsidRPr="00C52A20" w:rsidRDefault="009B27E3" w:rsidP="00C52A20">
      <w:pPr>
        <w:pStyle w:val="Paragrafoelenco"/>
        <w:numPr>
          <w:ilvl w:val="0"/>
          <w:numId w:val="8"/>
        </w:numPr>
        <w:spacing w:line="264" w:lineRule="auto"/>
        <w:ind w:left="851" w:right="379"/>
        <w:jc w:val="both"/>
        <w:rPr>
          <w:rFonts w:ascii="Arial" w:hAnsi="Arial" w:cs="Arial"/>
          <w:i/>
          <w:color w:val="0D0D0D" w:themeColor="text1" w:themeTint="F2"/>
          <w:shd w:val="clear" w:color="auto" w:fill="FFFFFF"/>
          <w:lang w:val="it-IT"/>
        </w:rPr>
      </w:pPr>
      <w:r>
        <w:rPr>
          <w:rFonts w:ascii="Arial" w:hAnsi="Arial" w:cs="Arial"/>
          <w:i/>
          <w:color w:val="0D0D0D" w:themeColor="text1" w:themeTint="F2"/>
          <w:lang w:val="it-IT"/>
        </w:rPr>
        <w:t>L’impiego</w:t>
      </w:r>
      <w:r w:rsidR="005166F2" w:rsidRPr="005166F2">
        <w:rPr>
          <w:rFonts w:ascii="Arial" w:hAnsi="Arial" w:cs="Arial"/>
          <w:i/>
          <w:color w:val="0D0D0D" w:themeColor="text1" w:themeTint="F2"/>
          <w:lang w:val="it-IT"/>
        </w:rPr>
        <w:t xml:space="preserve"> di </w:t>
      </w:r>
      <w:proofErr w:type="spellStart"/>
      <w:r w:rsidR="005166F2" w:rsidRPr="005166F2">
        <w:rPr>
          <w:rFonts w:ascii="Arial" w:hAnsi="Arial" w:cs="Arial"/>
          <w:i/>
          <w:color w:val="0D0D0D" w:themeColor="text1" w:themeTint="F2"/>
          <w:lang w:val="it-IT"/>
        </w:rPr>
        <w:t>Truxima</w:t>
      </w:r>
      <w:proofErr w:type="spellEnd"/>
      <w:r w:rsidR="005166F2" w:rsidRPr="005166F2">
        <w:rPr>
          <w:rFonts w:ascii="Arial" w:hAnsi="Arial" w:cs="Arial"/>
          <w:i/>
          <w:color w:val="0D0D0D" w:themeColor="text1" w:themeTint="F2"/>
          <w:vertAlign w:val="superscript"/>
          <w:lang w:val="it-IT"/>
        </w:rPr>
        <w:t>®</w:t>
      </w:r>
      <w:r w:rsidR="005166F2" w:rsidRPr="005166F2">
        <w:rPr>
          <w:rFonts w:ascii="Arial" w:hAnsi="Arial" w:cs="Arial"/>
          <w:i/>
          <w:color w:val="0D0D0D" w:themeColor="text1" w:themeTint="F2"/>
          <w:lang w:val="it-IT"/>
        </w:rPr>
        <w:t xml:space="preserve"> </w:t>
      </w:r>
      <w:r w:rsidR="00C611BA">
        <w:rPr>
          <w:rFonts w:ascii="Arial" w:hAnsi="Arial" w:cs="Arial"/>
          <w:i/>
          <w:color w:val="0D0D0D" w:themeColor="text1" w:themeTint="F2"/>
          <w:shd w:val="clear" w:color="auto" w:fill="FFFFFF"/>
          <w:lang w:val="it-IT"/>
        </w:rPr>
        <w:t>è stato approvato per</w:t>
      </w:r>
      <w:r w:rsidR="005166F2" w:rsidRPr="005166F2">
        <w:rPr>
          <w:rFonts w:ascii="Arial" w:hAnsi="Arial" w:cs="Arial"/>
          <w:i/>
          <w:color w:val="0D0D0D" w:themeColor="text1" w:themeTint="F2"/>
          <w:shd w:val="clear" w:color="auto" w:fill="FFFFFF"/>
          <w:lang w:val="it-IT"/>
        </w:rPr>
        <w:t xml:space="preserve"> tutte le indicazioni del prodotto di riferimento Mabthera</w:t>
      </w:r>
      <w:r w:rsidR="005166F2" w:rsidRPr="005166F2">
        <w:rPr>
          <w:rFonts w:ascii="Arial" w:hAnsi="Arial" w:cs="Arial"/>
          <w:i/>
          <w:color w:val="0D0D0D" w:themeColor="text1" w:themeTint="F2"/>
          <w:shd w:val="clear" w:color="auto" w:fill="FFFFFF"/>
          <w:vertAlign w:val="superscript"/>
          <w:lang w:val="it-IT"/>
        </w:rPr>
        <w:t>®</w:t>
      </w:r>
      <w:r w:rsidR="00324438">
        <w:rPr>
          <w:rFonts w:ascii="Arial" w:hAnsi="Arial" w:cs="Arial"/>
          <w:i/>
          <w:color w:val="0D0D0D" w:themeColor="text1" w:themeTint="F2"/>
          <w:shd w:val="clear" w:color="auto" w:fill="FFFFFF"/>
          <w:vertAlign w:val="superscript"/>
          <w:lang w:val="it-IT"/>
        </w:rPr>
        <w:t>2</w:t>
      </w:r>
      <w:r>
        <w:rPr>
          <w:rFonts w:ascii="Arial" w:hAnsi="Arial" w:cs="Arial"/>
          <w:i/>
          <w:color w:val="0D0D0D" w:themeColor="text1" w:themeTint="F2"/>
          <w:shd w:val="clear" w:color="auto" w:fill="FFFFFF"/>
          <w:lang w:val="it-IT"/>
        </w:rPr>
        <w:t>, sulla base dei</w:t>
      </w:r>
      <w:r w:rsidR="005166F2" w:rsidRPr="005166F2">
        <w:rPr>
          <w:rFonts w:ascii="Arial" w:hAnsi="Arial" w:cs="Arial"/>
          <w:i/>
          <w:color w:val="0D0D0D" w:themeColor="text1" w:themeTint="F2"/>
          <w:shd w:val="clear" w:color="auto" w:fill="FFFFFF"/>
          <w:lang w:val="it-IT"/>
        </w:rPr>
        <w:t xml:space="preserve"> dati preclinici, di sicurezza e di efficacia</w:t>
      </w:r>
      <w:r w:rsidR="00B6474E">
        <w:rPr>
          <w:rFonts w:ascii="Arial" w:hAnsi="Arial" w:cs="Arial"/>
          <w:i/>
          <w:color w:val="0D0D0D" w:themeColor="text1" w:themeTint="F2"/>
          <w:shd w:val="clear" w:color="auto" w:fill="FFFFFF"/>
          <w:lang w:val="it-IT"/>
        </w:rPr>
        <w:t>.</w:t>
      </w:r>
    </w:p>
    <w:p w:rsidR="00C52A20" w:rsidRPr="00C52A20" w:rsidRDefault="00C52A20" w:rsidP="00C52A20">
      <w:pPr>
        <w:pStyle w:val="Paragrafoelenco"/>
        <w:spacing w:line="264" w:lineRule="auto"/>
        <w:ind w:left="851" w:right="379"/>
        <w:jc w:val="both"/>
        <w:rPr>
          <w:rFonts w:ascii="Arial" w:hAnsi="Arial" w:cs="Arial"/>
          <w:i/>
          <w:color w:val="0D0D0D" w:themeColor="text1" w:themeTint="F2"/>
          <w:sz w:val="10"/>
          <w:shd w:val="clear" w:color="auto" w:fill="FFFFFF"/>
          <w:lang w:val="it-IT"/>
        </w:rPr>
      </w:pPr>
    </w:p>
    <w:p w:rsidR="00C52A20" w:rsidRPr="00C52A20" w:rsidRDefault="00C611BA" w:rsidP="00C52A20">
      <w:pPr>
        <w:pStyle w:val="Paragrafoelenco"/>
        <w:numPr>
          <w:ilvl w:val="0"/>
          <w:numId w:val="8"/>
        </w:numPr>
        <w:spacing w:line="264" w:lineRule="auto"/>
        <w:ind w:left="851" w:right="379"/>
        <w:jc w:val="both"/>
        <w:rPr>
          <w:rFonts w:ascii="Arial" w:hAnsi="Arial" w:cs="Arial"/>
          <w:i/>
          <w:color w:val="0D0D0D" w:themeColor="text1" w:themeTint="F2"/>
          <w:shd w:val="clear" w:color="auto" w:fill="FFFFFF"/>
          <w:lang w:val="it-IT"/>
        </w:rPr>
      </w:pPr>
      <w:r>
        <w:rPr>
          <w:rFonts w:ascii="Arial" w:hAnsi="Arial" w:cs="Arial"/>
          <w:i/>
          <w:color w:val="0D0D0D" w:themeColor="text1" w:themeTint="F2"/>
          <w:lang w:val="it-IT"/>
        </w:rPr>
        <w:t xml:space="preserve">Il </w:t>
      </w:r>
      <w:proofErr w:type="spellStart"/>
      <w:r>
        <w:rPr>
          <w:rFonts w:ascii="Arial" w:hAnsi="Arial" w:cs="Arial"/>
          <w:i/>
          <w:color w:val="0D0D0D" w:themeColor="text1" w:themeTint="F2"/>
          <w:lang w:val="it-IT"/>
        </w:rPr>
        <w:t>biosimilare</w:t>
      </w:r>
      <w:proofErr w:type="spellEnd"/>
      <w:r>
        <w:rPr>
          <w:rFonts w:ascii="Arial" w:hAnsi="Arial" w:cs="Arial"/>
          <w:i/>
          <w:color w:val="0D0D0D" w:themeColor="text1" w:themeTint="F2"/>
          <w:lang w:val="it-IT"/>
        </w:rPr>
        <w:t xml:space="preserve"> di </w:t>
      </w:r>
      <w:proofErr w:type="spellStart"/>
      <w:r>
        <w:rPr>
          <w:rFonts w:ascii="Arial" w:hAnsi="Arial" w:cs="Arial"/>
          <w:i/>
          <w:color w:val="0D0D0D" w:themeColor="text1" w:themeTint="F2"/>
          <w:lang w:val="it-IT"/>
        </w:rPr>
        <w:t>rituximab</w:t>
      </w:r>
      <w:proofErr w:type="spellEnd"/>
      <w:r>
        <w:rPr>
          <w:rFonts w:ascii="Arial" w:hAnsi="Arial" w:cs="Arial"/>
          <w:i/>
          <w:color w:val="0D0D0D" w:themeColor="text1" w:themeTint="F2"/>
          <w:lang w:val="it-IT"/>
        </w:rPr>
        <w:t xml:space="preserve"> costerà </w:t>
      </w:r>
      <w:r w:rsidR="009B27E3">
        <w:rPr>
          <w:rFonts w:ascii="Arial" w:hAnsi="Arial" w:cs="Arial"/>
          <w:i/>
          <w:color w:val="0D0D0D" w:themeColor="text1" w:themeTint="F2"/>
          <w:shd w:val="clear" w:color="auto" w:fill="FFFFFF"/>
          <w:lang w:val="it-IT"/>
        </w:rPr>
        <w:t>meno</w:t>
      </w:r>
      <w:r w:rsidR="00B356F4">
        <w:rPr>
          <w:rFonts w:ascii="Arial" w:hAnsi="Arial" w:cs="Arial"/>
          <w:i/>
          <w:color w:val="0D0D0D" w:themeColor="text1" w:themeTint="F2"/>
          <w:shd w:val="clear" w:color="auto" w:fill="FFFFFF"/>
          <w:lang w:val="it-IT"/>
        </w:rPr>
        <w:t xml:space="preserve"> </w:t>
      </w:r>
      <w:r w:rsidR="005166F2" w:rsidRPr="005166F2">
        <w:rPr>
          <w:rFonts w:ascii="Arial" w:hAnsi="Arial" w:cs="Arial"/>
          <w:i/>
          <w:color w:val="0D0D0D" w:themeColor="text1" w:themeTint="F2"/>
          <w:shd w:val="clear" w:color="auto" w:fill="FFFFFF"/>
          <w:lang w:val="it-IT"/>
        </w:rPr>
        <w:t>risp</w:t>
      </w:r>
      <w:r w:rsidR="009B27E3">
        <w:rPr>
          <w:rFonts w:ascii="Arial" w:hAnsi="Arial" w:cs="Arial"/>
          <w:i/>
          <w:color w:val="0D0D0D" w:themeColor="text1" w:themeTint="F2"/>
          <w:shd w:val="clear" w:color="auto" w:fill="FFFFFF"/>
          <w:lang w:val="it-IT"/>
        </w:rPr>
        <w:t xml:space="preserve">etto al prodotto di riferimento; </w:t>
      </w:r>
      <w:r w:rsidR="00CF27C8">
        <w:rPr>
          <w:rFonts w:ascii="Arial" w:hAnsi="Arial" w:cs="Arial"/>
          <w:i/>
          <w:color w:val="0D0D0D" w:themeColor="text1" w:themeTint="F2"/>
          <w:shd w:val="clear" w:color="auto" w:fill="FFFFFF"/>
          <w:lang w:val="it-IT"/>
        </w:rPr>
        <w:t xml:space="preserve">l’auspicio è </w:t>
      </w:r>
      <w:r w:rsidR="009B27E3">
        <w:rPr>
          <w:rFonts w:ascii="Arial" w:hAnsi="Arial" w:cs="Arial"/>
          <w:i/>
          <w:color w:val="0D0D0D" w:themeColor="text1" w:themeTint="F2"/>
          <w:shd w:val="clear" w:color="auto" w:fill="FFFFFF"/>
          <w:lang w:val="it-IT"/>
        </w:rPr>
        <w:t xml:space="preserve">che </w:t>
      </w:r>
      <w:r w:rsidR="00CF27C8">
        <w:rPr>
          <w:rFonts w:ascii="Arial" w:hAnsi="Arial" w:cs="Arial"/>
          <w:i/>
          <w:color w:val="0D0D0D" w:themeColor="text1" w:themeTint="F2"/>
          <w:shd w:val="clear" w:color="auto" w:fill="FFFFFF"/>
          <w:lang w:val="it-IT"/>
        </w:rPr>
        <w:t xml:space="preserve">il risparmio ottenibile </w:t>
      </w:r>
      <w:r w:rsidR="00B356F4">
        <w:rPr>
          <w:rFonts w:ascii="Arial" w:hAnsi="Arial" w:cs="Arial"/>
          <w:i/>
          <w:color w:val="0D0D0D" w:themeColor="text1" w:themeTint="F2"/>
          <w:shd w:val="clear" w:color="auto" w:fill="FFFFFF"/>
          <w:lang w:val="it-IT"/>
        </w:rPr>
        <w:t>possa</w:t>
      </w:r>
      <w:r w:rsidR="009B27E3">
        <w:rPr>
          <w:rFonts w:ascii="Arial" w:hAnsi="Arial" w:cs="Arial"/>
          <w:i/>
          <w:color w:val="0D0D0D" w:themeColor="text1" w:themeTint="F2"/>
          <w:shd w:val="clear" w:color="auto" w:fill="FFFFFF"/>
          <w:lang w:val="it-IT"/>
        </w:rPr>
        <w:t xml:space="preserve"> liberare risorse</w:t>
      </w:r>
      <w:r w:rsidR="005166F2" w:rsidRPr="005166F2">
        <w:rPr>
          <w:rFonts w:ascii="Arial" w:hAnsi="Arial" w:cs="Arial"/>
          <w:i/>
          <w:color w:val="0D0D0D" w:themeColor="text1" w:themeTint="F2"/>
          <w:shd w:val="clear" w:color="auto" w:fill="FFFFFF"/>
          <w:lang w:val="it-IT"/>
        </w:rPr>
        <w:t xml:space="preserve"> </w:t>
      </w:r>
      <w:r w:rsidR="009E7BE0">
        <w:rPr>
          <w:rFonts w:ascii="Arial" w:hAnsi="Arial" w:cs="Arial"/>
          <w:i/>
          <w:color w:val="0D0D0D" w:themeColor="text1" w:themeTint="F2"/>
          <w:shd w:val="clear" w:color="auto" w:fill="FFFFFF"/>
          <w:lang w:val="it-IT"/>
        </w:rPr>
        <w:t xml:space="preserve">da </w:t>
      </w:r>
      <w:r w:rsidR="00D35E75">
        <w:rPr>
          <w:rFonts w:ascii="Arial" w:hAnsi="Arial" w:cs="Arial"/>
          <w:i/>
          <w:color w:val="0D0D0D" w:themeColor="text1" w:themeTint="F2"/>
          <w:shd w:val="clear" w:color="auto" w:fill="FFFFFF"/>
          <w:lang w:val="it-IT"/>
        </w:rPr>
        <w:t xml:space="preserve">impiegare per </w:t>
      </w:r>
      <w:r w:rsidR="005166F2" w:rsidRPr="005166F2">
        <w:rPr>
          <w:rFonts w:ascii="Arial" w:hAnsi="Arial" w:cs="Arial"/>
          <w:i/>
          <w:color w:val="0D0D0D" w:themeColor="text1" w:themeTint="F2"/>
          <w:shd w:val="clear" w:color="auto" w:fill="FFFFFF"/>
          <w:lang w:val="it-IT"/>
        </w:rPr>
        <w:t>altri farmaci antitumorali innovativi</w:t>
      </w:r>
      <w:r w:rsidR="00B6474E">
        <w:rPr>
          <w:rFonts w:ascii="Arial" w:hAnsi="Arial" w:cs="Arial"/>
          <w:i/>
          <w:color w:val="0D0D0D" w:themeColor="text1" w:themeTint="F2"/>
          <w:shd w:val="clear" w:color="auto" w:fill="FFFFFF"/>
          <w:lang w:val="it-IT"/>
        </w:rPr>
        <w:t>.</w:t>
      </w:r>
    </w:p>
    <w:p w:rsidR="00C52A20" w:rsidRPr="00C52A20" w:rsidRDefault="00C52A20" w:rsidP="00C52A20">
      <w:pPr>
        <w:pStyle w:val="Paragrafoelenco"/>
        <w:spacing w:line="264" w:lineRule="auto"/>
        <w:ind w:left="851" w:right="379"/>
        <w:jc w:val="both"/>
        <w:rPr>
          <w:rFonts w:ascii="Arial" w:hAnsi="Arial" w:cs="Arial"/>
          <w:i/>
          <w:color w:val="0D0D0D" w:themeColor="text1" w:themeTint="F2"/>
          <w:sz w:val="10"/>
          <w:shd w:val="clear" w:color="auto" w:fill="FFFFFF"/>
          <w:lang w:val="it-IT"/>
        </w:rPr>
      </w:pPr>
    </w:p>
    <w:p w:rsidR="00B356F4" w:rsidRPr="00B356F4" w:rsidRDefault="00B356F4" w:rsidP="00C52A20">
      <w:pPr>
        <w:pStyle w:val="Paragrafoelenco"/>
        <w:numPr>
          <w:ilvl w:val="0"/>
          <w:numId w:val="8"/>
        </w:numPr>
        <w:spacing w:after="240" w:line="264" w:lineRule="auto"/>
        <w:ind w:left="850" w:right="380" w:hanging="357"/>
        <w:jc w:val="both"/>
        <w:rPr>
          <w:rFonts w:ascii="Arial" w:hAnsi="Arial" w:cs="Arial"/>
          <w:i/>
          <w:color w:val="0D0D0D" w:themeColor="text1" w:themeTint="F2"/>
          <w:shd w:val="clear" w:color="auto" w:fill="FFFFFF"/>
          <w:lang w:val="it-IT"/>
        </w:rPr>
      </w:pPr>
      <w:r w:rsidRPr="00B356F4">
        <w:rPr>
          <w:rFonts w:ascii="Arial" w:hAnsi="Arial" w:cs="Arial"/>
          <w:i/>
          <w:color w:val="0D0D0D" w:themeColor="text1" w:themeTint="F2"/>
          <w:shd w:val="clear" w:color="auto" w:fill="FFFFFF"/>
          <w:lang w:val="it-IT"/>
        </w:rPr>
        <w:t xml:space="preserve">Si stima che, in totale, </w:t>
      </w:r>
      <w:r>
        <w:rPr>
          <w:rFonts w:ascii="Arial" w:hAnsi="Arial" w:cs="Arial"/>
          <w:i/>
          <w:color w:val="0D0D0D" w:themeColor="text1" w:themeTint="F2"/>
          <w:shd w:val="clear" w:color="auto" w:fill="FFFFFF"/>
          <w:lang w:val="it-IT"/>
        </w:rPr>
        <w:t xml:space="preserve">i </w:t>
      </w:r>
      <w:proofErr w:type="spellStart"/>
      <w:r w:rsidRPr="00B356F4">
        <w:rPr>
          <w:rFonts w:ascii="Arial" w:hAnsi="Arial" w:cs="Arial"/>
          <w:i/>
          <w:color w:val="0D0D0D" w:themeColor="text1" w:themeTint="F2"/>
          <w:shd w:val="clear" w:color="auto" w:fill="FFFFFF"/>
          <w:lang w:val="it-IT"/>
        </w:rPr>
        <w:t>biosimilari</w:t>
      </w:r>
      <w:proofErr w:type="spellEnd"/>
      <w:r w:rsidRPr="00B356F4">
        <w:rPr>
          <w:rFonts w:ascii="Arial" w:hAnsi="Arial" w:cs="Arial"/>
          <w:i/>
          <w:color w:val="0D0D0D" w:themeColor="text1" w:themeTint="F2"/>
          <w:shd w:val="clear" w:color="auto" w:fill="FFFFFF"/>
          <w:lang w:val="it-IT"/>
        </w:rPr>
        <w:t xml:space="preserve"> </w:t>
      </w:r>
      <w:r>
        <w:rPr>
          <w:rFonts w:ascii="Arial" w:hAnsi="Arial" w:cs="Arial"/>
          <w:i/>
          <w:color w:val="0D0D0D" w:themeColor="text1" w:themeTint="F2"/>
          <w:shd w:val="clear" w:color="auto" w:fill="FFFFFF"/>
          <w:lang w:val="it-IT"/>
        </w:rPr>
        <w:t xml:space="preserve">possano potenzialmente far risparmiare ai sistemi sanitari europei </w:t>
      </w:r>
      <w:r w:rsidR="007C3CB5">
        <w:rPr>
          <w:rFonts w:ascii="Arial" w:hAnsi="Arial" w:cs="Arial"/>
          <w:i/>
          <w:color w:val="0D0D0D" w:themeColor="text1" w:themeTint="F2"/>
          <w:shd w:val="clear" w:color="auto" w:fill="FFFFFF"/>
          <w:lang w:val="it-IT"/>
        </w:rPr>
        <w:t>circa 15 miliardi di euro</w:t>
      </w:r>
      <w:r w:rsidRPr="00B356F4">
        <w:rPr>
          <w:rFonts w:ascii="Arial" w:hAnsi="Arial" w:cs="Arial"/>
          <w:i/>
          <w:color w:val="0D0D0D" w:themeColor="text1" w:themeTint="F2"/>
          <w:shd w:val="clear" w:color="auto" w:fill="FFFFFF"/>
          <w:lang w:val="it-IT"/>
        </w:rPr>
        <w:t xml:space="preserve"> nei prossimi </w:t>
      </w:r>
      <w:r w:rsidR="00B3019D">
        <w:rPr>
          <w:rFonts w:ascii="Arial" w:hAnsi="Arial" w:cs="Arial"/>
          <w:i/>
          <w:color w:val="0D0D0D" w:themeColor="text1" w:themeTint="F2"/>
          <w:shd w:val="clear" w:color="auto" w:fill="FFFFFF"/>
          <w:lang w:val="it-IT"/>
        </w:rPr>
        <w:t>5</w:t>
      </w:r>
      <w:r w:rsidRPr="00B356F4">
        <w:rPr>
          <w:rFonts w:ascii="Arial" w:hAnsi="Arial" w:cs="Arial"/>
          <w:i/>
          <w:color w:val="0D0D0D" w:themeColor="text1" w:themeTint="F2"/>
          <w:shd w:val="clear" w:color="auto" w:fill="FFFFFF"/>
          <w:lang w:val="it-IT"/>
        </w:rPr>
        <w:t xml:space="preserve"> anni</w:t>
      </w:r>
      <w:r w:rsidR="0025735F">
        <w:rPr>
          <w:rFonts w:ascii="Arial" w:hAnsi="Arial" w:cs="Arial"/>
          <w:i/>
          <w:color w:val="0D0D0D" w:themeColor="text1" w:themeTint="F2"/>
          <w:shd w:val="clear" w:color="auto" w:fill="FFFFFF"/>
          <w:vertAlign w:val="superscript"/>
          <w:lang w:val="it-IT"/>
        </w:rPr>
        <w:t>3</w:t>
      </w:r>
      <w:r w:rsidR="00B6474E">
        <w:rPr>
          <w:rFonts w:ascii="Arial" w:hAnsi="Arial" w:cs="Arial"/>
          <w:i/>
          <w:color w:val="0D0D0D" w:themeColor="text1" w:themeTint="F2"/>
          <w:shd w:val="clear" w:color="auto" w:fill="FFFFFF"/>
          <w:lang w:val="it-IT"/>
        </w:rPr>
        <w:t>.</w:t>
      </w:r>
    </w:p>
    <w:p w:rsidR="0065794B" w:rsidRDefault="00850327" w:rsidP="0065794B">
      <w:pPr>
        <w:spacing w:after="0" w:line="264" w:lineRule="auto"/>
        <w:ind w:left="357"/>
        <w:jc w:val="both"/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</w:pPr>
      <w:r>
        <w:rPr>
          <w:rFonts w:ascii="Arial" w:hAnsi="Arial" w:cs="Arial"/>
          <w:b/>
          <w:color w:val="0D0D0D" w:themeColor="text1" w:themeTint="F2"/>
          <w:shd w:val="clear" w:color="auto" w:fill="FFFFFF"/>
          <w:lang w:val="it-IT"/>
        </w:rPr>
        <w:t>Milano, 24</w:t>
      </w:r>
      <w:r w:rsidR="00B356F4">
        <w:rPr>
          <w:rFonts w:ascii="Arial" w:hAnsi="Arial" w:cs="Arial"/>
          <w:b/>
          <w:color w:val="0D0D0D" w:themeColor="text1" w:themeTint="F2"/>
          <w:shd w:val="clear" w:color="auto" w:fill="FFFFFF"/>
          <w:lang w:val="it-IT"/>
        </w:rPr>
        <w:t xml:space="preserve"> febbraio</w:t>
      </w:r>
      <w:r w:rsidR="00F35C2F" w:rsidRPr="006C4426">
        <w:rPr>
          <w:rFonts w:ascii="Arial" w:hAnsi="Arial" w:cs="Arial"/>
          <w:b/>
          <w:color w:val="0D0D0D" w:themeColor="text1" w:themeTint="F2"/>
          <w:shd w:val="clear" w:color="auto" w:fill="FFFFFF"/>
          <w:lang w:val="it-IT"/>
        </w:rPr>
        <w:t xml:space="preserve"> 2017</w:t>
      </w:r>
      <w:r w:rsidR="00320A2D" w:rsidRPr="006C4426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</w:t>
      </w:r>
      <w:r w:rsidR="00EE3CAF" w:rsidRPr="006C4426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– </w:t>
      </w:r>
      <w:r w:rsidR="00B356F4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A seguito dell’autorizzazione </w:t>
      </w:r>
      <w:r w:rsidR="009B6C56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da parte d</w:t>
      </w:r>
      <w:r w:rsidR="000F3852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i </w:t>
      </w:r>
      <w:r w:rsidR="00B356F4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EMA, </w:t>
      </w:r>
      <w:r w:rsidR="00BE72FE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l</w:t>
      </w:r>
      <w:r w:rsidR="00BE72FE" w:rsidRPr="00BE72FE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a rete di consociate indipendenti </w:t>
      </w:r>
      <w:proofErr w:type="spellStart"/>
      <w:r w:rsidR="00BE72FE" w:rsidRPr="00BE72FE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Mundipharma</w:t>
      </w:r>
      <w:proofErr w:type="spellEnd"/>
      <w:r w:rsidR="00BE72FE" w:rsidRPr="00BE72FE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</w:t>
      </w:r>
      <w:r w:rsidR="00B356F4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lancerà </w:t>
      </w:r>
      <w:r w:rsidR="00F84E4F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il primo </w:t>
      </w:r>
      <w:proofErr w:type="spellStart"/>
      <w:r w:rsidR="00F84E4F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biosimilare</w:t>
      </w:r>
      <w:proofErr w:type="spellEnd"/>
      <w:r w:rsidR="00F84E4F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di </w:t>
      </w:r>
      <w:proofErr w:type="spellStart"/>
      <w:r w:rsidR="00F84E4F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rituximab</w:t>
      </w:r>
      <w:proofErr w:type="spellEnd"/>
      <w:r w:rsidR="00F84E4F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(</w:t>
      </w:r>
      <w:proofErr w:type="spellStart"/>
      <w:r w:rsidR="00B356F4" w:rsidRPr="00B356F4">
        <w:rPr>
          <w:rFonts w:ascii="Arial" w:hAnsi="Arial" w:cs="Arial"/>
          <w:color w:val="0D0D0D" w:themeColor="text1" w:themeTint="F2"/>
          <w:lang w:val="it-IT"/>
        </w:rPr>
        <w:t>Truxima</w:t>
      </w:r>
      <w:proofErr w:type="spellEnd"/>
      <w:r w:rsidR="00B356F4" w:rsidRPr="00B356F4">
        <w:rPr>
          <w:rFonts w:ascii="Arial" w:hAnsi="Arial" w:cs="Arial"/>
          <w:color w:val="0D0D0D" w:themeColor="text1" w:themeTint="F2"/>
          <w:vertAlign w:val="superscript"/>
          <w:lang w:val="it-IT"/>
        </w:rPr>
        <w:t>®</w:t>
      </w:r>
      <w:r w:rsidR="00B356F4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) in</w:t>
      </w:r>
      <w:r w:rsidR="00B356F4" w:rsidRPr="00B356F4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Regno Unito, Germania, Italia, Pa</w:t>
      </w:r>
      <w:r w:rsidR="00B356F4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esi Bassi, Belgio, </w:t>
      </w:r>
      <w:r w:rsidR="00B84B98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Irlanda e </w:t>
      </w:r>
      <w:r w:rsidR="00B356F4" w:rsidRPr="00B356F4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Lussemburgo</w:t>
      </w:r>
      <w:r w:rsidR="00B356F4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. </w:t>
      </w:r>
    </w:p>
    <w:p w:rsidR="00771A65" w:rsidRPr="00771A65" w:rsidRDefault="00B356F4" w:rsidP="006C4426">
      <w:pPr>
        <w:spacing w:line="264" w:lineRule="auto"/>
        <w:ind w:left="360"/>
        <w:jc w:val="both"/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</w:pPr>
      <w:proofErr w:type="spellStart"/>
      <w:r w:rsidRPr="00B356F4">
        <w:rPr>
          <w:rFonts w:ascii="Arial" w:hAnsi="Arial" w:cs="Arial"/>
          <w:color w:val="0D0D0D" w:themeColor="text1" w:themeTint="F2"/>
          <w:lang w:val="it-IT"/>
        </w:rPr>
        <w:t>Truxima</w:t>
      </w:r>
      <w:proofErr w:type="spellEnd"/>
      <w:r w:rsidRPr="00B356F4">
        <w:rPr>
          <w:rFonts w:ascii="Arial" w:hAnsi="Arial" w:cs="Arial"/>
          <w:color w:val="0D0D0D" w:themeColor="text1" w:themeTint="F2"/>
          <w:vertAlign w:val="superscript"/>
          <w:lang w:val="it-IT"/>
        </w:rPr>
        <w:t>®</w:t>
      </w:r>
      <w:r w:rsidRPr="00B356F4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è il primo anticorpo monoclonale </w:t>
      </w:r>
      <w:proofErr w:type="spellStart"/>
      <w:r w:rsidRPr="00B356F4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bio</w:t>
      </w:r>
      <w:r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similare</w:t>
      </w:r>
      <w:proofErr w:type="spellEnd"/>
      <w:r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a</w:t>
      </w:r>
      <w:r w:rsidR="00D64C08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pprovato </w:t>
      </w:r>
      <w:r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da</w:t>
      </w:r>
      <w:r w:rsidRPr="00B356F4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ll'Agenzia </w:t>
      </w:r>
      <w:r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Europea per i M</w:t>
      </w:r>
      <w:r w:rsidR="00D64C08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edicinali</w:t>
      </w:r>
      <w:r w:rsidRPr="00B356F4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</w:t>
      </w:r>
      <w:r w:rsidR="00771A65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per il </w:t>
      </w:r>
      <w:r w:rsidRPr="00B356F4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trattamento d</w:t>
      </w:r>
      <w:r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ei</w:t>
      </w:r>
      <w:r w:rsidRPr="00B356F4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tumori, tra cui </w:t>
      </w:r>
      <w:r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il </w:t>
      </w:r>
      <w:r w:rsidRPr="00B356F4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linfoma diffuso a grandi cellule B, </w:t>
      </w:r>
      <w:r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il </w:t>
      </w:r>
      <w:r w:rsidRPr="00B356F4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linfoma follicolare e </w:t>
      </w:r>
      <w:r w:rsidR="00771A65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la leucemia linfatica cronica</w:t>
      </w:r>
      <w:r w:rsidRPr="00771A65">
        <w:rPr>
          <w:rFonts w:ascii="Arial" w:hAnsi="Arial" w:cs="Arial"/>
          <w:color w:val="0D0D0D" w:themeColor="text1" w:themeTint="F2"/>
          <w:shd w:val="clear" w:color="auto" w:fill="FFFFFF"/>
          <w:vertAlign w:val="superscript"/>
          <w:lang w:val="it-IT"/>
        </w:rPr>
        <w:t>1</w:t>
      </w:r>
      <w:r w:rsidR="00771A65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.</w:t>
      </w:r>
    </w:p>
    <w:p w:rsidR="00771A65" w:rsidRDefault="00771A65" w:rsidP="00A0300D">
      <w:pPr>
        <w:spacing w:line="264" w:lineRule="auto"/>
        <w:ind w:left="360"/>
        <w:jc w:val="both"/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</w:pPr>
      <w:r w:rsidRPr="00771A65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L'autorizzazione all'immissione in commercio di </w:t>
      </w:r>
      <w:proofErr w:type="spellStart"/>
      <w:r w:rsidRPr="00B356F4">
        <w:rPr>
          <w:rFonts w:ascii="Arial" w:hAnsi="Arial" w:cs="Arial"/>
          <w:color w:val="0D0D0D" w:themeColor="text1" w:themeTint="F2"/>
          <w:lang w:val="it-IT"/>
        </w:rPr>
        <w:t>Truxima</w:t>
      </w:r>
      <w:proofErr w:type="spellEnd"/>
      <w:r w:rsidRPr="00B356F4">
        <w:rPr>
          <w:rFonts w:ascii="Arial" w:hAnsi="Arial" w:cs="Arial"/>
          <w:color w:val="0D0D0D" w:themeColor="text1" w:themeTint="F2"/>
          <w:vertAlign w:val="superscript"/>
          <w:lang w:val="it-IT"/>
        </w:rPr>
        <w:t>®</w:t>
      </w:r>
      <w:r w:rsidRPr="00771A65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è stata concessa da</w:t>
      </w:r>
      <w:r w:rsidR="00F46A6C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</w:t>
      </w:r>
      <w:r w:rsidRPr="00771A65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EMA sulla base di un rigoroso esercizio </w:t>
      </w:r>
      <w:r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di comparabilità, che inclu</w:t>
      </w:r>
      <w:r w:rsidR="004A72E3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deva</w:t>
      </w:r>
      <w:r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sperimentazioni precliniche</w:t>
      </w:r>
      <w:r w:rsidRPr="00771A65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</w:t>
      </w:r>
      <w:r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e cliniche</w:t>
      </w:r>
      <w:r w:rsidRPr="00771A65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.</w:t>
      </w:r>
      <w:r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</w:t>
      </w:r>
      <w:r w:rsidR="001E0CFD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Tramite dati qualitativi, dati </w:t>
      </w:r>
      <w:r w:rsidR="001E0CFD" w:rsidRPr="001E0CFD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clinici e</w:t>
      </w:r>
      <w:r w:rsidR="001E0CFD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non clinici</w:t>
      </w:r>
      <w:r w:rsidR="004E31A6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,</w:t>
      </w:r>
      <w:r w:rsidR="001E0CFD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è </w:t>
      </w:r>
      <w:r w:rsidR="001E0CFD" w:rsidRPr="00771A65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stato dimostrato</w:t>
      </w:r>
      <w:r w:rsidR="001E0CFD" w:rsidRPr="001E0CFD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che tutte le principali caratteristiche fisico-chimiche e</w:t>
      </w:r>
      <w:r w:rsidR="004E31A6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le</w:t>
      </w:r>
      <w:r w:rsidR="001E0CFD" w:rsidRPr="001E0CFD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attività biologiche </w:t>
      </w:r>
      <w:r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d</w:t>
      </w:r>
      <w:r w:rsidR="004E31A6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el </w:t>
      </w:r>
      <w:proofErr w:type="spellStart"/>
      <w:r w:rsidR="004E31A6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biosimilare</w:t>
      </w:r>
      <w:proofErr w:type="spellEnd"/>
      <w:r w:rsidR="004E31A6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</w:t>
      </w:r>
      <w:r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sono</w:t>
      </w:r>
      <w:r w:rsidRPr="00771A65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paragonabili a quelle del prodotto di riferimento.</w:t>
      </w:r>
      <w:r w:rsidR="001E0CFD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Al pari dell’originator</w:t>
      </w:r>
      <w:r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, </w:t>
      </w:r>
      <w:proofErr w:type="spellStart"/>
      <w:r w:rsidRPr="00B356F4">
        <w:rPr>
          <w:rFonts w:ascii="Arial" w:hAnsi="Arial" w:cs="Arial"/>
          <w:color w:val="0D0D0D" w:themeColor="text1" w:themeTint="F2"/>
          <w:lang w:val="it-IT"/>
        </w:rPr>
        <w:t>Truxima</w:t>
      </w:r>
      <w:proofErr w:type="spellEnd"/>
      <w:r w:rsidRPr="00B356F4">
        <w:rPr>
          <w:rFonts w:ascii="Arial" w:hAnsi="Arial" w:cs="Arial"/>
          <w:color w:val="0D0D0D" w:themeColor="text1" w:themeTint="F2"/>
          <w:vertAlign w:val="superscript"/>
          <w:lang w:val="it-IT"/>
        </w:rPr>
        <w:t>®</w:t>
      </w:r>
      <w:r>
        <w:rPr>
          <w:rFonts w:ascii="Arial" w:hAnsi="Arial" w:cs="Arial"/>
          <w:color w:val="0D0D0D" w:themeColor="text1" w:themeTint="F2"/>
          <w:vertAlign w:val="superscript"/>
          <w:lang w:val="it-IT"/>
        </w:rPr>
        <w:t xml:space="preserve"> </w:t>
      </w:r>
      <w:r w:rsidRPr="00771A65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è </w:t>
      </w:r>
      <w:r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stato quindi autorizzato </w:t>
      </w:r>
      <w:r w:rsidR="001249F1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per </w:t>
      </w:r>
      <w:r w:rsidR="00C53514" w:rsidRPr="00790320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tutte le indicazioni del biologico di riferimento</w:t>
      </w:r>
      <w:r w:rsidR="009E55C5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, ossia per</w:t>
      </w:r>
      <w:r w:rsidR="00C53514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</w:t>
      </w:r>
      <w:r w:rsidR="001249F1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il</w:t>
      </w:r>
      <w:r w:rsidRPr="00771A65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trattamento del linfoma diffuso a grandi cellule B, </w:t>
      </w:r>
      <w:r w:rsidR="00A0300D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del </w:t>
      </w:r>
      <w:r w:rsidRPr="00771A65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linfoma follicolare,</w:t>
      </w:r>
      <w:r w:rsidR="00A0300D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della</w:t>
      </w:r>
      <w:r w:rsidRPr="00771A65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leucemia linfatica cronica,</w:t>
      </w:r>
      <w:r w:rsidR="00A0300D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dell’</w:t>
      </w:r>
      <w:r w:rsidRPr="00771A65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artrite reumatoide, </w:t>
      </w:r>
      <w:r w:rsidR="00A0300D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della </w:t>
      </w:r>
      <w:r w:rsidRPr="00771A65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granulomato</w:t>
      </w:r>
      <w:r w:rsidR="00A0300D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si </w:t>
      </w:r>
      <w:r w:rsidR="001E0CFD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associata a </w:t>
      </w:r>
      <w:proofErr w:type="spellStart"/>
      <w:r w:rsidR="00A0300D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poliangi</w:t>
      </w:r>
      <w:r w:rsidR="001E0CFD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oi</w:t>
      </w:r>
      <w:r w:rsidR="00A0300D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te</w:t>
      </w:r>
      <w:proofErr w:type="spellEnd"/>
      <w:r w:rsidR="00A0300D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e</w:t>
      </w:r>
      <w:r w:rsidR="00A41A9E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della </w:t>
      </w:r>
      <w:proofErr w:type="spellStart"/>
      <w:r w:rsidR="00A41A9E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poliangi</w:t>
      </w:r>
      <w:r w:rsidR="001E0CFD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oite</w:t>
      </w:r>
      <w:proofErr w:type="spellEnd"/>
      <w:r w:rsidR="001E0CFD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microsc</w:t>
      </w:r>
      <w:r w:rsidR="00A41A9E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opica</w:t>
      </w:r>
      <w:r w:rsidR="00DE0405" w:rsidRPr="00DE0405">
        <w:rPr>
          <w:rFonts w:ascii="Arial" w:hAnsi="Arial" w:cs="Arial"/>
          <w:color w:val="0D0D0D" w:themeColor="text1" w:themeTint="F2"/>
          <w:shd w:val="clear" w:color="auto" w:fill="FFFFFF"/>
          <w:vertAlign w:val="superscript"/>
          <w:lang w:val="it-IT"/>
        </w:rPr>
        <w:t>1</w:t>
      </w:r>
      <w:r w:rsidR="00A41A9E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.</w:t>
      </w:r>
    </w:p>
    <w:p w:rsidR="00771A65" w:rsidRDefault="00A41A9E" w:rsidP="00A41A9E">
      <w:pPr>
        <w:spacing w:line="264" w:lineRule="auto"/>
        <w:ind w:left="360"/>
        <w:jc w:val="both"/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</w:pPr>
      <w:r w:rsidRPr="00A41A9E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Gli anticorpi monoclonali</w:t>
      </w:r>
      <w:r w:rsidR="001E0CFD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sono farmaci biologici e, c</w:t>
      </w:r>
      <w:r w:rsidR="009B6C56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ome tali</w:t>
      </w:r>
      <w:r w:rsidR="001E0CFD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,</w:t>
      </w:r>
      <w:r w:rsidR="009B6C56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si caratterizzano per</w:t>
      </w:r>
      <w:r w:rsidR="00F303C3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la grandezza e </w:t>
      </w:r>
      <w:r w:rsidR="009B6C56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complessità delle </w:t>
      </w:r>
      <w:r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molecole</w:t>
      </w:r>
      <w:r w:rsidR="00824A10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,</w:t>
      </w:r>
      <w:r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che vengono isolate da</w:t>
      </w:r>
      <w:r w:rsidR="001E0CFD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cellule viventi, di natura umana o animale</w:t>
      </w:r>
      <w:r w:rsidR="00824A10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, o </w:t>
      </w:r>
      <w:r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da</w:t>
      </w:r>
      <w:r w:rsidRPr="00A41A9E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microrganismi.</w:t>
      </w:r>
      <w:r w:rsidRPr="00A41A9E">
        <w:rPr>
          <w:lang w:val="it-IT"/>
        </w:rPr>
        <w:t xml:space="preserve"> </w:t>
      </w:r>
      <w:r w:rsidRPr="00A41A9E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I </w:t>
      </w:r>
      <w:r w:rsidR="00824A10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medicinali </w:t>
      </w:r>
      <w:r w:rsidRPr="00A41A9E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biologici</w:t>
      </w:r>
      <w:r w:rsidR="002C44DF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, </w:t>
      </w:r>
      <w:r w:rsidR="002C44DF" w:rsidRPr="00A41A9E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fin dalla loro introduzion</w:t>
      </w:r>
      <w:r w:rsidR="002C44DF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e nel 1998, </w:t>
      </w:r>
      <w:r w:rsidR="00824A10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hanno consentito</w:t>
      </w:r>
      <w:r w:rsidRPr="00A41A9E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significativi miglioramenti </w:t>
      </w:r>
      <w:r w:rsidR="002C44DF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nel trattamento dei tumori, ma il loro</w:t>
      </w:r>
      <w:r w:rsidRPr="00A41A9E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crescente </w:t>
      </w:r>
      <w:r w:rsidR="002C44DF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impiego </w:t>
      </w:r>
      <w:r w:rsidR="00824A10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ha </w:t>
      </w:r>
      <w:r w:rsidR="00EB3397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generato costi elevati a</w:t>
      </w:r>
      <w:r w:rsidR="002C44DF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carico dei</w:t>
      </w:r>
      <w:r w:rsidRPr="00A41A9E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sistemi </w:t>
      </w:r>
      <w:r w:rsidRPr="007C3CB5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sanitari europei</w:t>
      </w:r>
      <w:r w:rsidR="00824A10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.</w:t>
      </w:r>
      <w:r w:rsidR="00F303C3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Oggi, inoltre, </w:t>
      </w:r>
      <w:r w:rsidR="00F303C3" w:rsidRPr="007C3CB5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in tempi </w:t>
      </w:r>
      <w:r w:rsidR="00F303C3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in cui</w:t>
      </w:r>
      <w:r w:rsidR="00F303C3" w:rsidRPr="007C3CB5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particolare attenzione</w:t>
      </w:r>
      <w:r w:rsidR="00F303C3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è dedicata a</w:t>
      </w:r>
      <w:r w:rsidR="00956C34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lla spesa sanitaria</w:t>
      </w:r>
      <w:r w:rsidR="00F303C3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, </w:t>
      </w:r>
      <w:r w:rsidR="007C3CB5" w:rsidRPr="007C3CB5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anche le </w:t>
      </w:r>
      <w:r w:rsidRPr="007C3CB5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più recenti</w:t>
      </w:r>
      <w:r w:rsidR="00A43B0E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e</w:t>
      </w:r>
      <w:r w:rsidRPr="007C3CB5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</w:t>
      </w:r>
      <w:r w:rsidR="00A43B0E" w:rsidRPr="007C3CB5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innovative </w:t>
      </w:r>
      <w:r w:rsidRPr="007C3CB5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terapie o</w:t>
      </w:r>
      <w:r w:rsidR="007C3CB5" w:rsidRPr="007C3CB5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ncologiche sono</w:t>
      </w:r>
      <w:r w:rsidRPr="007C3CB5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in competizione</w:t>
      </w:r>
      <w:r w:rsidR="00F303C3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tra loro ai fini del </w:t>
      </w:r>
      <w:r w:rsidR="007C3CB5" w:rsidRPr="007C3CB5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loro </w:t>
      </w:r>
      <w:r w:rsidRPr="007C3CB5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finanziamento</w:t>
      </w:r>
      <w:r w:rsidRPr="00A41A9E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.</w:t>
      </w:r>
    </w:p>
    <w:p w:rsidR="007C3CB5" w:rsidRPr="007C3CB5" w:rsidRDefault="007C3CB5" w:rsidP="00A41A9E">
      <w:pPr>
        <w:spacing w:line="264" w:lineRule="auto"/>
        <w:ind w:left="360"/>
        <w:jc w:val="both"/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</w:pPr>
      <w:r w:rsidRPr="007C3CB5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Nel 2015, il </w:t>
      </w:r>
      <w:r w:rsidR="00801EFD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biologico </w:t>
      </w:r>
      <w:r w:rsidRPr="007C3CB5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di riferimento </w:t>
      </w:r>
      <w:r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(</w:t>
      </w:r>
      <w:proofErr w:type="spellStart"/>
      <w:r w:rsidRPr="007C3CB5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Mabthera</w:t>
      </w:r>
      <w:proofErr w:type="spellEnd"/>
      <w:r w:rsidRPr="007C3CB5">
        <w:rPr>
          <w:rFonts w:ascii="Arial" w:hAnsi="Arial" w:cs="Arial"/>
          <w:color w:val="0D0D0D" w:themeColor="text1" w:themeTint="F2"/>
          <w:shd w:val="clear" w:color="auto" w:fill="FFFFFF"/>
          <w:vertAlign w:val="superscript"/>
          <w:lang w:val="it-IT"/>
        </w:rPr>
        <w:t>®</w:t>
      </w:r>
      <w:r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) </w:t>
      </w:r>
      <w:r w:rsidR="00F303C3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è stato il farmaco antitumorale</w:t>
      </w:r>
      <w:r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più venduto, con un </w:t>
      </w:r>
      <w:r w:rsidR="00980ED7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onere</w:t>
      </w:r>
      <w:r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finanziario </w:t>
      </w:r>
      <w:r w:rsidR="00980ED7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a carico de</w:t>
      </w:r>
      <w:r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i sistemi sanitari di tutto il mondo </w:t>
      </w:r>
      <w:r w:rsidR="00980ED7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pari a </w:t>
      </w:r>
      <w:r w:rsidR="00F303C3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oltre</w:t>
      </w:r>
      <w:r w:rsidR="007E63D9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7,1 miliardi di dollari</w:t>
      </w:r>
      <w:r w:rsidR="00FE5D55">
        <w:rPr>
          <w:rFonts w:ascii="Arial" w:hAnsi="Arial" w:cs="Arial"/>
          <w:color w:val="0D0D0D" w:themeColor="text1" w:themeTint="F2"/>
          <w:shd w:val="clear" w:color="auto" w:fill="FFFFFF"/>
          <w:vertAlign w:val="superscript"/>
          <w:lang w:val="it-IT"/>
        </w:rPr>
        <w:t>4</w:t>
      </w:r>
      <w:r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. Poiché </w:t>
      </w:r>
      <w:r w:rsidR="00D5358C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il </w:t>
      </w:r>
      <w:proofErr w:type="spellStart"/>
      <w:r w:rsidR="00D5358C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biosimilare</w:t>
      </w:r>
      <w:proofErr w:type="spellEnd"/>
      <w:r w:rsidR="00D5358C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di </w:t>
      </w:r>
      <w:proofErr w:type="spellStart"/>
      <w:r w:rsidR="00D5358C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rituximab</w:t>
      </w:r>
      <w:proofErr w:type="spellEnd"/>
      <w:r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costerà </w:t>
      </w:r>
      <w:r w:rsidRPr="007C3CB5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meno ris</w:t>
      </w:r>
      <w:r w:rsidR="00F303C3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petto all’originator</w:t>
      </w:r>
      <w:r w:rsidRPr="007C3CB5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, </w:t>
      </w:r>
      <w:r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l’auspicio è</w:t>
      </w:r>
      <w:r w:rsidRPr="007C3CB5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che il ri</w:t>
      </w:r>
      <w:r w:rsidR="001E4A6B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sparmio ottenuto </w:t>
      </w:r>
      <w:r w:rsidR="00677C81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con il suo impiego </w:t>
      </w:r>
      <w:r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possa consentire </w:t>
      </w:r>
      <w:r w:rsidRPr="007C3CB5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l'accesso</w:t>
      </w:r>
      <w:r w:rsidR="001E4A6B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alle </w:t>
      </w:r>
      <w:r w:rsidR="001E4A6B" w:rsidRPr="007C3CB5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terapie oncologiche innovative</w:t>
      </w:r>
      <w:r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</w:t>
      </w:r>
      <w:r w:rsidR="001E4A6B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al maggior numero </w:t>
      </w:r>
      <w:r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di pazienti</w:t>
      </w:r>
      <w:r w:rsidR="001E4A6B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che ne abbiano necessità</w:t>
      </w:r>
      <w:r w:rsidR="00FE5D55" w:rsidRPr="00FE5D55">
        <w:rPr>
          <w:rFonts w:ascii="Arial" w:hAnsi="Arial" w:cs="Arial"/>
          <w:color w:val="0D0D0D" w:themeColor="text1" w:themeTint="F2"/>
          <w:shd w:val="clear" w:color="auto" w:fill="FFFFFF"/>
          <w:vertAlign w:val="superscript"/>
          <w:lang w:val="it-IT"/>
        </w:rPr>
        <w:t>5</w:t>
      </w:r>
      <w:r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.</w:t>
      </w:r>
    </w:p>
    <w:p w:rsidR="008E7B58" w:rsidRPr="001E4A6B" w:rsidRDefault="008E7B58" w:rsidP="00902E05">
      <w:pPr>
        <w:spacing w:line="264" w:lineRule="auto"/>
        <w:ind w:left="360"/>
        <w:jc w:val="both"/>
        <w:rPr>
          <w:rFonts w:ascii="Arial" w:hAnsi="Arial" w:cs="Arial"/>
          <w:i/>
          <w:color w:val="0D0D0D" w:themeColor="text1" w:themeTint="F2"/>
          <w:shd w:val="clear" w:color="auto" w:fill="FFFFFF"/>
          <w:lang w:val="it-IT"/>
        </w:rPr>
      </w:pPr>
      <w:proofErr w:type="spellStart"/>
      <w:r w:rsidRPr="00B356F4">
        <w:rPr>
          <w:rFonts w:ascii="Arial" w:hAnsi="Arial" w:cs="Arial"/>
          <w:color w:val="0D0D0D" w:themeColor="text1" w:themeTint="F2"/>
          <w:lang w:val="it-IT"/>
        </w:rPr>
        <w:lastRenderedPageBreak/>
        <w:t>Truxima</w:t>
      </w:r>
      <w:proofErr w:type="spellEnd"/>
      <w:r w:rsidRPr="00B356F4">
        <w:rPr>
          <w:rFonts w:ascii="Arial" w:hAnsi="Arial" w:cs="Arial"/>
          <w:color w:val="0D0D0D" w:themeColor="text1" w:themeTint="F2"/>
          <w:vertAlign w:val="superscript"/>
          <w:lang w:val="it-IT"/>
        </w:rPr>
        <w:t>®</w:t>
      </w:r>
      <w:r>
        <w:rPr>
          <w:rFonts w:ascii="Arial" w:hAnsi="Arial" w:cs="Arial"/>
          <w:color w:val="0D0D0D" w:themeColor="text1" w:themeTint="F2"/>
          <w:vertAlign w:val="superscript"/>
          <w:lang w:val="it-IT"/>
        </w:rPr>
        <w:t xml:space="preserve"> </w:t>
      </w:r>
      <w:r w:rsidRPr="008E7B58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è il secondo anticorpo monoclonale </w:t>
      </w:r>
      <w:proofErr w:type="spellStart"/>
      <w:r w:rsidRPr="008E7B58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biosimilare</w:t>
      </w:r>
      <w:proofErr w:type="spellEnd"/>
      <w:r w:rsidRPr="008E7B58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ad essere</w:t>
      </w:r>
      <w:r w:rsidR="001E4A6B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distribuito e</w:t>
      </w:r>
      <w:r w:rsidRPr="008E7B58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</w:t>
      </w:r>
      <w:r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commercializzato da</w:t>
      </w:r>
      <w:r w:rsidR="001E4A6B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lla rete </w:t>
      </w:r>
      <w:proofErr w:type="spellStart"/>
      <w:r w:rsidRPr="008E7B58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Mundipharma</w:t>
      </w:r>
      <w:proofErr w:type="spellEnd"/>
      <w:r w:rsidRPr="008E7B58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 in Europa, </w:t>
      </w:r>
      <w:r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 xml:space="preserve">dopo il lancio, nel 2015, di </w:t>
      </w:r>
      <w:proofErr w:type="spellStart"/>
      <w:r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Remsima</w:t>
      </w:r>
      <w:proofErr w:type="spellEnd"/>
      <w:r w:rsidRPr="008E7B58">
        <w:rPr>
          <w:rFonts w:ascii="Arial" w:hAnsi="Arial" w:cs="Arial"/>
          <w:color w:val="0D0D0D" w:themeColor="text1" w:themeTint="F2"/>
          <w:shd w:val="clear" w:color="auto" w:fill="FFFFFF"/>
          <w:vertAlign w:val="superscript"/>
          <w:lang w:val="it-IT"/>
        </w:rPr>
        <w:t>®</w:t>
      </w:r>
      <w:r w:rsidR="00EF0EE8">
        <w:rPr>
          <w:rFonts w:ascii="Arial" w:hAnsi="Arial" w:cs="Arial"/>
          <w:color w:val="0D0D0D" w:themeColor="text1" w:themeTint="F2"/>
          <w:shd w:val="clear" w:color="auto" w:fill="FFFFFF"/>
          <w:lang w:val="it-IT"/>
        </w:rPr>
        <w:t>.</w:t>
      </w:r>
    </w:p>
    <w:p w:rsidR="00355BEA" w:rsidRDefault="005A6B1A" w:rsidP="00902E05">
      <w:pPr>
        <w:spacing w:after="160" w:line="259" w:lineRule="auto"/>
        <w:ind w:left="360"/>
        <w:jc w:val="both"/>
        <w:rPr>
          <w:rFonts w:ascii="Arial" w:hAnsi="Arial" w:cs="Arial"/>
          <w:i/>
          <w:lang w:val="it-IT"/>
        </w:rPr>
      </w:pPr>
      <w:r>
        <w:rPr>
          <w:rFonts w:ascii="Arial" w:hAnsi="Arial" w:cs="Arial"/>
          <w:i/>
          <w:color w:val="0D0D0D" w:themeColor="text1" w:themeTint="F2"/>
          <w:lang w:val="it-IT"/>
        </w:rPr>
        <w:t>“</w:t>
      </w:r>
      <w:r w:rsidR="009C67C4">
        <w:rPr>
          <w:rFonts w:ascii="Arial" w:hAnsi="Arial" w:cs="Arial"/>
          <w:i/>
          <w:color w:val="0D0D0D" w:themeColor="text1" w:themeTint="F2"/>
          <w:lang w:val="it-IT"/>
        </w:rPr>
        <w:t>L’autorizzazione di EMA a</w:t>
      </w:r>
      <w:r w:rsidR="008B0718">
        <w:rPr>
          <w:rFonts w:ascii="Arial" w:hAnsi="Arial" w:cs="Arial"/>
          <w:i/>
          <w:color w:val="0D0D0D" w:themeColor="text1" w:themeTint="F2"/>
          <w:lang w:val="it-IT"/>
        </w:rPr>
        <w:t xml:space="preserve">l primo </w:t>
      </w:r>
      <w:proofErr w:type="spellStart"/>
      <w:r w:rsidR="008B0718">
        <w:rPr>
          <w:rFonts w:ascii="Arial" w:hAnsi="Arial" w:cs="Arial"/>
          <w:i/>
          <w:color w:val="0D0D0D" w:themeColor="text1" w:themeTint="F2"/>
          <w:lang w:val="it-IT"/>
        </w:rPr>
        <w:t>biosimilare</w:t>
      </w:r>
      <w:proofErr w:type="spellEnd"/>
      <w:r w:rsidR="008B0718">
        <w:rPr>
          <w:rFonts w:ascii="Arial" w:hAnsi="Arial" w:cs="Arial"/>
          <w:i/>
          <w:color w:val="0D0D0D" w:themeColor="text1" w:themeTint="F2"/>
          <w:lang w:val="it-IT"/>
        </w:rPr>
        <w:t xml:space="preserve"> di </w:t>
      </w:r>
      <w:proofErr w:type="spellStart"/>
      <w:r w:rsidR="008B0718">
        <w:rPr>
          <w:rFonts w:ascii="Arial" w:hAnsi="Arial" w:cs="Arial"/>
          <w:i/>
          <w:color w:val="0D0D0D" w:themeColor="text1" w:themeTint="F2"/>
          <w:lang w:val="it-IT"/>
        </w:rPr>
        <w:t>rituximab</w:t>
      </w:r>
      <w:proofErr w:type="spellEnd"/>
      <w:r w:rsidR="009C67C4">
        <w:rPr>
          <w:rFonts w:ascii="Arial" w:hAnsi="Arial" w:cs="Arial"/>
          <w:i/>
          <w:color w:val="0D0D0D" w:themeColor="text1" w:themeTint="F2"/>
          <w:lang w:val="it-IT"/>
        </w:rPr>
        <w:t xml:space="preserve"> costituisce un importante risultato nel</w:t>
      </w:r>
      <w:r w:rsidR="005034C7">
        <w:rPr>
          <w:rFonts w:ascii="Arial" w:hAnsi="Arial" w:cs="Arial"/>
          <w:i/>
          <w:color w:val="0D0D0D" w:themeColor="text1" w:themeTint="F2"/>
          <w:lang w:val="it-IT"/>
        </w:rPr>
        <w:t xml:space="preserve">lo scenario </w:t>
      </w:r>
      <w:r w:rsidR="009C67C4">
        <w:rPr>
          <w:rFonts w:ascii="Arial" w:hAnsi="Arial" w:cs="Arial"/>
          <w:i/>
          <w:color w:val="0D0D0D" w:themeColor="text1" w:themeTint="F2"/>
          <w:lang w:val="it-IT"/>
        </w:rPr>
        <w:t xml:space="preserve">terapeutico </w:t>
      </w:r>
      <w:r w:rsidR="00207713">
        <w:rPr>
          <w:rFonts w:ascii="Arial" w:hAnsi="Arial" w:cs="Arial"/>
          <w:i/>
          <w:color w:val="0D0D0D" w:themeColor="text1" w:themeTint="F2"/>
          <w:lang w:val="it-IT"/>
        </w:rPr>
        <w:t>rivolto ai</w:t>
      </w:r>
      <w:r w:rsidR="009C67C4">
        <w:rPr>
          <w:rFonts w:ascii="Arial" w:hAnsi="Arial" w:cs="Arial"/>
          <w:i/>
          <w:color w:val="0D0D0D" w:themeColor="text1" w:themeTint="F2"/>
          <w:lang w:val="it-IT"/>
        </w:rPr>
        <w:t xml:space="preserve"> pazienti </w:t>
      </w:r>
      <w:proofErr w:type="spellStart"/>
      <w:r w:rsidR="009C67C4">
        <w:rPr>
          <w:rFonts w:ascii="Arial" w:hAnsi="Arial" w:cs="Arial"/>
          <w:i/>
          <w:color w:val="0D0D0D" w:themeColor="text1" w:themeTint="F2"/>
          <w:lang w:val="it-IT"/>
        </w:rPr>
        <w:t>oncoematologi</w:t>
      </w:r>
      <w:r w:rsidR="00207713">
        <w:rPr>
          <w:rFonts w:ascii="Arial" w:hAnsi="Arial" w:cs="Arial"/>
          <w:i/>
          <w:color w:val="0D0D0D" w:themeColor="text1" w:themeTint="F2"/>
          <w:lang w:val="it-IT"/>
        </w:rPr>
        <w:t>ci</w:t>
      </w:r>
      <w:proofErr w:type="spellEnd"/>
      <w:r>
        <w:rPr>
          <w:rFonts w:ascii="Arial" w:hAnsi="Arial" w:cs="Arial"/>
          <w:i/>
          <w:color w:val="0D0D0D" w:themeColor="text1" w:themeTint="F2"/>
          <w:lang w:val="it-IT"/>
        </w:rPr>
        <w:t xml:space="preserve">”, </w:t>
      </w:r>
      <w:r>
        <w:rPr>
          <w:rFonts w:ascii="Arial" w:hAnsi="Arial" w:cs="Arial"/>
          <w:lang w:val="it-IT"/>
        </w:rPr>
        <w:t>commenta</w:t>
      </w:r>
      <w:r w:rsidRPr="00BF2D48">
        <w:rPr>
          <w:rFonts w:ascii="Arial" w:hAnsi="Arial" w:cs="Arial"/>
          <w:lang w:val="it-IT"/>
        </w:rPr>
        <w:t xml:space="preserve"> </w:t>
      </w:r>
      <w:r w:rsidRPr="00BF2D48">
        <w:rPr>
          <w:rFonts w:ascii="Arial" w:hAnsi="Arial" w:cs="Arial"/>
          <w:b/>
          <w:bCs/>
          <w:lang w:val="it-IT"/>
        </w:rPr>
        <w:t>Marco Filippini</w:t>
      </w:r>
      <w:r w:rsidRPr="00BF2D48">
        <w:rPr>
          <w:rFonts w:ascii="Arial" w:hAnsi="Arial" w:cs="Arial"/>
          <w:lang w:val="it-IT"/>
        </w:rPr>
        <w:t xml:space="preserve">, General Manager di </w:t>
      </w:r>
      <w:proofErr w:type="spellStart"/>
      <w:r w:rsidRPr="00BF2D48">
        <w:rPr>
          <w:rFonts w:ascii="Arial" w:hAnsi="Arial" w:cs="Arial"/>
          <w:lang w:val="it-IT"/>
        </w:rPr>
        <w:t>Mundipharma</w:t>
      </w:r>
      <w:proofErr w:type="spellEnd"/>
      <w:r w:rsidRPr="00BF2D48">
        <w:rPr>
          <w:rFonts w:ascii="Arial" w:hAnsi="Arial" w:cs="Arial"/>
          <w:lang w:val="it-IT"/>
        </w:rPr>
        <w:t xml:space="preserve"> Italia</w:t>
      </w:r>
      <w:r w:rsidRPr="00BF2D48">
        <w:rPr>
          <w:rFonts w:ascii="Arial" w:hAnsi="Arial" w:cs="Arial"/>
          <w:color w:val="000000"/>
          <w:lang w:val="it-IT"/>
        </w:rPr>
        <w:t xml:space="preserve"> </w:t>
      </w:r>
      <w:r w:rsidRPr="00BF2D48">
        <w:rPr>
          <w:rFonts w:ascii="Arial" w:hAnsi="Arial" w:cs="Arial"/>
          <w:lang w:val="it-IT"/>
        </w:rPr>
        <w:t xml:space="preserve">e Vice Coordinatore </w:t>
      </w:r>
      <w:r w:rsidR="00902E05">
        <w:rPr>
          <w:rFonts w:ascii="Arial" w:hAnsi="Arial" w:cs="Arial"/>
          <w:lang w:val="it-IT"/>
        </w:rPr>
        <w:t xml:space="preserve">del Gruppo Italiano </w:t>
      </w:r>
      <w:proofErr w:type="spellStart"/>
      <w:r w:rsidR="00902E05">
        <w:rPr>
          <w:rFonts w:ascii="Arial" w:hAnsi="Arial" w:cs="Arial"/>
          <w:lang w:val="it-IT"/>
        </w:rPr>
        <w:t>Biosimilari</w:t>
      </w:r>
      <w:proofErr w:type="spellEnd"/>
      <w:r w:rsidRPr="00BF2D48">
        <w:rPr>
          <w:rFonts w:ascii="Arial" w:hAnsi="Arial" w:cs="Arial"/>
          <w:lang w:val="it-IT"/>
        </w:rPr>
        <w:t xml:space="preserve"> (IBG).</w:t>
      </w:r>
      <w:r>
        <w:rPr>
          <w:rFonts w:ascii="Arial" w:hAnsi="Arial" w:cs="Arial"/>
          <w:lang w:val="it-IT"/>
        </w:rPr>
        <w:t xml:space="preserve"> </w:t>
      </w:r>
      <w:r>
        <w:rPr>
          <w:rFonts w:ascii="Arial" w:hAnsi="Arial" w:cs="Arial"/>
          <w:i/>
          <w:lang w:val="it-IT"/>
        </w:rPr>
        <w:t>“</w:t>
      </w:r>
      <w:r w:rsidR="000579DB">
        <w:rPr>
          <w:rFonts w:ascii="Arial" w:hAnsi="Arial" w:cs="Arial"/>
          <w:i/>
          <w:lang w:val="it-IT"/>
        </w:rPr>
        <w:t>L’</w:t>
      </w:r>
      <w:r w:rsidR="00355BEA">
        <w:rPr>
          <w:rFonts w:ascii="Arial" w:hAnsi="Arial" w:cs="Arial"/>
          <w:i/>
          <w:color w:val="0D0D0D" w:themeColor="text1" w:themeTint="F2"/>
          <w:lang w:val="it-IT"/>
        </w:rPr>
        <w:t>auspicio è che</w:t>
      </w:r>
      <w:r w:rsidR="008B61A7">
        <w:rPr>
          <w:rFonts w:ascii="Arial" w:hAnsi="Arial" w:cs="Arial"/>
          <w:i/>
          <w:color w:val="0D0D0D" w:themeColor="text1" w:themeTint="F2"/>
          <w:lang w:val="it-IT"/>
        </w:rPr>
        <w:t>,</w:t>
      </w:r>
      <w:r w:rsidR="00355BEA">
        <w:rPr>
          <w:rFonts w:ascii="Arial" w:hAnsi="Arial" w:cs="Arial"/>
          <w:i/>
          <w:color w:val="0D0D0D" w:themeColor="text1" w:themeTint="F2"/>
          <w:lang w:val="it-IT"/>
        </w:rPr>
        <w:t xml:space="preserve"> grazie al</w:t>
      </w:r>
      <w:r w:rsidR="00366D96">
        <w:rPr>
          <w:rFonts w:ascii="Arial" w:hAnsi="Arial" w:cs="Arial"/>
          <w:i/>
          <w:color w:val="0D0D0D" w:themeColor="text1" w:themeTint="F2"/>
          <w:lang w:val="it-IT"/>
        </w:rPr>
        <w:t xml:space="preserve">la futura disponibilità </w:t>
      </w:r>
      <w:r w:rsidR="006A5729">
        <w:rPr>
          <w:rFonts w:ascii="Arial" w:hAnsi="Arial" w:cs="Arial"/>
          <w:i/>
          <w:color w:val="0D0D0D" w:themeColor="text1" w:themeTint="F2"/>
          <w:lang w:val="it-IT"/>
        </w:rPr>
        <w:t>del primo anticorpo monoclonale</w:t>
      </w:r>
      <w:r w:rsidR="002106A2">
        <w:rPr>
          <w:rFonts w:ascii="Arial" w:hAnsi="Arial" w:cs="Arial"/>
          <w:i/>
          <w:color w:val="0D0D0D" w:themeColor="text1" w:themeTint="F2"/>
          <w:lang w:val="it-IT"/>
        </w:rPr>
        <w:t xml:space="preserve"> </w:t>
      </w:r>
      <w:proofErr w:type="spellStart"/>
      <w:r w:rsidR="002106A2">
        <w:rPr>
          <w:rFonts w:ascii="Arial" w:hAnsi="Arial" w:cs="Arial"/>
          <w:i/>
          <w:color w:val="0D0D0D" w:themeColor="text1" w:themeTint="F2"/>
          <w:lang w:val="it-IT"/>
        </w:rPr>
        <w:t>biosimilare</w:t>
      </w:r>
      <w:proofErr w:type="spellEnd"/>
      <w:r w:rsidR="002106A2">
        <w:rPr>
          <w:rFonts w:ascii="Arial" w:hAnsi="Arial" w:cs="Arial"/>
          <w:i/>
          <w:color w:val="0D0D0D" w:themeColor="text1" w:themeTint="F2"/>
          <w:lang w:val="it-IT"/>
        </w:rPr>
        <w:t xml:space="preserve"> </w:t>
      </w:r>
      <w:r w:rsidR="006609C1">
        <w:rPr>
          <w:rFonts w:ascii="Arial" w:hAnsi="Arial" w:cs="Arial"/>
          <w:i/>
          <w:color w:val="0D0D0D" w:themeColor="text1" w:themeTint="F2"/>
          <w:lang w:val="it-IT"/>
        </w:rPr>
        <w:t>in oncologia</w:t>
      </w:r>
      <w:r w:rsidR="00355BEA">
        <w:rPr>
          <w:rFonts w:ascii="Arial" w:hAnsi="Arial" w:cs="Arial"/>
          <w:i/>
          <w:color w:val="0D0D0D" w:themeColor="text1" w:themeTint="F2"/>
          <w:lang w:val="it-IT"/>
        </w:rPr>
        <w:t xml:space="preserve">, </w:t>
      </w:r>
      <w:r w:rsidR="00415B8B">
        <w:rPr>
          <w:rFonts w:ascii="Arial" w:hAnsi="Arial" w:cs="Arial"/>
          <w:i/>
          <w:color w:val="0D0D0D" w:themeColor="text1" w:themeTint="F2"/>
          <w:lang w:val="it-IT"/>
        </w:rPr>
        <w:t xml:space="preserve">anche </w:t>
      </w:r>
      <w:r w:rsidR="00355BEA">
        <w:rPr>
          <w:rFonts w:ascii="Arial" w:hAnsi="Arial" w:cs="Arial"/>
          <w:i/>
          <w:color w:val="0D0D0D" w:themeColor="text1" w:themeTint="F2"/>
          <w:lang w:val="it-IT"/>
        </w:rPr>
        <w:t xml:space="preserve">il </w:t>
      </w:r>
      <w:r w:rsidR="00415B8B">
        <w:rPr>
          <w:rFonts w:ascii="Arial" w:hAnsi="Arial" w:cs="Arial"/>
          <w:i/>
          <w:color w:val="0D0D0D" w:themeColor="text1" w:themeTint="F2"/>
          <w:lang w:val="it-IT"/>
        </w:rPr>
        <w:t xml:space="preserve">nostro </w:t>
      </w:r>
      <w:r w:rsidR="004F5BB1">
        <w:rPr>
          <w:rFonts w:ascii="Arial" w:hAnsi="Arial" w:cs="Arial"/>
          <w:i/>
          <w:color w:val="0D0D0D" w:themeColor="text1" w:themeTint="F2"/>
          <w:lang w:val="it-IT"/>
        </w:rPr>
        <w:t>SSN</w:t>
      </w:r>
      <w:r w:rsidR="00355BEA">
        <w:rPr>
          <w:rFonts w:ascii="Arial" w:hAnsi="Arial" w:cs="Arial"/>
          <w:i/>
          <w:color w:val="0D0D0D" w:themeColor="text1" w:themeTint="F2"/>
          <w:lang w:val="it-IT"/>
        </w:rPr>
        <w:t xml:space="preserve"> possa b</w:t>
      </w:r>
      <w:r w:rsidR="00355BEA" w:rsidRPr="00BF2D48">
        <w:rPr>
          <w:rFonts w:ascii="Arial" w:hAnsi="Arial" w:cs="Arial"/>
          <w:i/>
          <w:iCs/>
          <w:lang w:val="it-IT"/>
        </w:rPr>
        <w:t>enefic</w:t>
      </w:r>
      <w:r w:rsidR="00355BEA">
        <w:rPr>
          <w:rFonts w:ascii="Arial" w:hAnsi="Arial" w:cs="Arial"/>
          <w:i/>
          <w:iCs/>
          <w:lang w:val="it-IT"/>
        </w:rPr>
        <w:t xml:space="preserve">iare della </w:t>
      </w:r>
      <w:r w:rsidR="00355BEA" w:rsidRPr="00BF2D48">
        <w:rPr>
          <w:rFonts w:ascii="Arial" w:hAnsi="Arial" w:cs="Arial"/>
          <w:i/>
          <w:iCs/>
          <w:lang w:val="it-IT"/>
        </w:rPr>
        <w:t xml:space="preserve">riduzione </w:t>
      </w:r>
      <w:r w:rsidR="00415B8B">
        <w:rPr>
          <w:rFonts w:ascii="Arial" w:hAnsi="Arial" w:cs="Arial"/>
          <w:i/>
          <w:iCs/>
          <w:lang w:val="it-IT"/>
        </w:rPr>
        <w:t>dei costi associati alle terapie</w:t>
      </w:r>
      <w:r w:rsidR="00355BEA" w:rsidRPr="00BF2D48">
        <w:rPr>
          <w:rFonts w:ascii="Arial" w:hAnsi="Arial" w:cs="Arial"/>
          <w:i/>
          <w:iCs/>
          <w:lang w:val="it-IT"/>
        </w:rPr>
        <w:t>,</w:t>
      </w:r>
      <w:r w:rsidR="00415B8B">
        <w:rPr>
          <w:rFonts w:ascii="Arial" w:hAnsi="Arial" w:cs="Arial"/>
          <w:i/>
          <w:iCs/>
          <w:color w:val="000000"/>
          <w:lang w:val="it-IT"/>
        </w:rPr>
        <w:t xml:space="preserve"> </w:t>
      </w:r>
      <w:r w:rsidR="00593897">
        <w:rPr>
          <w:rFonts w:ascii="Arial" w:hAnsi="Arial" w:cs="Arial"/>
          <w:i/>
          <w:iCs/>
          <w:color w:val="000000"/>
          <w:lang w:val="it-IT"/>
        </w:rPr>
        <w:t xml:space="preserve">per poter </w:t>
      </w:r>
      <w:r w:rsidR="00355BEA" w:rsidRPr="00BF2D48">
        <w:rPr>
          <w:rFonts w:ascii="Arial" w:hAnsi="Arial" w:cs="Arial"/>
          <w:i/>
          <w:iCs/>
          <w:color w:val="000000"/>
          <w:lang w:val="it-IT"/>
        </w:rPr>
        <w:t xml:space="preserve">coinvolgere un </w:t>
      </w:r>
      <w:r w:rsidR="00593897" w:rsidRPr="00BF2D48">
        <w:rPr>
          <w:rFonts w:ascii="Arial" w:hAnsi="Arial" w:cs="Arial"/>
          <w:i/>
          <w:iCs/>
          <w:color w:val="000000"/>
          <w:lang w:val="it-IT"/>
        </w:rPr>
        <w:t xml:space="preserve">numero </w:t>
      </w:r>
      <w:r w:rsidR="00355BEA" w:rsidRPr="00BF2D48">
        <w:rPr>
          <w:rFonts w:ascii="Arial" w:hAnsi="Arial" w:cs="Arial"/>
          <w:i/>
          <w:iCs/>
          <w:color w:val="000000"/>
          <w:lang w:val="it-IT"/>
        </w:rPr>
        <w:t xml:space="preserve">più ampio di pazienti </w:t>
      </w:r>
      <w:r w:rsidR="0036791A">
        <w:rPr>
          <w:rFonts w:ascii="Arial" w:hAnsi="Arial" w:cs="Arial"/>
          <w:i/>
          <w:iCs/>
          <w:color w:val="000000"/>
          <w:lang w:val="it-IT"/>
        </w:rPr>
        <w:t xml:space="preserve">che </w:t>
      </w:r>
      <w:r w:rsidR="00355BEA" w:rsidRPr="00BF2D48">
        <w:rPr>
          <w:rFonts w:ascii="Arial" w:hAnsi="Arial" w:cs="Arial"/>
          <w:i/>
          <w:iCs/>
          <w:color w:val="000000"/>
          <w:lang w:val="it-IT"/>
        </w:rPr>
        <w:t>oggi</w:t>
      </w:r>
      <w:r w:rsidR="0036791A">
        <w:rPr>
          <w:rFonts w:ascii="Arial" w:hAnsi="Arial" w:cs="Arial"/>
          <w:i/>
          <w:iCs/>
          <w:color w:val="000000"/>
          <w:lang w:val="it-IT"/>
        </w:rPr>
        <w:t>, in molti casi,</w:t>
      </w:r>
      <w:r w:rsidR="00355BEA" w:rsidRPr="00BF2D48">
        <w:rPr>
          <w:rFonts w:ascii="Arial" w:hAnsi="Arial" w:cs="Arial"/>
          <w:i/>
          <w:iCs/>
          <w:color w:val="000000"/>
          <w:lang w:val="it-IT"/>
        </w:rPr>
        <w:t xml:space="preserve"> non </w:t>
      </w:r>
      <w:r w:rsidR="0036791A">
        <w:rPr>
          <w:rFonts w:ascii="Arial" w:hAnsi="Arial" w:cs="Arial"/>
          <w:i/>
          <w:iCs/>
          <w:color w:val="000000"/>
          <w:lang w:val="it-IT"/>
        </w:rPr>
        <w:t xml:space="preserve">hanno accesso ai farmaci biotech per soli </w:t>
      </w:r>
      <w:r w:rsidR="00355BEA" w:rsidRPr="00BF2D48">
        <w:rPr>
          <w:rFonts w:ascii="Arial" w:hAnsi="Arial" w:cs="Arial"/>
          <w:i/>
          <w:iCs/>
          <w:color w:val="000000"/>
          <w:lang w:val="it-IT"/>
        </w:rPr>
        <w:t>motivi economici</w:t>
      </w:r>
      <w:r w:rsidR="00415B8B">
        <w:rPr>
          <w:rFonts w:ascii="Arial" w:hAnsi="Arial" w:cs="Arial"/>
          <w:i/>
          <w:iCs/>
          <w:color w:val="000000"/>
          <w:lang w:val="it-IT"/>
        </w:rPr>
        <w:t xml:space="preserve">. </w:t>
      </w:r>
      <w:r w:rsidR="003508DA">
        <w:rPr>
          <w:rFonts w:ascii="Arial" w:hAnsi="Arial" w:cs="Arial"/>
          <w:i/>
          <w:iCs/>
          <w:color w:val="000000"/>
          <w:lang w:val="it-IT"/>
        </w:rPr>
        <w:t>Grazie all’impieg</w:t>
      </w:r>
      <w:r w:rsidR="00902E05">
        <w:rPr>
          <w:rFonts w:ascii="Arial" w:hAnsi="Arial" w:cs="Arial"/>
          <w:i/>
          <w:iCs/>
          <w:color w:val="000000"/>
          <w:lang w:val="it-IT"/>
        </w:rPr>
        <w:t xml:space="preserve">o di </w:t>
      </w:r>
      <w:proofErr w:type="spellStart"/>
      <w:r w:rsidR="00902E05">
        <w:rPr>
          <w:rFonts w:ascii="Arial" w:hAnsi="Arial" w:cs="Arial"/>
          <w:i/>
          <w:iCs/>
          <w:color w:val="000000"/>
          <w:lang w:val="it-IT"/>
        </w:rPr>
        <w:t>Truxima</w:t>
      </w:r>
      <w:proofErr w:type="spellEnd"/>
      <w:r w:rsidR="00773203" w:rsidRPr="00773203">
        <w:rPr>
          <w:rFonts w:ascii="Arial" w:hAnsi="Arial" w:cs="Arial"/>
          <w:i/>
          <w:iCs/>
          <w:color w:val="000000"/>
          <w:vertAlign w:val="superscript"/>
          <w:lang w:val="it-IT"/>
        </w:rPr>
        <w:t>®</w:t>
      </w:r>
      <w:r w:rsidR="003508DA">
        <w:rPr>
          <w:rFonts w:ascii="Arial" w:hAnsi="Arial" w:cs="Arial"/>
          <w:i/>
          <w:iCs/>
          <w:color w:val="000000"/>
          <w:lang w:val="it-IT"/>
        </w:rPr>
        <w:t xml:space="preserve">, sarà possibile </w:t>
      </w:r>
      <w:r w:rsidR="00415B8B" w:rsidRPr="00BF2D48">
        <w:rPr>
          <w:rFonts w:ascii="Arial" w:hAnsi="Arial" w:cs="Arial"/>
          <w:i/>
          <w:color w:val="0D0D0D" w:themeColor="text1" w:themeTint="F2"/>
          <w:lang w:val="it-IT"/>
        </w:rPr>
        <w:t>instaurare un meccan</w:t>
      </w:r>
      <w:r w:rsidR="00415B8B">
        <w:rPr>
          <w:rFonts w:ascii="Arial" w:hAnsi="Arial" w:cs="Arial"/>
          <w:i/>
          <w:color w:val="0D0D0D" w:themeColor="text1" w:themeTint="F2"/>
          <w:lang w:val="it-IT"/>
        </w:rPr>
        <w:t xml:space="preserve">ismo virtuoso </w:t>
      </w:r>
      <w:r w:rsidR="00902E05">
        <w:rPr>
          <w:rFonts w:ascii="Arial" w:hAnsi="Arial" w:cs="Arial"/>
          <w:i/>
          <w:color w:val="0D0D0D" w:themeColor="text1" w:themeTint="F2"/>
          <w:lang w:val="it-IT"/>
        </w:rPr>
        <w:t xml:space="preserve">a favore dei malati e </w:t>
      </w:r>
      <w:r w:rsidR="003508DA">
        <w:rPr>
          <w:rFonts w:ascii="Arial" w:hAnsi="Arial" w:cs="Arial"/>
          <w:i/>
          <w:color w:val="0D0D0D" w:themeColor="text1" w:themeTint="F2"/>
          <w:lang w:val="it-IT"/>
        </w:rPr>
        <w:t xml:space="preserve">in grado di </w:t>
      </w:r>
      <w:r w:rsidR="00415B8B">
        <w:rPr>
          <w:rFonts w:ascii="Arial" w:hAnsi="Arial" w:cs="Arial"/>
          <w:i/>
          <w:color w:val="0D0D0D" w:themeColor="text1" w:themeTint="F2"/>
          <w:lang w:val="it-IT"/>
        </w:rPr>
        <w:t xml:space="preserve">rendere </w:t>
      </w:r>
      <w:r w:rsidR="004F5BB1">
        <w:rPr>
          <w:rFonts w:ascii="Arial" w:hAnsi="Arial" w:cs="Arial"/>
          <w:i/>
          <w:color w:val="0D0D0D" w:themeColor="text1" w:themeTint="F2"/>
          <w:lang w:val="it-IT"/>
        </w:rPr>
        <w:t>i sistemi sanitari più sostenibili</w:t>
      </w:r>
      <w:r w:rsidR="007F50F7">
        <w:rPr>
          <w:rFonts w:ascii="Arial" w:hAnsi="Arial" w:cs="Arial"/>
          <w:i/>
          <w:color w:val="0D0D0D" w:themeColor="text1" w:themeTint="F2"/>
          <w:lang w:val="it-IT"/>
        </w:rPr>
        <w:t>”.</w:t>
      </w:r>
      <w:r w:rsidR="00773203">
        <w:rPr>
          <w:rFonts w:ascii="Arial" w:hAnsi="Arial" w:cs="Arial"/>
          <w:i/>
          <w:color w:val="0D0D0D" w:themeColor="text1" w:themeTint="F2"/>
          <w:lang w:val="it-IT"/>
        </w:rPr>
        <w:t xml:space="preserve"> </w:t>
      </w:r>
    </w:p>
    <w:p w:rsidR="009C67C4" w:rsidRDefault="009C67C4" w:rsidP="00AF1980">
      <w:pPr>
        <w:spacing w:after="0"/>
        <w:ind w:left="357"/>
        <w:rPr>
          <w:rFonts w:ascii="Arial" w:hAnsi="Arial" w:cs="Arial"/>
          <w:b/>
          <w:color w:val="0D0D0D" w:themeColor="text1" w:themeTint="F2"/>
          <w:lang w:val="it-IT"/>
        </w:rPr>
      </w:pPr>
    </w:p>
    <w:p w:rsidR="00AF1980" w:rsidRPr="00790320" w:rsidRDefault="00AF1980" w:rsidP="00AF1980">
      <w:pPr>
        <w:spacing w:after="0"/>
        <w:ind w:left="357"/>
        <w:rPr>
          <w:rFonts w:ascii="Arial" w:hAnsi="Arial" w:cs="Arial"/>
          <w:b/>
          <w:color w:val="0D0D0D" w:themeColor="text1" w:themeTint="F2"/>
          <w:lang w:val="it-IT"/>
        </w:rPr>
      </w:pPr>
      <w:proofErr w:type="spellStart"/>
      <w:r w:rsidRPr="00790320">
        <w:rPr>
          <w:rFonts w:ascii="Arial" w:hAnsi="Arial" w:cs="Arial"/>
          <w:b/>
          <w:color w:val="0D0D0D" w:themeColor="text1" w:themeTint="F2"/>
          <w:lang w:val="it-IT"/>
        </w:rPr>
        <w:t>Mundipharma</w:t>
      </w:r>
      <w:proofErr w:type="spellEnd"/>
    </w:p>
    <w:p w:rsidR="00AF1980" w:rsidRPr="00FC245F" w:rsidRDefault="00AF1980" w:rsidP="00FC245F">
      <w:pPr>
        <w:ind w:left="360"/>
        <w:jc w:val="both"/>
        <w:rPr>
          <w:rFonts w:eastAsiaTheme="minorHAnsi"/>
          <w:sz w:val="20"/>
          <w:lang w:val="it-IT"/>
        </w:rPr>
      </w:pPr>
      <w:r w:rsidRPr="00FC245F">
        <w:rPr>
          <w:rFonts w:ascii="Arial" w:eastAsiaTheme="minorHAnsi" w:hAnsi="Arial" w:cs="Arial"/>
          <w:sz w:val="20"/>
          <w:lang w:val="it-IT"/>
        </w:rPr>
        <w:t xml:space="preserve">La rete di consociate indipendenti </w:t>
      </w:r>
      <w:proofErr w:type="spellStart"/>
      <w:r w:rsidRPr="00FC245F">
        <w:rPr>
          <w:rFonts w:ascii="Arial" w:eastAsiaTheme="minorHAnsi" w:hAnsi="Arial" w:cs="Arial"/>
          <w:sz w:val="20"/>
          <w:lang w:val="it-IT"/>
        </w:rPr>
        <w:t>Mundipharma</w:t>
      </w:r>
      <w:proofErr w:type="spellEnd"/>
      <w:r w:rsidRPr="00FC245F">
        <w:rPr>
          <w:rFonts w:ascii="Arial" w:eastAsiaTheme="minorHAnsi" w:hAnsi="Arial" w:cs="Arial"/>
          <w:sz w:val="20"/>
          <w:lang w:val="it-IT"/>
        </w:rPr>
        <w:t xml:space="preserve"> comprende aziende private e joint venture operanti nei mercati farmaceutici di tutto il mondo. Le aziende del network mirano a offrire ai pazienti i vantaggi di opzioni farmacologiche innovative nelle seguenti aree terapeutiche principali: terapia del dolore, oncologia, dipendenza, patologie respiratorie e infiammatorie. Attraverso innovazione, progettazione e acquisizione, </w:t>
      </w:r>
      <w:proofErr w:type="spellStart"/>
      <w:r w:rsidRPr="00FC245F">
        <w:rPr>
          <w:rFonts w:ascii="Arial" w:eastAsiaTheme="minorHAnsi" w:hAnsi="Arial" w:cs="Arial"/>
          <w:sz w:val="20"/>
          <w:lang w:val="it-IT"/>
        </w:rPr>
        <w:t>Mundipharma</w:t>
      </w:r>
      <w:proofErr w:type="spellEnd"/>
      <w:r w:rsidRPr="00FC245F">
        <w:rPr>
          <w:rFonts w:ascii="Arial" w:eastAsiaTheme="minorHAnsi" w:hAnsi="Arial" w:cs="Arial"/>
          <w:sz w:val="20"/>
          <w:lang w:val="it-IT"/>
        </w:rPr>
        <w:t xml:space="preserve"> offre trattamenti all’avanguardia, in grado di rispondere ai bisogni più urgenti di pazienti e operatori sanitari di tutto il mondo. Per ulteriori informazioni, vi i</w:t>
      </w:r>
      <w:r w:rsidR="00FC245F">
        <w:rPr>
          <w:rFonts w:ascii="Arial" w:eastAsiaTheme="minorHAnsi" w:hAnsi="Arial" w:cs="Arial"/>
          <w:sz w:val="20"/>
          <w:lang w:val="it-IT"/>
        </w:rPr>
        <w:t xml:space="preserve">nvitiamo a visitare il sito web: </w:t>
      </w:r>
      <w:hyperlink r:id="rId8" w:history="1">
        <w:r w:rsidR="00FC245F" w:rsidRPr="00F704AC">
          <w:rPr>
            <w:rStyle w:val="Collegamentoipertestuale"/>
            <w:rFonts w:ascii="Arial" w:eastAsiaTheme="minorHAnsi" w:hAnsi="Arial" w:cs="Arial"/>
            <w:sz w:val="20"/>
            <w:lang w:val="it-IT"/>
          </w:rPr>
          <w:t>www.mundipharma.com</w:t>
        </w:r>
      </w:hyperlink>
      <w:r w:rsidR="00FC245F">
        <w:rPr>
          <w:rFonts w:ascii="Arial" w:eastAsiaTheme="minorHAnsi" w:hAnsi="Arial" w:cs="Arial"/>
          <w:sz w:val="20"/>
          <w:lang w:val="it-IT"/>
        </w:rPr>
        <w:t>.</w:t>
      </w:r>
    </w:p>
    <w:p w:rsidR="00AF1980" w:rsidRPr="00ED24C4" w:rsidRDefault="00AF1980" w:rsidP="00AF1980">
      <w:pPr>
        <w:spacing w:after="0"/>
        <w:ind w:left="357"/>
        <w:jc w:val="both"/>
        <w:rPr>
          <w:rFonts w:ascii="Arial" w:hAnsi="Arial" w:cs="Arial"/>
          <w:b/>
          <w:color w:val="0D0D0D" w:themeColor="text1" w:themeTint="F2"/>
          <w:lang w:val="it-IT"/>
        </w:rPr>
      </w:pPr>
      <w:proofErr w:type="spellStart"/>
      <w:r w:rsidRPr="00ED24C4">
        <w:rPr>
          <w:rFonts w:ascii="Arial" w:hAnsi="Arial" w:cs="Arial"/>
          <w:b/>
          <w:color w:val="0D0D0D" w:themeColor="text1" w:themeTint="F2"/>
          <w:lang w:val="it-IT"/>
        </w:rPr>
        <w:t>Truxima</w:t>
      </w:r>
      <w:proofErr w:type="spellEnd"/>
      <w:r w:rsidRPr="00ED24C4">
        <w:rPr>
          <w:rFonts w:ascii="Arial" w:hAnsi="Arial" w:cs="Arial"/>
          <w:b/>
          <w:color w:val="0D0D0D" w:themeColor="text1" w:themeTint="F2"/>
          <w:vertAlign w:val="superscript"/>
          <w:lang w:val="it-IT"/>
        </w:rPr>
        <w:t>®</w:t>
      </w:r>
    </w:p>
    <w:p w:rsidR="00B51992" w:rsidRDefault="00505604" w:rsidP="00AF1980">
      <w:pPr>
        <w:ind w:left="360"/>
        <w:jc w:val="both"/>
        <w:rPr>
          <w:rFonts w:ascii="Arial" w:eastAsiaTheme="minorHAnsi" w:hAnsi="Arial" w:cs="Arial"/>
          <w:sz w:val="20"/>
          <w:lang w:val="it-IT"/>
        </w:rPr>
      </w:pPr>
      <w:proofErr w:type="spellStart"/>
      <w:r w:rsidRPr="00ED24C4">
        <w:rPr>
          <w:rFonts w:ascii="Arial" w:eastAsiaTheme="minorHAnsi" w:hAnsi="Arial" w:cs="Arial"/>
          <w:sz w:val="20"/>
          <w:lang w:val="it-IT"/>
        </w:rPr>
        <w:t>Truxima</w:t>
      </w:r>
      <w:proofErr w:type="spellEnd"/>
      <w:r w:rsidRPr="00ED24C4">
        <w:rPr>
          <w:rFonts w:ascii="Arial" w:eastAsiaTheme="minorHAnsi" w:hAnsi="Arial" w:cs="Arial"/>
          <w:sz w:val="20"/>
          <w:vertAlign w:val="superscript"/>
          <w:lang w:val="it-IT"/>
        </w:rPr>
        <w:t>®</w:t>
      </w:r>
      <w:r w:rsidRPr="00ED24C4">
        <w:rPr>
          <w:rFonts w:ascii="Arial" w:eastAsiaTheme="minorHAnsi" w:hAnsi="Arial" w:cs="Arial"/>
          <w:sz w:val="20"/>
          <w:lang w:val="it-IT"/>
        </w:rPr>
        <w:t xml:space="preserve"> è un anticorpo </w:t>
      </w:r>
      <w:proofErr w:type="spellStart"/>
      <w:r w:rsidRPr="00ED24C4">
        <w:rPr>
          <w:rFonts w:ascii="Arial" w:eastAsiaTheme="minorHAnsi" w:hAnsi="Arial" w:cs="Arial"/>
          <w:sz w:val="20"/>
          <w:lang w:val="it-IT"/>
        </w:rPr>
        <w:t>monocolonale</w:t>
      </w:r>
      <w:proofErr w:type="spellEnd"/>
      <w:r w:rsidR="00E03350" w:rsidRPr="00ED24C4">
        <w:rPr>
          <w:rFonts w:ascii="Arial" w:eastAsiaTheme="minorHAnsi" w:hAnsi="Arial" w:cs="Arial"/>
          <w:sz w:val="20"/>
          <w:lang w:val="it-IT"/>
        </w:rPr>
        <w:t xml:space="preserve"> chimerico murino/umano</w:t>
      </w:r>
      <w:r w:rsidR="00317270" w:rsidRPr="00ED24C4">
        <w:rPr>
          <w:rFonts w:ascii="Arial" w:eastAsiaTheme="minorHAnsi" w:hAnsi="Arial" w:cs="Arial"/>
          <w:sz w:val="20"/>
          <w:lang w:val="it-IT"/>
        </w:rPr>
        <w:t xml:space="preserve"> </w:t>
      </w:r>
      <w:r w:rsidR="00E03350" w:rsidRPr="00ED24C4">
        <w:rPr>
          <w:rFonts w:ascii="Arial" w:eastAsiaTheme="minorHAnsi" w:hAnsi="Arial" w:cs="Arial"/>
          <w:sz w:val="20"/>
          <w:lang w:val="it-IT"/>
        </w:rPr>
        <w:t xml:space="preserve">IgG1-kappa </w:t>
      </w:r>
      <w:r w:rsidRPr="00ED24C4">
        <w:rPr>
          <w:rFonts w:ascii="Arial" w:eastAsiaTheme="minorHAnsi" w:hAnsi="Arial" w:cs="Arial"/>
          <w:sz w:val="20"/>
          <w:lang w:val="it-IT"/>
        </w:rPr>
        <w:t>geneticamente modificato</w:t>
      </w:r>
      <w:r w:rsidR="00E03350" w:rsidRPr="00ED24C4">
        <w:rPr>
          <w:rFonts w:ascii="Arial" w:eastAsiaTheme="minorHAnsi" w:hAnsi="Arial" w:cs="Arial"/>
          <w:sz w:val="20"/>
          <w:lang w:val="it-IT"/>
        </w:rPr>
        <w:t>,</w:t>
      </w:r>
      <w:r w:rsidRPr="00ED24C4">
        <w:rPr>
          <w:rFonts w:ascii="Arial" w:eastAsiaTheme="minorHAnsi" w:hAnsi="Arial" w:cs="Arial"/>
          <w:sz w:val="20"/>
          <w:lang w:val="it-IT"/>
        </w:rPr>
        <w:t xml:space="preserve"> </w:t>
      </w:r>
      <w:r w:rsidR="00ED24C4" w:rsidRPr="00ED24C4">
        <w:rPr>
          <w:rFonts w:ascii="Arial" w:eastAsiaTheme="minorHAnsi" w:hAnsi="Arial" w:cs="Arial"/>
          <w:sz w:val="20"/>
          <w:lang w:val="it-IT"/>
        </w:rPr>
        <w:t>autorizzato da</w:t>
      </w:r>
      <w:r w:rsidRPr="00ED24C4">
        <w:rPr>
          <w:rFonts w:ascii="Arial" w:eastAsiaTheme="minorHAnsi" w:hAnsi="Arial" w:cs="Arial"/>
          <w:sz w:val="20"/>
          <w:lang w:val="it-IT"/>
        </w:rPr>
        <w:t xml:space="preserve">ll'EMA come </w:t>
      </w:r>
      <w:proofErr w:type="spellStart"/>
      <w:r w:rsidRPr="00ED24C4">
        <w:rPr>
          <w:rFonts w:ascii="Arial" w:eastAsiaTheme="minorHAnsi" w:hAnsi="Arial" w:cs="Arial"/>
          <w:sz w:val="20"/>
          <w:lang w:val="it-IT"/>
        </w:rPr>
        <w:t>biosimilare</w:t>
      </w:r>
      <w:proofErr w:type="spellEnd"/>
      <w:r w:rsidRPr="00ED24C4">
        <w:rPr>
          <w:rFonts w:ascii="Arial" w:eastAsiaTheme="minorHAnsi" w:hAnsi="Arial" w:cs="Arial"/>
          <w:sz w:val="20"/>
          <w:lang w:val="it-IT"/>
        </w:rPr>
        <w:t xml:space="preserve"> di </w:t>
      </w:r>
      <w:proofErr w:type="spellStart"/>
      <w:r w:rsidR="00790320" w:rsidRPr="00ED24C4">
        <w:rPr>
          <w:rFonts w:ascii="Arial" w:eastAsiaTheme="minorHAnsi" w:hAnsi="Arial" w:cs="Arial"/>
          <w:sz w:val="20"/>
          <w:lang w:val="it-IT"/>
        </w:rPr>
        <w:t>rituximab</w:t>
      </w:r>
      <w:proofErr w:type="spellEnd"/>
      <w:r w:rsidRPr="00ED24C4">
        <w:rPr>
          <w:rFonts w:ascii="Arial" w:eastAsiaTheme="minorHAnsi" w:hAnsi="Arial" w:cs="Arial"/>
          <w:sz w:val="20"/>
          <w:lang w:val="it-IT"/>
        </w:rPr>
        <w:t xml:space="preserve">. </w:t>
      </w:r>
      <w:r w:rsidR="00ED24C4" w:rsidRPr="00ED24C4">
        <w:rPr>
          <w:rFonts w:ascii="Arial" w:eastAsiaTheme="minorHAnsi" w:hAnsi="Arial" w:cs="Arial"/>
          <w:sz w:val="20"/>
          <w:lang w:val="it-IT"/>
        </w:rPr>
        <w:t xml:space="preserve">Le indicazioni terapeutiche nonché il regime di dosaggio per </w:t>
      </w:r>
      <w:proofErr w:type="spellStart"/>
      <w:r w:rsidR="00ED24C4" w:rsidRPr="00ED24C4">
        <w:rPr>
          <w:rFonts w:ascii="Arial" w:eastAsiaTheme="minorHAnsi" w:hAnsi="Arial" w:cs="Arial"/>
          <w:sz w:val="20"/>
          <w:lang w:val="it-IT"/>
        </w:rPr>
        <w:t>Truxima</w:t>
      </w:r>
      <w:proofErr w:type="spellEnd"/>
      <w:r w:rsidR="00ED24C4" w:rsidRPr="00ED24C4">
        <w:rPr>
          <w:rFonts w:ascii="Arial" w:eastAsiaTheme="minorHAnsi" w:hAnsi="Arial" w:cs="Arial"/>
          <w:sz w:val="20"/>
          <w:vertAlign w:val="superscript"/>
          <w:lang w:val="it-IT"/>
        </w:rPr>
        <w:t>®</w:t>
      </w:r>
      <w:r w:rsidR="00ED24C4" w:rsidRPr="00ED24C4">
        <w:rPr>
          <w:rFonts w:ascii="Arial" w:eastAsiaTheme="minorHAnsi" w:hAnsi="Arial" w:cs="Arial"/>
          <w:sz w:val="20"/>
          <w:lang w:val="it-IT"/>
        </w:rPr>
        <w:t xml:space="preserve"> saranno</w:t>
      </w:r>
      <w:r w:rsidR="0055744D">
        <w:rPr>
          <w:rFonts w:ascii="Arial" w:eastAsiaTheme="minorHAnsi" w:hAnsi="Arial" w:cs="Arial"/>
          <w:sz w:val="20"/>
          <w:lang w:val="it-IT"/>
        </w:rPr>
        <w:t xml:space="preserve"> gli stessi </w:t>
      </w:r>
      <w:r w:rsidR="00ED24C4" w:rsidRPr="00ED24C4">
        <w:rPr>
          <w:rFonts w:ascii="Arial" w:eastAsiaTheme="minorHAnsi" w:hAnsi="Arial" w:cs="Arial"/>
          <w:sz w:val="20"/>
          <w:lang w:val="it-IT"/>
        </w:rPr>
        <w:t xml:space="preserve">del </w:t>
      </w:r>
      <w:proofErr w:type="spellStart"/>
      <w:r w:rsidR="00131841">
        <w:rPr>
          <w:rFonts w:ascii="Arial" w:eastAsiaTheme="minorHAnsi" w:hAnsi="Arial" w:cs="Arial"/>
          <w:sz w:val="20"/>
          <w:lang w:val="it-IT"/>
        </w:rPr>
        <w:t>rituximab</w:t>
      </w:r>
      <w:proofErr w:type="spellEnd"/>
      <w:r w:rsidR="00131841">
        <w:rPr>
          <w:rFonts w:ascii="Arial" w:eastAsiaTheme="minorHAnsi" w:hAnsi="Arial" w:cs="Arial"/>
          <w:sz w:val="20"/>
          <w:lang w:val="it-IT"/>
        </w:rPr>
        <w:t xml:space="preserve"> </w:t>
      </w:r>
      <w:r w:rsidR="00ED24C4" w:rsidRPr="00ED24C4">
        <w:rPr>
          <w:rFonts w:ascii="Arial" w:eastAsiaTheme="minorHAnsi" w:hAnsi="Arial" w:cs="Arial"/>
          <w:sz w:val="20"/>
          <w:lang w:val="it-IT"/>
        </w:rPr>
        <w:t xml:space="preserve">di riferimento. Come tale, </w:t>
      </w:r>
      <w:proofErr w:type="spellStart"/>
      <w:r w:rsidR="00ED24C4" w:rsidRPr="00ED24C4">
        <w:rPr>
          <w:rFonts w:ascii="Arial" w:eastAsiaTheme="minorHAnsi" w:hAnsi="Arial" w:cs="Arial"/>
          <w:sz w:val="20"/>
          <w:lang w:val="it-IT"/>
        </w:rPr>
        <w:t>Truxima</w:t>
      </w:r>
      <w:proofErr w:type="spellEnd"/>
      <w:r w:rsidR="00ED24C4" w:rsidRPr="00ED24C4">
        <w:rPr>
          <w:rFonts w:ascii="Arial" w:eastAsiaTheme="minorHAnsi" w:hAnsi="Arial" w:cs="Arial"/>
          <w:sz w:val="20"/>
          <w:vertAlign w:val="superscript"/>
          <w:lang w:val="it-IT"/>
        </w:rPr>
        <w:t>®</w:t>
      </w:r>
      <w:r w:rsidR="00ED24C4" w:rsidRPr="00ED24C4">
        <w:rPr>
          <w:rFonts w:ascii="Arial" w:eastAsiaTheme="minorHAnsi" w:hAnsi="Arial" w:cs="Arial"/>
          <w:sz w:val="20"/>
          <w:lang w:val="it-IT"/>
        </w:rPr>
        <w:t xml:space="preserve"> è indicato per</w:t>
      </w:r>
      <w:r w:rsidR="00CA228C">
        <w:rPr>
          <w:rFonts w:ascii="Arial" w:eastAsiaTheme="minorHAnsi" w:hAnsi="Arial" w:cs="Arial"/>
          <w:sz w:val="20"/>
          <w:vertAlign w:val="superscript"/>
          <w:lang w:val="it-IT"/>
        </w:rPr>
        <w:t>1</w:t>
      </w:r>
      <w:r w:rsidR="00ED24C4">
        <w:rPr>
          <w:rFonts w:ascii="Arial" w:eastAsiaTheme="minorHAnsi" w:hAnsi="Arial" w:cs="Arial"/>
          <w:sz w:val="20"/>
          <w:lang w:val="it-IT"/>
        </w:rPr>
        <w:t xml:space="preserve">: </w:t>
      </w:r>
    </w:p>
    <w:tbl>
      <w:tblPr>
        <w:tblW w:w="8734" w:type="dxa"/>
        <w:tblInd w:w="416" w:type="dxa"/>
        <w:tblLayout w:type="fixed"/>
        <w:tblCellMar>
          <w:top w:w="28" w:type="dxa"/>
          <w:left w:w="28" w:type="dxa"/>
          <w:right w:w="85" w:type="dxa"/>
        </w:tblCellMar>
        <w:tblLook w:val="0000" w:firstRow="0" w:lastRow="0" w:firstColumn="0" w:lastColumn="0" w:noHBand="0" w:noVBand="0"/>
      </w:tblPr>
      <w:tblGrid>
        <w:gridCol w:w="1734"/>
        <w:gridCol w:w="1840"/>
        <w:gridCol w:w="5160"/>
      </w:tblGrid>
      <w:tr w:rsidR="005517D1" w:rsidRPr="005B466A" w:rsidTr="009C67C4">
        <w:trPr>
          <w:trHeight w:val="259"/>
        </w:trPr>
        <w:tc>
          <w:tcPr>
            <w:tcW w:w="173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5517D1" w:rsidRDefault="005517D1" w:rsidP="008256E1">
            <w:pPr>
              <w:spacing w:line="0" w:lineRule="atLeast"/>
              <w:ind w:left="120"/>
              <w:rPr>
                <w:rFonts w:ascii="Arial" w:eastAsia="Arial" w:hAnsi="Arial"/>
                <w:b/>
                <w:sz w:val="18"/>
              </w:rPr>
            </w:pPr>
            <w:proofErr w:type="spellStart"/>
            <w:r>
              <w:rPr>
                <w:rFonts w:ascii="Arial" w:eastAsia="Arial" w:hAnsi="Arial"/>
                <w:b/>
                <w:sz w:val="18"/>
              </w:rPr>
              <w:t>L</w:t>
            </w:r>
            <w:r w:rsidRPr="005517D1">
              <w:rPr>
                <w:rFonts w:ascii="Arial" w:eastAsia="Arial" w:hAnsi="Arial"/>
                <w:b/>
                <w:sz w:val="18"/>
              </w:rPr>
              <w:t>infomi</w:t>
            </w:r>
            <w:proofErr w:type="spellEnd"/>
            <w:r w:rsidRPr="005517D1">
              <w:rPr>
                <w:rFonts w:ascii="Arial" w:eastAsia="Arial" w:hAnsi="Arial"/>
                <w:b/>
                <w:sz w:val="18"/>
              </w:rPr>
              <w:t xml:space="preserve"> </w:t>
            </w:r>
            <w:proofErr w:type="gramStart"/>
            <w:r w:rsidRPr="005517D1">
              <w:rPr>
                <w:rFonts w:ascii="Arial" w:eastAsia="Arial" w:hAnsi="Arial"/>
                <w:b/>
                <w:sz w:val="18"/>
              </w:rPr>
              <w:t>non Hodgkin</w:t>
            </w:r>
            <w:proofErr w:type="gramEnd"/>
            <w:r w:rsidR="009C67C4">
              <w:rPr>
                <w:rFonts w:ascii="Arial" w:eastAsia="Arial" w:hAnsi="Arial"/>
                <w:b/>
                <w:sz w:val="18"/>
              </w:rPr>
              <w:t xml:space="preserve"> (LNH)</w:t>
            </w:r>
          </w:p>
        </w:tc>
        <w:tc>
          <w:tcPr>
            <w:tcW w:w="1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517D1" w:rsidRPr="005B466A" w:rsidRDefault="005517D1" w:rsidP="008256E1">
            <w:pPr>
              <w:spacing w:line="0" w:lineRule="atLeast"/>
              <w:ind w:left="100"/>
              <w:rPr>
                <w:rFonts w:ascii="Arial" w:eastAsia="Arial" w:hAnsi="Arial"/>
                <w:sz w:val="18"/>
              </w:rPr>
            </w:pPr>
            <w:proofErr w:type="spellStart"/>
            <w:r w:rsidRPr="005B466A">
              <w:rPr>
                <w:rFonts w:ascii="Arial" w:eastAsia="Arial" w:hAnsi="Arial"/>
                <w:sz w:val="18"/>
              </w:rPr>
              <w:t>Linfoma</w:t>
            </w:r>
            <w:proofErr w:type="spellEnd"/>
            <w:r w:rsidRPr="005B466A">
              <w:rPr>
                <w:rFonts w:ascii="Arial" w:eastAsia="Arial" w:hAnsi="Arial"/>
                <w:sz w:val="18"/>
              </w:rPr>
              <w:t xml:space="preserve"> </w:t>
            </w:r>
            <w:proofErr w:type="spellStart"/>
            <w:r w:rsidRPr="005B466A">
              <w:rPr>
                <w:rFonts w:ascii="Arial" w:eastAsia="Arial" w:hAnsi="Arial"/>
                <w:sz w:val="18"/>
              </w:rPr>
              <w:t>Follicolare</w:t>
            </w:r>
            <w:proofErr w:type="spellEnd"/>
            <w:r w:rsidRPr="005B466A">
              <w:rPr>
                <w:rFonts w:ascii="Arial" w:eastAsia="Arial" w:hAnsi="Arial"/>
                <w:sz w:val="18"/>
              </w:rPr>
              <w:t xml:space="preserve"> </w:t>
            </w:r>
          </w:p>
        </w:tc>
        <w:tc>
          <w:tcPr>
            <w:tcW w:w="51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517D1" w:rsidRPr="005B466A" w:rsidRDefault="005517D1" w:rsidP="00AC2C0E">
            <w:pPr>
              <w:spacing w:after="0" w:line="0" w:lineRule="atLeast"/>
              <w:ind w:left="102"/>
              <w:jc w:val="both"/>
              <w:rPr>
                <w:rFonts w:ascii="Arial" w:eastAsia="Arial" w:hAnsi="Arial"/>
                <w:sz w:val="24"/>
                <w:vertAlign w:val="superscript"/>
                <w:lang w:val="it-IT"/>
              </w:rPr>
            </w:pPr>
            <w:r w:rsidRPr="005B466A">
              <w:rPr>
                <w:rFonts w:ascii="Arial" w:eastAsia="Arial" w:hAnsi="Arial"/>
                <w:sz w:val="18"/>
                <w:lang w:val="it-IT"/>
              </w:rPr>
              <w:t xml:space="preserve">• </w:t>
            </w:r>
            <w:r w:rsidR="005B466A" w:rsidRPr="005B466A">
              <w:rPr>
                <w:rFonts w:ascii="Arial" w:eastAsia="Arial" w:hAnsi="Arial"/>
                <w:sz w:val="18"/>
                <w:lang w:val="it-IT"/>
              </w:rPr>
              <w:t>L</w:t>
            </w:r>
            <w:r w:rsidR="007237AF" w:rsidRPr="005B466A">
              <w:rPr>
                <w:rFonts w:ascii="Arial" w:eastAsia="Arial" w:hAnsi="Arial"/>
                <w:sz w:val="18"/>
                <w:lang w:val="it-IT"/>
              </w:rPr>
              <w:t>infoma follicolare</w:t>
            </w:r>
            <w:r w:rsidR="005B466A" w:rsidRPr="005B466A">
              <w:rPr>
                <w:rFonts w:ascii="Arial" w:eastAsia="Arial" w:hAnsi="Arial"/>
                <w:sz w:val="18"/>
                <w:lang w:val="it-IT"/>
              </w:rPr>
              <w:t xml:space="preserve"> stadio III – IV</w:t>
            </w:r>
            <w:r w:rsidR="000B716F" w:rsidRPr="005B466A">
              <w:rPr>
                <w:rFonts w:ascii="Arial" w:eastAsia="Arial" w:hAnsi="Arial"/>
                <w:sz w:val="18"/>
                <w:lang w:val="it-IT"/>
              </w:rPr>
              <w:t>, precedenteme</w:t>
            </w:r>
            <w:r w:rsidR="005710E3" w:rsidRPr="005B466A">
              <w:rPr>
                <w:rFonts w:ascii="Arial" w:eastAsia="Arial" w:hAnsi="Arial"/>
                <w:sz w:val="18"/>
                <w:lang w:val="it-IT"/>
              </w:rPr>
              <w:t>n</w:t>
            </w:r>
            <w:r w:rsidR="000B716F" w:rsidRPr="005B466A">
              <w:rPr>
                <w:rFonts w:ascii="Arial" w:eastAsia="Arial" w:hAnsi="Arial"/>
                <w:sz w:val="18"/>
                <w:lang w:val="it-IT"/>
              </w:rPr>
              <w:t>te non trattat</w:t>
            </w:r>
            <w:r w:rsidR="002A3FB6">
              <w:rPr>
                <w:rFonts w:ascii="Arial" w:eastAsia="Arial" w:hAnsi="Arial"/>
                <w:sz w:val="18"/>
                <w:lang w:val="it-IT"/>
              </w:rPr>
              <w:t>o</w:t>
            </w:r>
            <w:r w:rsidR="000B716F" w:rsidRPr="005B466A">
              <w:rPr>
                <w:rFonts w:ascii="Arial" w:eastAsia="Arial" w:hAnsi="Arial"/>
                <w:sz w:val="18"/>
                <w:lang w:val="it-IT"/>
              </w:rPr>
              <w:t xml:space="preserve">, </w:t>
            </w:r>
            <w:r w:rsidRPr="005B466A">
              <w:rPr>
                <w:rFonts w:ascii="Arial" w:eastAsia="Arial" w:hAnsi="Arial"/>
                <w:sz w:val="18"/>
                <w:lang w:val="it-IT"/>
              </w:rPr>
              <w:t>in</w:t>
            </w:r>
            <w:r w:rsidR="00CA228C">
              <w:rPr>
                <w:rFonts w:ascii="Arial" w:eastAsia="Arial" w:hAnsi="Arial"/>
                <w:sz w:val="18"/>
                <w:lang w:val="it-IT"/>
              </w:rPr>
              <w:t xml:space="preserve"> combinazione con chemioterapia</w:t>
            </w:r>
          </w:p>
          <w:p w:rsidR="005517D1" w:rsidRPr="005B466A" w:rsidRDefault="005517D1" w:rsidP="00AC2C0E">
            <w:pPr>
              <w:spacing w:after="0" w:line="0" w:lineRule="atLeast"/>
              <w:ind w:left="102"/>
              <w:jc w:val="both"/>
              <w:rPr>
                <w:rFonts w:ascii="Arial" w:eastAsia="Arial" w:hAnsi="Arial"/>
                <w:sz w:val="24"/>
                <w:lang w:val="it-IT"/>
              </w:rPr>
            </w:pPr>
            <w:r w:rsidRPr="005B466A">
              <w:rPr>
                <w:rFonts w:ascii="Arial" w:eastAsia="Arial" w:hAnsi="Arial"/>
                <w:sz w:val="18"/>
                <w:lang w:val="it-IT"/>
              </w:rPr>
              <w:t>• Terapia di mantenimento nei pazienti che hanno risposto alla terapia di induzione</w:t>
            </w:r>
          </w:p>
          <w:p w:rsidR="005517D1" w:rsidRDefault="005517D1" w:rsidP="00AC2C0E">
            <w:pPr>
              <w:spacing w:after="0" w:line="0" w:lineRule="atLeast"/>
              <w:ind w:left="102"/>
              <w:jc w:val="both"/>
              <w:rPr>
                <w:rFonts w:ascii="Arial" w:eastAsia="Arial" w:hAnsi="Arial"/>
                <w:sz w:val="18"/>
                <w:lang w:val="it-IT"/>
              </w:rPr>
            </w:pPr>
            <w:r w:rsidRPr="005B466A">
              <w:rPr>
                <w:rFonts w:ascii="Arial" w:eastAsia="Arial" w:hAnsi="Arial"/>
                <w:sz w:val="18"/>
                <w:lang w:val="it-IT"/>
              </w:rPr>
              <w:t xml:space="preserve">• </w:t>
            </w:r>
            <w:proofErr w:type="spellStart"/>
            <w:r w:rsidRPr="005B466A">
              <w:rPr>
                <w:rFonts w:ascii="Arial" w:eastAsia="Arial" w:hAnsi="Arial"/>
                <w:sz w:val="18"/>
                <w:lang w:val="it-IT"/>
              </w:rPr>
              <w:t>Monoterapia</w:t>
            </w:r>
            <w:proofErr w:type="spellEnd"/>
            <w:r w:rsidRPr="005B466A">
              <w:rPr>
                <w:rFonts w:ascii="Arial" w:eastAsia="Arial" w:hAnsi="Arial"/>
                <w:sz w:val="18"/>
                <w:lang w:val="it-IT"/>
              </w:rPr>
              <w:t xml:space="preserve"> </w:t>
            </w:r>
            <w:r w:rsidR="005710E3" w:rsidRPr="005B466A">
              <w:rPr>
                <w:rFonts w:ascii="Arial" w:eastAsia="Arial" w:hAnsi="Arial"/>
                <w:sz w:val="18"/>
                <w:lang w:val="it-IT"/>
              </w:rPr>
              <w:t>per g</w:t>
            </w:r>
            <w:r w:rsidRPr="005B466A">
              <w:rPr>
                <w:rFonts w:ascii="Arial" w:eastAsia="Arial" w:hAnsi="Arial"/>
                <w:sz w:val="18"/>
                <w:lang w:val="it-IT"/>
              </w:rPr>
              <w:t xml:space="preserve">li stadi III-IV del linfoma follicolare che sono </w:t>
            </w:r>
            <w:proofErr w:type="spellStart"/>
            <w:r w:rsidRPr="005B466A">
              <w:rPr>
                <w:rFonts w:ascii="Arial" w:eastAsia="Arial" w:hAnsi="Arial"/>
                <w:sz w:val="18"/>
                <w:lang w:val="it-IT"/>
              </w:rPr>
              <w:t>chemioresistenti</w:t>
            </w:r>
            <w:proofErr w:type="spellEnd"/>
            <w:r w:rsidRPr="005B466A">
              <w:rPr>
                <w:rFonts w:ascii="Arial" w:eastAsia="Arial" w:hAnsi="Arial"/>
                <w:sz w:val="18"/>
                <w:lang w:val="it-IT"/>
              </w:rPr>
              <w:t xml:space="preserve"> o che sono alla seconda o successiva ricaduta</w:t>
            </w:r>
            <w:r w:rsidR="00CF2621" w:rsidRPr="005B466A">
              <w:rPr>
                <w:rFonts w:ascii="Arial" w:eastAsia="Arial" w:hAnsi="Arial"/>
                <w:sz w:val="18"/>
                <w:lang w:val="it-IT"/>
              </w:rPr>
              <w:t xml:space="preserve">, dopo </w:t>
            </w:r>
            <w:r w:rsidRPr="005B466A">
              <w:rPr>
                <w:rFonts w:ascii="Arial" w:eastAsia="Arial" w:hAnsi="Arial"/>
                <w:sz w:val="18"/>
                <w:lang w:val="it-IT"/>
              </w:rPr>
              <w:t>chemioterapia</w:t>
            </w:r>
          </w:p>
          <w:p w:rsidR="00F92A24" w:rsidRPr="005B466A" w:rsidRDefault="00F92A24" w:rsidP="005517D1">
            <w:pPr>
              <w:spacing w:after="0" w:line="0" w:lineRule="atLeast"/>
              <w:ind w:left="102"/>
              <w:jc w:val="both"/>
              <w:rPr>
                <w:rFonts w:ascii="Arial" w:eastAsia="Arial" w:hAnsi="Arial"/>
                <w:sz w:val="18"/>
                <w:lang w:val="it-IT"/>
              </w:rPr>
            </w:pPr>
          </w:p>
        </w:tc>
      </w:tr>
      <w:tr w:rsidR="005517D1" w:rsidRPr="005B466A" w:rsidTr="00795B72">
        <w:trPr>
          <w:trHeight w:val="1210"/>
        </w:trPr>
        <w:tc>
          <w:tcPr>
            <w:tcW w:w="173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517D1" w:rsidRPr="005517D1" w:rsidRDefault="005517D1" w:rsidP="008256E1">
            <w:pPr>
              <w:spacing w:line="0" w:lineRule="atLeast"/>
              <w:rPr>
                <w:rFonts w:ascii="Times New Roman" w:eastAsia="Times New Roman" w:hAnsi="Times New Roman"/>
                <w:sz w:val="19"/>
                <w:lang w:val="it-IT"/>
              </w:rPr>
            </w:pPr>
          </w:p>
        </w:tc>
        <w:tc>
          <w:tcPr>
            <w:tcW w:w="1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41913" w:rsidRPr="005B466A" w:rsidRDefault="00A41913" w:rsidP="00795B72">
            <w:pPr>
              <w:spacing w:line="0" w:lineRule="atLeast"/>
              <w:rPr>
                <w:rFonts w:ascii="Arial" w:eastAsia="Arial" w:hAnsi="Arial"/>
                <w:sz w:val="18"/>
                <w:lang w:val="it-IT"/>
              </w:rPr>
            </w:pPr>
            <w:r w:rsidRPr="005B466A">
              <w:rPr>
                <w:rFonts w:ascii="Arial" w:eastAsia="Arial" w:hAnsi="Arial"/>
                <w:sz w:val="18"/>
                <w:lang w:val="it-IT"/>
              </w:rPr>
              <w:t>Linfoma diffuso a grandi cellule B</w:t>
            </w:r>
          </w:p>
        </w:tc>
        <w:tc>
          <w:tcPr>
            <w:tcW w:w="51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517D1" w:rsidRPr="005B466A" w:rsidRDefault="00A41913" w:rsidP="005B466A">
            <w:pPr>
              <w:spacing w:line="0" w:lineRule="atLeast"/>
              <w:ind w:left="100"/>
              <w:jc w:val="both"/>
              <w:rPr>
                <w:rFonts w:ascii="Arial" w:eastAsia="Arial" w:hAnsi="Arial"/>
                <w:sz w:val="18"/>
                <w:lang w:val="it-IT"/>
              </w:rPr>
            </w:pPr>
            <w:r w:rsidRPr="005B466A">
              <w:rPr>
                <w:rFonts w:ascii="Arial" w:eastAsia="Arial" w:hAnsi="Arial"/>
                <w:sz w:val="18"/>
                <w:lang w:val="it-IT"/>
              </w:rPr>
              <w:t>DLBCL</w:t>
            </w:r>
            <w:r w:rsidR="005B466A" w:rsidRPr="005B466A">
              <w:rPr>
                <w:rFonts w:ascii="Arial" w:eastAsia="Arial" w:hAnsi="Arial"/>
                <w:sz w:val="18"/>
                <w:lang w:val="it-IT"/>
              </w:rPr>
              <w:t xml:space="preserve"> CD20 + </w:t>
            </w:r>
            <w:r w:rsidRPr="005B466A">
              <w:rPr>
                <w:rFonts w:ascii="Arial" w:eastAsia="Arial" w:hAnsi="Arial"/>
                <w:sz w:val="18"/>
                <w:lang w:val="it-IT"/>
              </w:rPr>
              <w:t>in combinazione con la chemioterapia CHOP</w:t>
            </w:r>
          </w:p>
        </w:tc>
      </w:tr>
      <w:tr w:rsidR="005517D1" w:rsidRPr="005B466A" w:rsidTr="009C67C4">
        <w:trPr>
          <w:trHeight w:val="228"/>
        </w:trPr>
        <w:tc>
          <w:tcPr>
            <w:tcW w:w="17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517D1" w:rsidRPr="00A41913" w:rsidRDefault="005517D1" w:rsidP="008256E1">
            <w:pPr>
              <w:spacing w:line="0" w:lineRule="atLeast"/>
              <w:rPr>
                <w:rFonts w:ascii="Times New Roman" w:eastAsia="Times New Roman" w:hAnsi="Times New Roman"/>
                <w:sz w:val="19"/>
                <w:lang w:val="it-IT"/>
              </w:rPr>
            </w:pPr>
          </w:p>
        </w:tc>
        <w:tc>
          <w:tcPr>
            <w:tcW w:w="1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517D1" w:rsidRPr="005B466A" w:rsidRDefault="00A41913" w:rsidP="00BF2D48">
            <w:pPr>
              <w:spacing w:line="0" w:lineRule="atLeast"/>
              <w:ind w:left="100"/>
              <w:rPr>
                <w:rFonts w:ascii="Arial" w:eastAsia="Arial" w:hAnsi="Arial"/>
                <w:sz w:val="18"/>
                <w:lang w:val="it-IT"/>
              </w:rPr>
            </w:pPr>
            <w:r w:rsidRPr="005B466A">
              <w:rPr>
                <w:rFonts w:ascii="Arial" w:eastAsia="Arial" w:hAnsi="Arial"/>
                <w:sz w:val="18"/>
                <w:lang w:val="it-IT"/>
              </w:rPr>
              <w:t>Leucemia linfatica cronica</w:t>
            </w:r>
            <w:r w:rsidR="00BF2D48" w:rsidRPr="005B466A">
              <w:rPr>
                <w:rFonts w:ascii="Arial" w:eastAsia="Arial" w:hAnsi="Arial"/>
                <w:sz w:val="18"/>
                <w:lang w:val="it-IT"/>
              </w:rPr>
              <w:t xml:space="preserve"> </w:t>
            </w:r>
          </w:p>
        </w:tc>
        <w:tc>
          <w:tcPr>
            <w:tcW w:w="516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41913" w:rsidRPr="005B466A" w:rsidRDefault="00AC2C0E" w:rsidP="009C67C4">
            <w:pPr>
              <w:spacing w:line="0" w:lineRule="atLeast"/>
              <w:ind w:left="100"/>
              <w:rPr>
                <w:rFonts w:ascii="Arial" w:eastAsia="Arial" w:hAnsi="Arial"/>
                <w:sz w:val="18"/>
                <w:lang w:val="it-IT"/>
              </w:rPr>
            </w:pPr>
            <w:r w:rsidRPr="005B466A">
              <w:rPr>
                <w:rFonts w:ascii="Arial" w:eastAsia="Arial" w:hAnsi="Arial"/>
                <w:sz w:val="18"/>
                <w:lang w:val="it-IT"/>
              </w:rPr>
              <w:t>Leucemia linfatica cronica</w:t>
            </w:r>
            <w:r w:rsidR="00A41913" w:rsidRPr="005B466A">
              <w:rPr>
                <w:rFonts w:ascii="Arial" w:eastAsia="Arial" w:hAnsi="Arial"/>
                <w:sz w:val="18"/>
                <w:lang w:val="it-IT"/>
              </w:rPr>
              <w:t xml:space="preserve"> precedentemente non trattata e recidiva/refrattaria in combinazione con la chemioterapia</w:t>
            </w:r>
            <w:r>
              <w:rPr>
                <w:rFonts w:ascii="Arial" w:eastAsia="Arial" w:hAnsi="Arial"/>
                <w:sz w:val="18"/>
                <w:lang w:val="it-IT"/>
              </w:rPr>
              <w:t xml:space="preserve"> </w:t>
            </w:r>
          </w:p>
        </w:tc>
      </w:tr>
      <w:tr w:rsidR="005517D1" w:rsidRPr="005B466A" w:rsidTr="009C67C4">
        <w:trPr>
          <w:trHeight w:val="239"/>
        </w:trPr>
        <w:tc>
          <w:tcPr>
            <w:tcW w:w="357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517D1" w:rsidRPr="005B466A" w:rsidRDefault="00FC70CD" w:rsidP="00A41913">
            <w:pPr>
              <w:spacing w:line="0" w:lineRule="atLeast"/>
              <w:ind w:left="120"/>
              <w:rPr>
                <w:rFonts w:ascii="Arial" w:eastAsia="Arial" w:hAnsi="Arial"/>
                <w:b/>
                <w:sz w:val="18"/>
              </w:rPr>
            </w:pPr>
            <w:proofErr w:type="spellStart"/>
            <w:r w:rsidRPr="005B466A">
              <w:rPr>
                <w:rFonts w:ascii="Arial" w:eastAsia="Arial" w:hAnsi="Arial"/>
                <w:b/>
                <w:sz w:val="18"/>
              </w:rPr>
              <w:t>Artrite</w:t>
            </w:r>
            <w:proofErr w:type="spellEnd"/>
            <w:r w:rsidRPr="005B466A">
              <w:rPr>
                <w:rFonts w:ascii="Arial" w:eastAsia="Arial" w:hAnsi="Arial"/>
                <w:b/>
                <w:sz w:val="18"/>
              </w:rPr>
              <w:t xml:space="preserve"> </w:t>
            </w:r>
            <w:proofErr w:type="spellStart"/>
            <w:r w:rsidRPr="005B466A">
              <w:rPr>
                <w:rFonts w:ascii="Arial" w:eastAsia="Arial" w:hAnsi="Arial"/>
                <w:b/>
                <w:sz w:val="18"/>
              </w:rPr>
              <w:t>reumatoide</w:t>
            </w:r>
            <w:proofErr w:type="spellEnd"/>
          </w:p>
        </w:tc>
        <w:tc>
          <w:tcPr>
            <w:tcW w:w="51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517D1" w:rsidRPr="005B466A" w:rsidRDefault="00A41913" w:rsidP="009C67C4">
            <w:pPr>
              <w:spacing w:line="0" w:lineRule="atLeast"/>
              <w:ind w:left="100"/>
              <w:jc w:val="both"/>
              <w:rPr>
                <w:rFonts w:ascii="Arial" w:eastAsia="Arial" w:hAnsi="Arial"/>
                <w:sz w:val="18"/>
                <w:lang w:val="it-IT"/>
              </w:rPr>
            </w:pPr>
            <w:r w:rsidRPr="005B466A">
              <w:rPr>
                <w:rFonts w:ascii="Arial" w:eastAsia="Arial" w:hAnsi="Arial"/>
                <w:sz w:val="18"/>
                <w:lang w:val="it-IT"/>
              </w:rPr>
              <w:t xml:space="preserve">In combinazione con metotressato, per i pazienti adulti con artrite reumatoide severa </w:t>
            </w:r>
            <w:r w:rsidR="005E4AEC" w:rsidRPr="005B466A">
              <w:rPr>
                <w:rFonts w:ascii="Arial" w:eastAsia="Arial" w:hAnsi="Arial"/>
                <w:sz w:val="18"/>
                <w:lang w:val="it-IT"/>
              </w:rPr>
              <w:t>in fase attiva</w:t>
            </w:r>
            <w:r w:rsidR="001561FD" w:rsidRPr="005B466A">
              <w:rPr>
                <w:rFonts w:ascii="Arial" w:eastAsia="Arial" w:hAnsi="Arial"/>
                <w:sz w:val="18"/>
                <w:lang w:val="it-IT"/>
              </w:rPr>
              <w:t xml:space="preserve">, </w:t>
            </w:r>
            <w:r w:rsidRPr="005B466A">
              <w:rPr>
                <w:rFonts w:ascii="Arial" w:eastAsia="Arial" w:hAnsi="Arial"/>
                <w:sz w:val="18"/>
                <w:lang w:val="it-IT"/>
              </w:rPr>
              <w:t>che hanno avuto risposta inadeguata o intolleranza ad altri DMARD tra cui almeno una terapia anti-TNF</w:t>
            </w:r>
          </w:p>
        </w:tc>
      </w:tr>
      <w:tr w:rsidR="005517D1" w:rsidRPr="005B466A" w:rsidTr="009C67C4">
        <w:trPr>
          <w:trHeight w:val="239"/>
        </w:trPr>
        <w:tc>
          <w:tcPr>
            <w:tcW w:w="3574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517D1" w:rsidRPr="00A41913" w:rsidRDefault="009C67C4" w:rsidP="009C67C4">
            <w:pPr>
              <w:spacing w:line="0" w:lineRule="atLeast"/>
              <w:ind w:left="120"/>
              <w:rPr>
                <w:rFonts w:ascii="Arial" w:eastAsia="Arial" w:hAnsi="Arial"/>
                <w:b/>
                <w:sz w:val="18"/>
                <w:lang w:val="it-IT"/>
              </w:rPr>
            </w:pPr>
            <w:r>
              <w:rPr>
                <w:rFonts w:ascii="Arial" w:eastAsia="Arial" w:hAnsi="Arial"/>
                <w:b/>
                <w:sz w:val="18"/>
                <w:lang w:val="it-IT"/>
              </w:rPr>
              <w:t xml:space="preserve">Granulomatosi associata a </w:t>
            </w:r>
            <w:proofErr w:type="spellStart"/>
            <w:r w:rsidR="00A41913" w:rsidRPr="00A41913">
              <w:rPr>
                <w:rFonts w:ascii="Arial" w:eastAsia="Arial" w:hAnsi="Arial"/>
                <w:b/>
                <w:sz w:val="18"/>
                <w:lang w:val="it-IT"/>
              </w:rPr>
              <w:t>poliangi</w:t>
            </w:r>
            <w:r>
              <w:rPr>
                <w:rFonts w:ascii="Arial" w:eastAsia="Arial" w:hAnsi="Arial"/>
                <w:b/>
                <w:sz w:val="18"/>
                <w:lang w:val="it-IT"/>
              </w:rPr>
              <w:t>oi</w:t>
            </w:r>
            <w:r w:rsidR="00A41913" w:rsidRPr="00A41913">
              <w:rPr>
                <w:rFonts w:ascii="Arial" w:eastAsia="Arial" w:hAnsi="Arial"/>
                <w:b/>
                <w:sz w:val="18"/>
                <w:lang w:val="it-IT"/>
              </w:rPr>
              <w:t>te</w:t>
            </w:r>
            <w:proofErr w:type="spellEnd"/>
            <w:r w:rsidR="00A41913" w:rsidRPr="00A41913">
              <w:rPr>
                <w:rFonts w:ascii="Arial" w:eastAsia="Arial" w:hAnsi="Arial"/>
                <w:b/>
                <w:sz w:val="18"/>
                <w:lang w:val="it-IT"/>
              </w:rPr>
              <w:t xml:space="preserve"> e </w:t>
            </w:r>
            <w:proofErr w:type="spellStart"/>
            <w:r w:rsidR="00A41913" w:rsidRPr="00A41913">
              <w:rPr>
                <w:rFonts w:ascii="Arial" w:eastAsia="Arial" w:hAnsi="Arial"/>
                <w:b/>
                <w:sz w:val="18"/>
                <w:lang w:val="it-IT"/>
              </w:rPr>
              <w:t>poliangi</w:t>
            </w:r>
            <w:r>
              <w:rPr>
                <w:rFonts w:ascii="Arial" w:eastAsia="Arial" w:hAnsi="Arial"/>
                <w:b/>
                <w:sz w:val="18"/>
                <w:lang w:val="it-IT"/>
              </w:rPr>
              <w:t>oi</w:t>
            </w:r>
            <w:r w:rsidR="00A41913" w:rsidRPr="00A41913">
              <w:rPr>
                <w:rFonts w:ascii="Arial" w:eastAsia="Arial" w:hAnsi="Arial"/>
                <w:b/>
                <w:sz w:val="18"/>
                <w:lang w:val="it-IT"/>
              </w:rPr>
              <w:t>te</w:t>
            </w:r>
            <w:proofErr w:type="spellEnd"/>
            <w:r w:rsidR="00A41913" w:rsidRPr="00A41913">
              <w:rPr>
                <w:rFonts w:ascii="Arial" w:eastAsia="Arial" w:hAnsi="Arial"/>
                <w:b/>
                <w:sz w:val="18"/>
                <w:lang w:val="it-IT"/>
              </w:rPr>
              <w:t xml:space="preserve"> microscopica </w:t>
            </w:r>
          </w:p>
        </w:tc>
        <w:tc>
          <w:tcPr>
            <w:tcW w:w="51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41913" w:rsidRPr="00A41913" w:rsidRDefault="00A41913" w:rsidP="009C67C4">
            <w:pPr>
              <w:spacing w:after="0" w:line="0" w:lineRule="atLeast"/>
              <w:ind w:left="102"/>
              <w:jc w:val="both"/>
              <w:rPr>
                <w:rFonts w:ascii="Arial" w:eastAsia="Arial" w:hAnsi="Arial"/>
                <w:sz w:val="18"/>
                <w:lang w:val="it-IT"/>
              </w:rPr>
            </w:pPr>
            <w:r w:rsidRPr="00A41913">
              <w:rPr>
                <w:rFonts w:ascii="Arial" w:eastAsia="Arial" w:hAnsi="Arial"/>
                <w:sz w:val="18"/>
                <w:lang w:val="it-IT"/>
              </w:rPr>
              <w:t>In combinazione con glucocorticoidi per l'induzione della remiss</w:t>
            </w:r>
            <w:r>
              <w:rPr>
                <w:rFonts w:ascii="Arial" w:eastAsia="Arial" w:hAnsi="Arial"/>
                <w:sz w:val="18"/>
                <w:lang w:val="it-IT"/>
              </w:rPr>
              <w:t xml:space="preserve">ione in pazienti adulti con </w:t>
            </w:r>
            <w:r w:rsidRPr="00A41913">
              <w:rPr>
                <w:rFonts w:ascii="Arial" w:eastAsia="Arial" w:hAnsi="Arial"/>
                <w:sz w:val="18"/>
                <w:lang w:val="it-IT"/>
              </w:rPr>
              <w:t xml:space="preserve">granulomatosi </w:t>
            </w:r>
            <w:r w:rsidR="009C67C4">
              <w:rPr>
                <w:rFonts w:ascii="Arial" w:eastAsia="Arial" w:hAnsi="Arial"/>
                <w:sz w:val="18"/>
                <w:lang w:val="it-IT"/>
              </w:rPr>
              <w:t>associata a</w:t>
            </w:r>
            <w:r>
              <w:rPr>
                <w:rFonts w:ascii="Arial" w:eastAsia="Arial" w:hAnsi="Arial"/>
                <w:sz w:val="18"/>
                <w:lang w:val="it-IT"/>
              </w:rPr>
              <w:t xml:space="preserve"> </w:t>
            </w:r>
            <w:proofErr w:type="spellStart"/>
            <w:r w:rsidRPr="00A41913">
              <w:rPr>
                <w:rFonts w:ascii="Arial" w:eastAsia="Arial" w:hAnsi="Arial"/>
                <w:sz w:val="18"/>
                <w:lang w:val="it-IT"/>
              </w:rPr>
              <w:t>poliangi</w:t>
            </w:r>
            <w:r w:rsidR="009C67C4">
              <w:rPr>
                <w:rFonts w:ascii="Arial" w:eastAsia="Arial" w:hAnsi="Arial"/>
                <w:sz w:val="18"/>
                <w:lang w:val="it-IT"/>
              </w:rPr>
              <w:t>oi</w:t>
            </w:r>
            <w:r w:rsidRPr="00A41913">
              <w:rPr>
                <w:rFonts w:ascii="Arial" w:eastAsia="Arial" w:hAnsi="Arial"/>
                <w:sz w:val="18"/>
                <w:lang w:val="it-IT"/>
              </w:rPr>
              <w:t>te</w:t>
            </w:r>
            <w:proofErr w:type="spellEnd"/>
            <w:r w:rsidRPr="00A41913">
              <w:rPr>
                <w:rFonts w:ascii="Arial" w:eastAsia="Arial" w:hAnsi="Arial"/>
                <w:sz w:val="18"/>
                <w:lang w:val="it-IT"/>
              </w:rPr>
              <w:t xml:space="preserve"> e </w:t>
            </w:r>
            <w:proofErr w:type="spellStart"/>
            <w:r w:rsidR="00B62FE4">
              <w:rPr>
                <w:rFonts w:ascii="Arial" w:eastAsia="Arial" w:hAnsi="Arial"/>
                <w:sz w:val="18"/>
                <w:lang w:val="it-IT"/>
              </w:rPr>
              <w:t>poliang</w:t>
            </w:r>
            <w:r w:rsidRPr="00A41913">
              <w:rPr>
                <w:rFonts w:ascii="Arial" w:eastAsia="Arial" w:hAnsi="Arial"/>
                <w:sz w:val="18"/>
                <w:lang w:val="it-IT"/>
              </w:rPr>
              <w:t>i</w:t>
            </w:r>
            <w:r w:rsidR="009C67C4">
              <w:rPr>
                <w:rFonts w:ascii="Arial" w:eastAsia="Arial" w:hAnsi="Arial"/>
                <w:sz w:val="18"/>
                <w:lang w:val="it-IT"/>
              </w:rPr>
              <w:t>oi</w:t>
            </w:r>
            <w:r w:rsidRPr="00A41913">
              <w:rPr>
                <w:rFonts w:ascii="Arial" w:eastAsia="Arial" w:hAnsi="Arial"/>
                <w:sz w:val="18"/>
                <w:lang w:val="it-IT"/>
              </w:rPr>
              <w:t>te</w:t>
            </w:r>
            <w:proofErr w:type="spellEnd"/>
            <w:r w:rsidRPr="00A41913">
              <w:rPr>
                <w:rFonts w:ascii="Arial" w:eastAsia="Arial" w:hAnsi="Arial"/>
                <w:sz w:val="18"/>
                <w:lang w:val="it-IT"/>
              </w:rPr>
              <w:t xml:space="preserve"> microscopica</w:t>
            </w:r>
            <w:r w:rsidR="00AC53C3">
              <w:rPr>
                <w:rFonts w:ascii="Arial" w:eastAsia="Arial" w:hAnsi="Arial"/>
                <w:sz w:val="18"/>
                <w:lang w:val="it-IT"/>
              </w:rPr>
              <w:t xml:space="preserve">, severe e </w:t>
            </w:r>
            <w:r w:rsidR="00AC53C3" w:rsidRPr="00A94CF6">
              <w:rPr>
                <w:rFonts w:ascii="Arial" w:eastAsia="Arial" w:hAnsi="Arial"/>
                <w:sz w:val="18"/>
                <w:lang w:val="it-IT"/>
              </w:rPr>
              <w:t>in fase attiva</w:t>
            </w:r>
            <w:r w:rsidR="00AC53C3">
              <w:rPr>
                <w:rFonts w:ascii="Arial" w:eastAsia="Arial" w:hAnsi="Arial"/>
                <w:sz w:val="18"/>
                <w:lang w:val="it-IT"/>
              </w:rPr>
              <w:t>.</w:t>
            </w:r>
          </w:p>
        </w:tc>
      </w:tr>
    </w:tbl>
    <w:p w:rsidR="00ED24C4" w:rsidRDefault="00ED24C4" w:rsidP="00AF1980">
      <w:pPr>
        <w:ind w:left="360"/>
        <w:jc w:val="both"/>
        <w:rPr>
          <w:rFonts w:ascii="Arial" w:eastAsiaTheme="minorHAnsi" w:hAnsi="Arial" w:cs="Arial"/>
          <w:sz w:val="20"/>
          <w:vertAlign w:val="superscript"/>
          <w:lang w:val="it-IT"/>
        </w:rPr>
      </w:pPr>
    </w:p>
    <w:p w:rsidR="00F92A24" w:rsidRDefault="00F92A24" w:rsidP="00AF1980">
      <w:pPr>
        <w:ind w:left="360"/>
        <w:jc w:val="both"/>
        <w:rPr>
          <w:rFonts w:ascii="Arial" w:eastAsiaTheme="minorHAnsi" w:hAnsi="Arial" w:cs="Arial"/>
          <w:sz w:val="20"/>
          <w:vertAlign w:val="superscript"/>
          <w:lang w:val="it-IT"/>
        </w:rPr>
      </w:pPr>
    </w:p>
    <w:p w:rsidR="00AF1980" w:rsidRPr="00790320" w:rsidRDefault="000E6E24" w:rsidP="00AF1980">
      <w:pPr>
        <w:spacing w:after="0"/>
        <w:ind w:left="357"/>
        <w:jc w:val="both"/>
        <w:rPr>
          <w:rFonts w:ascii="Arial" w:hAnsi="Arial" w:cs="Arial"/>
          <w:b/>
          <w:color w:val="0D0D0D" w:themeColor="text1" w:themeTint="F2"/>
          <w:lang w:val="it-IT"/>
        </w:rPr>
      </w:pPr>
      <w:r>
        <w:rPr>
          <w:rFonts w:ascii="Arial" w:hAnsi="Arial" w:cs="Arial"/>
          <w:b/>
          <w:color w:val="0D0D0D" w:themeColor="text1" w:themeTint="F2"/>
          <w:lang w:val="it-IT"/>
        </w:rPr>
        <w:t xml:space="preserve">I </w:t>
      </w:r>
      <w:proofErr w:type="spellStart"/>
      <w:r>
        <w:rPr>
          <w:rFonts w:ascii="Arial" w:hAnsi="Arial" w:cs="Arial"/>
          <w:b/>
          <w:color w:val="0D0D0D" w:themeColor="text1" w:themeTint="F2"/>
          <w:lang w:val="it-IT"/>
        </w:rPr>
        <w:t>biosimilari</w:t>
      </w:r>
      <w:proofErr w:type="spellEnd"/>
    </w:p>
    <w:p w:rsidR="00AF1980" w:rsidRPr="00FC245F" w:rsidRDefault="00AF1980" w:rsidP="00AF1980">
      <w:pPr>
        <w:spacing w:after="0"/>
        <w:ind w:left="357"/>
        <w:jc w:val="both"/>
        <w:rPr>
          <w:rFonts w:ascii="Arial" w:eastAsiaTheme="minorHAnsi" w:hAnsi="Arial" w:cs="Arial"/>
          <w:sz w:val="20"/>
          <w:lang w:val="it-IT"/>
        </w:rPr>
      </w:pPr>
      <w:proofErr w:type="spellStart"/>
      <w:r w:rsidRPr="00FC245F">
        <w:rPr>
          <w:rFonts w:ascii="Arial" w:eastAsiaTheme="minorHAnsi" w:hAnsi="Arial" w:cs="Arial"/>
          <w:sz w:val="20"/>
          <w:lang w:val="it-IT"/>
        </w:rPr>
        <w:t>Biosimilare</w:t>
      </w:r>
      <w:proofErr w:type="spellEnd"/>
      <w:r w:rsidRPr="00FC245F">
        <w:rPr>
          <w:rFonts w:ascii="Arial" w:eastAsiaTheme="minorHAnsi" w:hAnsi="Arial" w:cs="Arial"/>
          <w:sz w:val="20"/>
          <w:lang w:val="it-IT"/>
        </w:rPr>
        <w:t xml:space="preserve"> è un termine utilizzato per descrivere diverse versioni di un prodotto </w:t>
      </w:r>
      <w:proofErr w:type="spellStart"/>
      <w:r w:rsidRPr="00FC245F">
        <w:rPr>
          <w:rFonts w:ascii="Arial" w:eastAsiaTheme="minorHAnsi" w:hAnsi="Arial" w:cs="Arial"/>
          <w:sz w:val="20"/>
          <w:lang w:val="it-IT"/>
        </w:rPr>
        <w:t>bio</w:t>
      </w:r>
      <w:proofErr w:type="spellEnd"/>
      <w:r w:rsidRPr="00FC245F">
        <w:rPr>
          <w:rFonts w:ascii="Arial" w:eastAsiaTheme="minorHAnsi" w:hAnsi="Arial" w:cs="Arial"/>
          <w:sz w:val="20"/>
          <w:lang w:val="it-IT"/>
        </w:rPr>
        <w:t xml:space="preserve">-farmaceutico che sono state rese disponibili sul mercato da diverse aziende, dopo che il brevetto di esclusività del prodotto originator è scaduto. I </w:t>
      </w:r>
      <w:proofErr w:type="spellStart"/>
      <w:r w:rsidRPr="00FC245F">
        <w:rPr>
          <w:rFonts w:ascii="Arial" w:eastAsiaTheme="minorHAnsi" w:hAnsi="Arial" w:cs="Arial"/>
          <w:sz w:val="20"/>
          <w:lang w:val="it-IT"/>
        </w:rPr>
        <w:t>biosimilari</w:t>
      </w:r>
      <w:proofErr w:type="spellEnd"/>
      <w:r w:rsidRPr="00FC245F">
        <w:rPr>
          <w:rFonts w:ascii="Arial" w:eastAsiaTheme="minorHAnsi" w:hAnsi="Arial" w:cs="Arial"/>
          <w:sz w:val="20"/>
          <w:lang w:val="it-IT"/>
        </w:rPr>
        <w:t xml:space="preserve"> sono considerati farmaci biologici, il che significa che contengon</w:t>
      </w:r>
      <w:r w:rsidR="00E03350" w:rsidRPr="00FC245F">
        <w:rPr>
          <w:rFonts w:ascii="Arial" w:eastAsiaTheme="minorHAnsi" w:hAnsi="Arial" w:cs="Arial"/>
          <w:sz w:val="20"/>
          <w:lang w:val="it-IT"/>
        </w:rPr>
        <w:t>o una sostanza attiva derivante</w:t>
      </w:r>
      <w:r w:rsidRPr="00FC245F">
        <w:rPr>
          <w:rFonts w:ascii="Arial" w:eastAsiaTheme="minorHAnsi" w:hAnsi="Arial" w:cs="Arial"/>
          <w:sz w:val="20"/>
          <w:lang w:val="it-IT"/>
        </w:rPr>
        <w:t xml:space="preserve"> da un organismo vivente. I </w:t>
      </w:r>
      <w:proofErr w:type="spellStart"/>
      <w:r w:rsidRPr="00FC245F">
        <w:rPr>
          <w:rFonts w:ascii="Arial" w:eastAsiaTheme="minorHAnsi" w:hAnsi="Arial" w:cs="Arial"/>
          <w:sz w:val="20"/>
          <w:lang w:val="it-IT"/>
        </w:rPr>
        <w:t>biosimilari</w:t>
      </w:r>
      <w:proofErr w:type="spellEnd"/>
      <w:r w:rsidRPr="00FC245F">
        <w:rPr>
          <w:rFonts w:ascii="Arial" w:eastAsiaTheme="minorHAnsi" w:hAnsi="Arial" w:cs="Arial"/>
          <w:sz w:val="20"/>
          <w:lang w:val="it-IT"/>
        </w:rPr>
        <w:t xml:space="preserve"> sono strettamente regolati e devono necessariamente dimostrare di essere comparabili al prodotto di riferimento attraverso programmi di sviluppo che includono la qualità e dati clinici e non. </w:t>
      </w:r>
    </w:p>
    <w:p w:rsidR="000E2D84" w:rsidRPr="00FC245F" w:rsidRDefault="005A4F8A" w:rsidP="00FC245F">
      <w:pPr>
        <w:spacing w:after="0"/>
        <w:ind w:left="357"/>
        <w:jc w:val="both"/>
        <w:rPr>
          <w:rFonts w:ascii="Arial" w:eastAsiaTheme="minorHAnsi" w:hAnsi="Arial" w:cs="Arial"/>
          <w:sz w:val="20"/>
          <w:lang w:val="it-IT"/>
        </w:rPr>
      </w:pPr>
      <w:r w:rsidRPr="00FC245F">
        <w:rPr>
          <w:rFonts w:ascii="Arial" w:eastAsiaTheme="minorHAnsi" w:hAnsi="Arial" w:cs="Arial"/>
          <w:sz w:val="20"/>
          <w:lang w:val="it-IT"/>
        </w:rPr>
        <w:t>TRUXIMA</w:t>
      </w:r>
      <w:r w:rsidR="00C51926" w:rsidRPr="00C51926">
        <w:rPr>
          <w:rFonts w:ascii="Arial" w:eastAsiaTheme="minorHAnsi" w:hAnsi="Arial" w:cs="Arial"/>
          <w:sz w:val="20"/>
          <w:vertAlign w:val="superscript"/>
          <w:lang w:val="it-IT"/>
        </w:rPr>
        <w:t>®</w:t>
      </w:r>
      <w:r w:rsidR="00AF1980" w:rsidRPr="00FC245F">
        <w:rPr>
          <w:rFonts w:ascii="Arial" w:eastAsiaTheme="minorHAnsi" w:hAnsi="Arial" w:cs="Arial"/>
          <w:sz w:val="20"/>
          <w:lang w:val="it-IT"/>
        </w:rPr>
        <w:t xml:space="preserve"> è un marchio registrato d</w:t>
      </w:r>
      <w:r w:rsidR="00EE10F0" w:rsidRPr="00FC245F">
        <w:rPr>
          <w:rFonts w:ascii="Arial" w:eastAsiaTheme="minorHAnsi" w:hAnsi="Arial" w:cs="Arial"/>
          <w:sz w:val="20"/>
          <w:lang w:val="it-IT"/>
        </w:rPr>
        <w:t>i</w:t>
      </w:r>
      <w:r w:rsidR="00AF1980" w:rsidRPr="00FC245F">
        <w:rPr>
          <w:rFonts w:ascii="Arial" w:eastAsiaTheme="minorHAnsi" w:hAnsi="Arial" w:cs="Arial"/>
          <w:sz w:val="20"/>
          <w:lang w:val="it-IT"/>
        </w:rPr>
        <w:t xml:space="preserve"> </w:t>
      </w:r>
      <w:proofErr w:type="spellStart"/>
      <w:r w:rsidR="00AF1980" w:rsidRPr="00FC245F">
        <w:rPr>
          <w:rFonts w:ascii="Arial" w:eastAsiaTheme="minorHAnsi" w:hAnsi="Arial" w:cs="Arial"/>
          <w:sz w:val="20"/>
          <w:lang w:val="it-IT"/>
        </w:rPr>
        <w:t>Celltrion</w:t>
      </w:r>
      <w:proofErr w:type="spellEnd"/>
      <w:r w:rsidR="00AF1980" w:rsidRPr="00FC245F">
        <w:rPr>
          <w:rFonts w:ascii="Arial" w:eastAsiaTheme="minorHAnsi" w:hAnsi="Arial" w:cs="Arial"/>
          <w:sz w:val="20"/>
          <w:lang w:val="it-IT"/>
        </w:rPr>
        <w:t xml:space="preserve"> </w:t>
      </w:r>
      <w:proofErr w:type="spellStart"/>
      <w:r w:rsidR="00AF1980" w:rsidRPr="00FC245F">
        <w:rPr>
          <w:rFonts w:ascii="Arial" w:eastAsiaTheme="minorHAnsi" w:hAnsi="Arial" w:cs="Arial"/>
          <w:sz w:val="20"/>
          <w:lang w:val="it-IT"/>
        </w:rPr>
        <w:t>Inc</w:t>
      </w:r>
      <w:proofErr w:type="spellEnd"/>
      <w:r w:rsidR="00AF1980" w:rsidRPr="00FC245F">
        <w:rPr>
          <w:rFonts w:ascii="Arial" w:eastAsiaTheme="minorHAnsi" w:hAnsi="Arial" w:cs="Arial"/>
          <w:sz w:val="20"/>
          <w:lang w:val="it-IT"/>
        </w:rPr>
        <w:t>. ed è usato sotto licenza.</w:t>
      </w:r>
    </w:p>
    <w:p w:rsidR="00B33663" w:rsidRPr="00FC245F" w:rsidRDefault="005A4F8A" w:rsidP="00FC245F">
      <w:pPr>
        <w:spacing w:after="0"/>
        <w:ind w:left="357"/>
        <w:jc w:val="both"/>
        <w:rPr>
          <w:rFonts w:ascii="Arial" w:eastAsiaTheme="minorHAnsi" w:hAnsi="Arial" w:cs="Arial"/>
          <w:sz w:val="20"/>
          <w:lang w:val="it-IT"/>
        </w:rPr>
      </w:pPr>
      <w:r w:rsidRPr="00FC245F">
        <w:rPr>
          <w:rFonts w:ascii="Arial" w:eastAsiaTheme="minorHAnsi" w:hAnsi="Arial" w:cs="Arial"/>
          <w:sz w:val="20"/>
          <w:lang w:val="it-IT"/>
        </w:rPr>
        <w:t>MABTHERA</w:t>
      </w:r>
      <w:r w:rsidR="00C51926" w:rsidRPr="00C51926">
        <w:rPr>
          <w:rFonts w:ascii="Arial" w:eastAsiaTheme="minorHAnsi" w:hAnsi="Arial" w:cs="Arial"/>
          <w:sz w:val="20"/>
          <w:vertAlign w:val="superscript"/>
          <w:lang w:val="it-IT"/>
        </w:rPr>
        <w:t>®</w:t>
      </w:r>
      <w:r w:rsidR="00B33663" w:rsidRPr="00FC245F">
        <w:rPr>
          <w:rFonts w:ascii="Arial" w:eastAsiaTheme="minorHAnsi" w:hAnsi="Arial" w:cs="Arial"/>
          <w:sz w:val="20"/>
          <w:lang w:val="it-IT"/>
        </w:rPr>
        <w:t xml:space="preserve"> </w:t>
      </w:r>
      <w:r w:rsidR="00AF1980" w:rsidRPr="00FC245F">
        <w:rPr>
          <w:rFonts w:ascii="Arial" w:eastAsiaTheme="minorHAnsi" w:hAnsi="Arial" w:cs="Arial"/>
          <w:sz w:val="20"/>
          <w:lang w:val="it-IT"/>
        </w:rPr>
        <w:t>è un marchio registrato detenuto da</w:t>
      </w:r>
      <w:r w:rsidR="00B33663" w:rsidRPr="00FC245F">
        <w:rPr>
          <w:rFonts w:ascii="Arial" w:eastAsiaTheme="minorHAnsi" w:hAnsi="Arial" w:cs="Arial"/>
          <w:sz w:val="20"/>
          <w:lang w:val="it-IT"/>
        </w:rPr>
        <w:t xml:space="preserve"> </w:t>
      </w:r>
      <w:r w:rsidR="000269A1" w:rsidRPr="00FC245F">
        <w:rPr>
          <w:rFonts w:ascii="Arial" w:eastAsiaTheme="minorHAnsi" w:hAnsi="Arial" w:cs="Arial"/>
          <w:sz w:val="20"/>
          <w:lang w:val="it-IT"/>
        </w:rPr>
        <w:t xml:space="preserve">F. </w:t>
      </w:r>
      <w:proofErr w:type="spellStart"/>
      <w:r w:rsidR="000269A1" w:rsidRPr="00FC245F">
        <w:rPr>
          <w:rFonts w:ascii="Arial" w:eastAsiaTheme="minorHAnsi" w:hAnsi="Arial" w:cs="Arial"/>
          <w:sz w:val="20"/>
          <w:lang w:val="it-IT"/>
        </w:rPr>
        <w:t>Hoffmann</w:t>
      </w:r>
      <w:proofErr w:type="spellEnd"/>
      <w:r w:rsidR="000269A1" w:rsidRPr="00FC245F">
        <w:rPr>
          <w:rFonts w:ascii="Arial" w:eastAsiaTheme="minorHAnsi" w:hAnsi="Arial" w:cs="Arial"/>
          <w:sz w:val="20"/>
          <w:lang w:val="it-IT"/>
        </w:rPr>
        <w:t>-La Roche AG</w:t>
      </w:r>
      <w:r w:rsidR="00B33663" w:rsidRPr="00FC245F">
        <w:rPr>
          <w:rFonts w:ascii="Arial" w:eastAsiaTheme="minorHAnsi" w:hAnsi="Arial" w:cs="Arial"/>
          <w:sz w:val="20"/>
          <w:lang w:val="it-IT"/>
        </w:rPr>
        <w:t>.</w:t>
      </w:r>
    </w:p>
    <w:p w:rsidR="00EE10F0" w:rsidRDefault="00EE10F0" w:rsidP="00ED24C4">
      <w:pPr>
        <w:ind w:firstLine="720"/>
        <w:rPr>
          <w:rFonts w:ascii="Arial" w:hAnsi="Arial" w:cs="Arial"/>
          <w:b/>
          <w:color w:val="0D0D0D" w:themeColor="text1" w:themeTint="F2"/>
          <w:lang w:val="it-IT"/>
        </w:rPr>
      </w:pPr>
    </w:p>
    <w:p w:rsidR="00C51926" w:rsidRPr="00BE7309" w:rsidRDefault="00C51926" w:rsidP="00C51926">
      <w:pPr>
        <w:spacing w:after="0" w:line="280" w:lineRule="atLeast"/>
        <w:ind w:left="426"/>
        <w:jc w:val="both"/>
        <w:rPr>
          <w:rFonts w:ascii="Arial" w:hAnsi="Arial"/>
          <w:b/>
          <w:sz w:val="21"/>
          <w:szCs w:val="21"/>
        </w:rPr>
      </w:pPr>
      <w:r w:rsidRPr="00BE7309">
        <w:rPr>
          <w:rFonts w:ascii="Arial" w:hAnsi="Arial"/>
          <w:b/>
          <w:sz w:val="21"/>
          <w:szCs w:val="21"/>
        </w:rPr>
        <w:t xml:space="preserve">Ufficio </w:t>
      </w:r>
      <w:proofErr w:type="spellStart"/>
      <w:r w:rsidRPr="00BE7309">
        <w:rPr>
          <w:rFonts w:ascii="Arial" w:hAnsi="Arial"/>
          <w:b/>
          <w:sz w:val="21"/>
          <w:szCs w:val="21"/>
        </w:rPr>
        <w:t>stampa</w:t>
      </w:r>
      <w:proofErr w:type="spellEnd"/>
      <w:r w:rsidRPr="00BE7309">
        <w:rPr>
          <w:rFonts w:ascii="Arial" w:hAnsi="Arial"/>
          <w:b/>
          <w:sz w:val="21"/>
          <w:szCs w:val="21"/>
        </w:rPr>
        <w:t xml:space="preserve">: </w:t>
      </w:r>
    </w:p>
    <w:p w:rsidR="00C51926" w:rsidRPr="00BE7309" w:rsidRDefault="00C51926" w:rsidP="00C51926">
      <w:pPr>
        <w:pStyle w:val="Default"/>
        <w:ind w:left="426"/>
        <w:jc w:val="both"/>
        <w:rPr>
          <w:b/>
          <w:bCs/>
          <w:i/>
          <w:noProof/>
          <w:sz w:val="21"/>
          <w:szCs w:val="21"/>
          <w:lang w:eastAsia="it-IT"/>
        </w:rPr>
      </w:pPr>
      <w:r w:rsidRPr="004802B2">
        <w:rPr>
          <w:b/>
          <w:i/>
          <w:noProof/>
          <w:sz w:val="21"/>
          <w:szCs w:val="21"/>
          <w:lang w:val="it-IT" w:eastAsia="it-IT"/>
        </w:rPr>
        <w:drawing>
          <wp:inline distT="0" distB="0" distL="0" distR="0" wp14:anchorId="71374AC6" wp14:editId="713C8A28">
            <wp:extent cx="1409700" cy="171450"/>
            <wp:effectExtent l="0" t="0" r="0" b="0"/>
            <wp:docPr id="3" name="Immagine 3" descr="cid:image012.jpg@01D14A40.247E14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cid:image012.jpg@01D14A40.247E14A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926" w:rsidRPr="00C51926" w:rsidRDefault="004428B4" w:rsidP="00C51926">
      <w:pPr>
        <w:pStyle w:val="Default"/>
        <w:spacing w:line="280" w:lineRule="atLeast"/>
        <w:ind w:left="426"/>
        <w:jc w:val="both"/>
        <w:rPr>
          <w:bCs/>
          <w:noProof/>
          <w:sz w:val="21"/>
          <w:szCs w:val="21"/>
          <w:lang w:val="it-IT" w:eastAsia="it-IT"/>
        </w:rPr>
      </w:pPr>
      <w:r>
        <w:rPr>
          <w:bCs/>
          <w:noProof/>
          <w:sz w:val="21"/>
          <w:szCs w:val="21"/>
          <w:lang w:val="it-IT" w:eastAsia="it-IT"/>
        </w:rPr>
        <w:t>Tel. 02 204249.24–26</w:t>
      </w:r>
    </w:p>
    <w:p w:rsidR="00C51926" w:rsidRDefault="00C51926" w:rsidP="00C51926">
      <w:pPr>
        <w:pStyle w:val="Default"/>
        <w:ind w:left="426"/>
        <w:jc w:val="both"/>
        <w:rPr>
          <w:bCs/>
          <w:noProof/>
          <w:sz w:val="21"/>
          <w:szCs w:val="21"/>
          <w:lang w:val="it-IT" w:eastAsia="it-IT"/>
        </w:rPr>
      </w:pPr>
      <w:r w:rsidRPr="00C51926">
        <w:rPr>
          <w:bCs/>
          <w:noProof/>
          <w:sz w:val="21"/>
          <w:szCs w:val="21"/>
          <w:lang w:val="it-IT" w:eastAsia="it-IT"/>
        </w:rPr>
        <w:t>Cri</w:t>
      </w:r>
      <w:r w:rsidR="004428B4">
        <w:rPr>
          <w:bCs/>
          <w:noProof/>
          <w:sz w:val="21"/>
          <w:szCs w:val="21"/>
          <w:lang w:val="it-IT" w:eastAsia="it-IT"/>
        </w:rPr>
        <w:t>stina Depaoli</w:t>
      </w:r>
      <w:r w:rsidRPr="00C51926">
        <w:rPr>
          <w:bCs/>
          <w:noProof/>
          <w:sz w:val="21"/>
          <w:szCs w:val="21"/>
          <w:lang w:val="it-IT" w:eastAsia="it-IT"/>
        </w:rPr>
        <w:t xml:space="preserve">, </w:t>
      </w:r>
      <w:hyperlink r:id="rId10" w:history="1">
        <w:r w:rsidRPr="00AA31E4">
          <w:rPr>
            <w:rStyle w:val="Collegamentoipertestuale"/>
            <w:bCs/>
            <w:noProof/>
            <w:sz w:val="21"/>
            <w:szCs w:val="21"/>
            <w:lang w:val="it-IT" w:eastAsia="it-IT"/>
          </w:rPr>
          <w:t>c.depaoli@vrelations.it</w:t>
        </w:r>
      </w:hyperlink>
      <w:r>
        <w:rPr>
          <w:bCs/>
          <w:noProof/>
          <w:sz w:val="21"/>
          <w:szCs w:val="21"/>
          <w:lang w:val="it-IT" w:eastAsia="it-IT"/>
        </w:rPr>
        <w:t xml:space="preserve"> </w:t>
      </w:r>
    </w:p>
    <w:p w:rsidR="004428B4" w:rsidRDefault="004428B4" w:rsidP="00C51926">
      <w:pPr>
        <w:pStyle w:val="Default"/>
        <w:ind w:left="426"/>
        <w:jc w:val="both"/>
        <w:rPr>
          <w:bCs/>
          <w:noProof/>
          <w:sz w:val="21"/>
          <w:szCs w:val="21"/>
          <w:lang w:val="it-IT" w:eastAsia="it-IT"/>
        </w:rPr>
      </w:pPr>
      <w:r>
        <w:rPr>
          <w:bCs/>
          <w:noProof/>
          <w:sz w:val="21"/>
          <w:szCs w:val="21"/>
          <w:lang w:val="it-IT" w:eastAsia="it-IT"/>
        </w:rPr>
        <w:t xml:space="preserve">Chiara Stirpe, </w:t>
      </w:r>
      <w:hyperlink r:id="rId11" w:history="1">
        <w:r w:rsidR="002905E1" w:rsidRPr="009A1B82">
          <w:rPr>
            <w:rStyle w:val="Collegamentoipertestuale"/>
            <w:noProof/>
            <w:sz w:val="21"/>
            <w:szCs w:val="21"/>
            <w:lang w:val="it-IT" w:eastAsia="it-IT"/>
          </w:rPr>
          <w:t>c.stirpe@vrelations.it</w:t>
        </w:r>
      </w:hyperlink>
    </w:p>
    <w:p w:rsidR="00C51926" w:rsidRPr="006C3B83" w:rsidRDefault="00C51926" w:rsidP="00C42542">
      <w:pPr>
        <w:rPr>
          <w:rFonts w:ascii="Arial" w:hAnsi="Arial" w:cs="Arial"/>
          <w:b/>
          <w:color w:val="0D0D0D" w:themeColor="text1" w:themeTint="F2"/>
          <w:lang w:val="it-IT"/>
        </w:rPr>
      </w:pPr>
      <w:bookmarkStart w:id="0" w:name="_GoBack"/>
      <w:bookmarkEnd w:id="0"/>
    </w:p>
    <w:p w:rsidR="007F6FA6" w:rsidRPr="00902E05" w:rsidRDefault="00AF1980" w:rsidP="00C51926">
      <w:pPr>
        <w:ind w:firstLine="360"/>
        <w:rPr>
          <w:rFonts w:ascii="Arial" w:hAnsi="Arial" w:cs="Arial"/>
          <w:b/>
          <w:color w:val="0D0D0D" w:themeColor="text1" w:themeTint="F2"/>
          <w:lang w:val="it-IT"/>
        </w:rPr>
      </w:pPr>
      <w:r w:rsidRPr="00902E05">
        <w:rPr>
          <w:rFonts w:ascii="Arial" w:hAnsi="Arial" w:cs="Arial"/>
          <w:b/>
          <w:color w:val="0D0D0D" w:themeColor="text1" w:themeTint="F2"/>
          <w:lang w:val="it-IT"/>
        </w:rPr>
        <w:t>Bibliografia</w:t>
      </w:r>
    </w:p>
    <w:p w:rsidR="00ED24C4" w:rsidRPr="00C7462E" w:rsidRDefault="00ED24C4" w:rsidP="00C7462E">
      <w:pPr>
        <w:spacing w:after="0" w:line="240" w:lineRule="auto"/>
        <w:ind w:left="709" w:hanging="425"/>
        <w:jc w:val="both"/>
        <w:rPr>
          <w:rFonts w:ascii="Arial" w:hAnsi="Arial" w:cs="Arial"/>
          <w:color w:val="0D0D0D" w:themeColor="text1" w:themeTint="F2"/>
          <w:sz w:val="20"/>
        </w:rPr>
      </w:pPr>
      <w:r w:rsidRPr="00C7462E">
        <w:rPr>
          <w:rFonts w:ascii="Arial" w:hAnsi="Arial" w:cs="Arial"/>
          <w:color w:val="0D0D0D" w:themeColor="text1" w:themeTint="F2"/>
          <w:sz w:val="20"/>
          <w:lang w:val="it-IT"/>
        </w:rPr>
        <w:t>1.</w:t>
      </w:r>
      <w:r w:rsidRPr="00C7462E">
        <w:rPr>
          <w:rFonts w:ascii="Arial" w:hAnsi="Arial" w:cs="Arial"/>
          <w:color w:val="0D0D0D" w:themeColor="text1" w:themeTint="F2"/>
          <w:sz w:val="20"/>
          <w:lang w:val="it-IT"/>
        </w:rPr>
        <w:tab/>
      </w:r>
      <w:hyperlink r:id="rId12" w:history="1">
        <w:r w:rsidR="00C7462E" w:rsidRPr="00C7462E">
          <w:rPr>
            <w:rStyle w:val="Collegamentoipertestuale"/>
            <w:rFonts w:ascii="Arial" w:hAnsi="Arial" w:cs="Arial"/>
            <w:sz w:val="20"/>
          </w:rPr>
          <w:t>http://www.ema.europa.eu/docs/en_GB/document_library/Summary_of_opinion_-_Initial_authorisation/human/004112/WC500218017.pdfv</w:t>
        </w:r>
      </w:hyperlink>
    </w:p>
    <w:p w:rsidR="00ED24C4" w:rsidRPr="00ED24C4" w:rsidRDefault="004E508E" w:rsidP="00C7462E">
      <w:pPr>
        <w:spacing w:after="0" w:line="240" w:lineRule="auto"/>
        <w:ind w:left="709" w:hanging="425"/>
        <w:jc w:val="both"/>
        <w:rPr>
          <w:rFonts w:ascii="Arial" w:hAnsi="Arial" w:cs="Arial"/>
          <w:color w:val="0D0D0D" w:themeColor="text1" w:themeTint="F2"/>
          <w:sz w:val="20"/>
        </w:rPr>
      </w:pPr>
      <w:r>
        <w:rPr>
          <w:rFonts w:ascii="Arial" w:hAnsi="Arial" w:cs="Arial"/>
          <w:color w:val="0D0D0D" w:themeColor="text1" w:themeTint="F2"/>
          <w:sz w:val="20"/>
        </w:rPr>
        <w:t>2</w:t>
      </w:r>
      <w:r w:rsidR="00ED24C4" w:rsidRPr="00ED24C4">
        <w:rPr>
          <w:rFonts w:ascii="Arial" w:hAnsi="Arial" w:cs="Arial"/>
          <w:color w:val="0D0D0D" w:themeColor="text1" w:themeTint="F2"/>
          <w:sz w:val="20"/>
        </w:rPr>
        <w:t>.</w:t>
      </w:r>
      <w:r w:rsidR="00ED24C4">
        <w:rPr>
          <w:rFonts w:ascii="Arial" w:hAnsi="Arial" w:cs="Arial"/>
          <w:color w:val="0D0D0D" w:themeColor="text1" w:themeTint="F2"/>
          <w:sz w:val="20"/>
        </w:rPr>
        <w:tab/>
      </w:r>
      <w:proofErr w:type="spellStart"/>
      <w:r w:rsidR="00ED24C4" w:rsidRPr="00ED24C4">
        <w:rPr>
          <w:rFonts w:ascii="Arial" w:hAnsi="Arial" w:cs="Arial"/>
          <w:color w:val="0D0D0D" w:themeColor="text1" w:themeTint="F2"/>
          <w:sz w:val="20"/>
        </w:rPr>
        <w:t>Mabthera</w:t>
      </w:r>
      <w:proofErr w:type="spellEnd"/>
      <w:r w:rsidR="00ED24C4" w:rsidRPr="00ED24C4">
        <w:rPr>
          <w:rFonts w:ascii="Arial" w:hAnsi="Arial" w:cs="Arial"/>
          <w:color w:val="0D0D0D" w:themeColor="text1" w:themeTint="F2"/>
          <w:sz w:val="20"/>
        </w:rPr>
        <w:t xml:space="preserve"> Summary of Product Characteristics. Available online at: http://www.medicines.org.uk/emc/medicine/2570 [last accessed January 2017]</w:t>
      </w:r>
    </w:p>
    <w:p w:rsidR="00ED24C4" w:rsidRPr="00ED24C4" w:rsidRDefault="004E508E" w:rsidP="00C7462E">
      <w:pPr>
        <w:spacing w:after="0" w:line="240" w:lineRule="auto"/>
        <w:ind w:left="720" w:hanging="425"/>
        <w:jc w:val="both"/>
        <w:rPr>
          <w:rFonts w:ascii="Arial" w:hAnsi="Arial" w:cs="Arial"/>
          <w:color w:val="0D0D0D" w:themeColor="text1" w:themeTint="F2"/>
          <w:sz w:val="20"/>
        </w:rPr>
      </w:pPr>
      <w:r>
        <w:rPr>
          <w:rFonts w:ascii="Arial" w:hAnsi="Arial" w:cs="Arial"/>
          <w:color w:val="0D0D0D" w:themeColor="text1" w:themeTint="F2"/>
          <w:sz w:val="20"/>
        </w:rPr>
        <w:t>3</w:t>
      </w:r>
      <w:r w:rsidR="00ED24C4" w:rsidRPr="00ED24C4">
        <w:rPr>
          <w:rFonts w:ascii="Arial" w:hAnsi="Arial" w:cs="Arial"/>
          <w:color w:val="0D0D0D" w:themeColor="text1" w:themeTint="F2"/>
          <w:sz w:val="20"/>
        </w:rPr>
        <w:t>.</w:t>
      </w:r>
      <w:r w:rsidR="00ED24C4">
        <w:rPr>
          <w:rFonts w:ascii="Arial" w:hAnsi="Arial" w:cs="Arial"/>
          <w:color w:val="0D0D0D" w:themeColor="text1" w:themeTint="F2"/>
          <w:sz w:val="20"/>
        </w:rPr>
        <w:tab/>
      </w:r>
      <w:r w:rsidR="00ED24C4" w:rsidRPr="00ED24C4">
        <w:rPr>
          <w:rFonts w:ascii="Arial" w:hAnsi="Arial" w:cs="Arial"/>
          <w:color w:val="0D0D0D" w:themeColor="text1" w:themeTint="F2"/>
          <w:sz w:val="20"/>
        </w:rPr>
        <w:t>IMS Institute. Delivering on the Potential of Biosimilar Medicines. March 2016. Available at: http://www.imshealth.com/files/web/IMSH%20Institute/Healthcare%20Briefs/Documents/IMS_Institute_Biosimilar_Brief_March_2016.pdf [last accessed January 2017]</w:t>
      </w:r>
    </w:p>
    <w:p w:rsidR="00ED24C4" w:rsidRPr="00ED24C4" w:rsidRDefault="004E508E" w:rsidP="00C7462E">
      <w:pPr>
        <w:spacing w:after="0" w:line="240" w:lineRule="auto"/>
        <w:ind w:left="720" w:hanging="425"/>
        <w:jc w:val="both"/>
        <w:rPr>
          <w:rFonts w:ascii="Arial" w:hAnsi="Arial" w:cs="Arial"/>
          <w:color w:val="0D0D0D" w:themeColor="text1" w:themeTint="F2"/>
          <w:sz w:val="20"/>
        </w:rPr>
      </w:pPr>
      <w:r>
        <w:rPr>
          <w:rFonts w:ascii="Arial" w:hAnsi="Arial" w:cs="Arial"/>
          <w:color w:val="0D0D0D" w:themeColor="text1" w:themeTint="F2"/>
          <w:sz w:val="20"/>
        </w:rPr>
        <w:t>4</w:t>
      </w:r>
      <w:r w:rsidR="00ED24C4">
        <w:rPr>
          <w:rFonts w:ascii="Arial" w:hAnsi="Arial" w:cs="Arial"/>
          <w:color w:val="0D0D0D" w:themeColor="text1" w:themeTint="F2"/>
          <w:sz w:val="20"/>
        </w:rPr>
        <w:t>.</w:t>
      </w:r>
      <w:r w:rsidR="00ED24C4">
        <w:rPr>
          <w:rFonts w:ascii="Arial" w:hAnsi="Arial" w:cs="Arial"/>
          <w:color w:val="0D0D0D" w:themeColor="text1" w:themeTint="F2"/>
          <w:sz w:val="20"/>
        </w:rPr>
        <w:tab/>
      </w:r>
      <w:r w:rsidR="00ED24C4" w:rsidRPr="00ED24C4">
        <w:rPr>
          <w:rFonts w:ascii="Arial" w:hAnsi="Arial" w:cs="Arial"/>
          <w:color w:val="0D0D0D" w:themeColor="text1" w:themeTint="F2"/>
          <w:sz w:val="20"/>
        </w:rPr>
        <w:t>Pharmaceutical Technology. The world’s most sold cancer drugs in 2015. Available at: http://www.pharmaceutical-technology.com/features/featurethe-worlds-most-sold-cancer-drugs-in-2015-4852126/ [last accessed January 2017]</w:t>
      </w:r>
    </w:p>
    <w:p w:rsidR="00E847C0" w:rsidRDefault="004E508E" w:rsidP="00C7462E">
      <w:pPr>
        <w:spacing w:after="0" w:line="240" w:lineRule="auto"/>
        <w:ind w:left="720" w:hanging="425"/>
        <w:jc w:val="both"/>
        <w:rPr>
          <w:rFonts w:ascii="Arial" w:hAnsi="Arial" w:cs="Arial"/>
          <w:color w:val="0D0D0D" w:themeColor="text1" w:themeTint="F2"/>
          <w:sz w:val="20"/>
        </w:rPr>
      </w:pPr>
      <w:r>
        <w:rPr>
          <w:rFonts w:ascii="Arial" w:hAnsi="Arial" w:cs="Arial"/>
          <w:color w:val="0D0D0D" w:themeColor="text1" w:themeTint="F2"/>
          <w:sz w:val="20"/>
        </w:rPr>
        <w:t>5</w:t>
      </w:r>
      <w:r w:rsidR="00ED24C4" w:rsidRPr="00ED24C4">
        <w:rPr>
          <w:rFonts w:ascii="Arial" w:hAnsi="Arial" w:cs="Arial"/>
          <w:color w:val="0D0D0D" w:themeColor="text1" w:themeTint="F2"/>
          <w:sz w:val="20"/>
        </w:rPr>
        <w:t>.</w:t>
      </w:r>
      <w:r w:rsidR="00ED24C4">
        <w:rPr>
          <w:rFonts w:ascii="Arial" w:hAnsi="Arial" w:cs="Arial"/>
          <w:color w:val="0D0D0D" w:themeColor="text1" w:themeTint="F2"/>
          <w:sz w:val="20"/>
        </w:rPr>
        <w:tab/>
      </w:r>
      <w:proofErr w:type="spellStart"/>
      <w:r w:rsidR="00ED24C4" w:rsidRPr="00ED24C4">
        <w:rPr>
          <w:rFonts w:ascii="Arial" w:hAnsi="Arial" w:cs="Arial"/>
          <w:color w:val="0D0D0D" w:themeColor="text1" w:themeTint="F2"/>
          <w:sz w:val="20"/>
        </w:rPr>
        <w:t>Laslop</w:t>
      </w:r>
      <w:proofErr w:type="spellEnd"/>
      <w:r w:rsidR="00ED24C4" w:rsidRPr="00ED24C4">
        <w:rPr>
          <w:rFonts w:ascii="Arial" w:hAnsi="Arial" w:cs="Arial"/>
          <w:color w:val="0D0D0D" w:themeColor="text1" w:themeTint="F2"/>
          <w:sz w:val="20"/>
        </w:rPr>
        <w:t xml:space="preserve"> A. Biosimilar monoclonal antibodies—challenges and opportunities in Europe. </w:t>
      </w:r>
      <w:proofErr w:type="spellStart"/>
      <w:r w:rsidR="00ED24C4" w:rsidRPr="00ED24C4">
        <w:rPr>
          <w:rFonts w:ascii="Arial" w:hAnsi="Arial" w:cs="Arial"/>
          <w:color w:val="0D0D0D" w:themeColor="text1" w:themeTint="F2"/>
          <w:sz w:val="20"/>
        </w:rPr>
        <w:t>GaBI</w:t>
      </w:r>
      <w:proofErr w:type="spellEnd"/>
      <w:r w:rsidR="00ED24C4" w:rsidRPr="00ED24C4">
        <w:rPr>
          <w:rFonts w:ascii="Arial" w:hAnsi="Arial" w:cs="Arial"/>
          <w:color w:val="0D0D0D" w:themeColor="text1" w:themeTint="F2"/>
          <w:sz w:val="20"/>
        </w:rPr>
        <w:t xml:space="preserve"> Journal. 2013; 2: 110–111</w:t>
      </w:r>
    </w:p>
    <w:p w:rsidR="00ED24C4" w:rsidRPr="00ED24C4" w:rsidRDefault="00ED24C4" w:rsidP="00ED24C4">
      <w:pPr>
        <w:spacing w:after="0" w:line="240" w:lineRule="auto"/>
        <w:ind w:left="720" w:hanging="360"/>
        <w:jc w:val="both"/>
        <w:rPr>
          <w:rFonts w:ascii="Arial" w:hAnsi="Arial" w:cs="Arial"/>
          <w:sz w:val="20"/>
          <w:szCs w:val="20"/>
        </w:rPr>
      </w:pPr>
    </w:p>
    <w:sectPr w:rsidR="00ED24C4" w:rsidRPr="00ED24C4" w:rsidSect="00B15894">
      <w:headerReference w:type="default" r:id="rId13"/>
      <w:footerReference w:type="default" r:id="rId14"/>
      <w:pgSz w:w="11906" w:h="16838"/>
      <w:pgMar w:top="1954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6002" w:rsidRDefault="00906002" w:rsidP="008F7165">
      <w:pPr>
        <w:spacing w:after="0" w:line="240" w:lineRule="auto"/>
      </w:pPr>
      <w:r>
        <w:separator/>
      </w:r>
    </w:p>
  </w:endnote>
  <w:endnote w:type="continuationSeparator" w:id="0">
    <w:p w:rsidR="00906002" w:rsidRDefault="00906002" w:rsidP="008F7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0D57" w:rsidRPr="00F93A92" w:rsidRDefault="00796517" w:rsidP="00FC245F">
    <w:pPr>
      <w:pStyle w:val="Pidipagina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6002" w:rsidRDefault="00906002" w:rsidP="008F7165">
      <w:pPr>
        <w:spacing w:after="0" w:line="240" w:lineRule="auto"/>
      </w:pPr>
      <w:r>
        <w:separator/>
      </w:r>
    </w:p>
  </w:footnote>
  <w:footnote w:type="continuationSeparator" w:id="0">
    <w:p w:rsidR="00906002" w:rsidRDefault="00906002" w:rsidP="008F71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E3F" w:rsidRPr="00EE0E3F" w:rsidRDefault="008F7165" w:rsidP="009B6564">
    <w:pPr>
      <w:pStyle w:val="Default"/>
      <w:rPr>
        <w:b/>
        <w:color w:val="FF0000"/>
      </w:rPr>
    </w:pPr>
    <w:r w:rsidRPr="00624D72">
      <w:rPr>
        <w:b/>
        <w:noProof/>
        <w:sz w:val="20"/>
        <w:highlight w:val="yellow"/>
        <w:lang w:val="it-IT" w:eastAsia="it-IT"/>
      </w:rPr>
      <w:drawing>
        <wp:anchor distT="0" distB="0" distL="114300" distR="114300" simplePos="0" relativeHeight="251657216" behindDoc="0" locked="0" layoutInCell="1" allowOverlap="1" wp14:anchorId="13915EF3" wp14:editId="431E590E">
          <wp:simplePos x="0" y="0"/>
          <wp:positionH relativeFrom="margin">
            <wp:posOffset>2159000</wp:posOffset>
          </wp:positionH>
          <wp:positionV relativeFrom="page">
            <wp:posOffset>101600</wp:posOffset>
          </wp:positionV>
          <wp:extent cx="1471295" cy="1039495"/>
          <wp:effectExtent l="0" t="0" r="0" b="825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1295" cy="103949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C28ACD28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3C662F"/>
    <w:multiLevelType w:val="hybridMultilevel"/>
    <w:tmpl w:val="372CF6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73242"/>
    <w:multiLevelType w:val="hybridMultilevel"/>
    <w:tmpl w:val="9770102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F548AD"/>
    <w:multiLevelType w:val="hybridMultilevel"/>
    <w:tmpl w:val="4B24FE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21471A"/>
    <w:multiLevelType w:val="hybridMultilevel"/>
    <w:tmpl w:val="FD265C50"/>
    <w:lvl w:ilvl="0" w:tplc="E00268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4F4FE8"/>
    <w:multiLevelType w:val="hybridMultilevel"/>
    <w:tmpl w:val="FF1470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2B6549"/>
    <w:multiLevelType w:val="hybridMultilevel"/>
    <w:tmpl w:val="068EB486"/>
    <w:lvl w:ilvl="0" w:tplc="2F508AC4"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6C9045C"/>
    <w:multiLevelType w:val="hybridMultilevel"/>
    <w:tmpl w:val="F76C8B8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6690C29"/>
    <w:multiLevelType w:val="hybridMultilevel"/>
    <w:tmpl w:val="65F283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4"/>
  </w:num>
  <w:num w:numId="8">
    <w:abstractNumId w:val="7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165"/>
    <w:rsid w:val="00021F70"/>
    <w:rsid w:val="000269A1"/>
    <w:rsid w:val="00041061"/>
    <w:rsid w:val="0004235C"/>
    <w:rsid w:val="000434A9"/>
    <w:rsid w:val="00046ECC"/>
    <w:rsid w:val="00057113"/>
    <w:rsid w:val="000579DB"/>
    <w:rsid w:val="0008715E"/>
    <w:rsid w:val="0009305E"/>
    <w:rsid w:val="00094980"/>
    <w:rsid w:val="000A305D"/>
    <w:rsid w:val="000A3C57"/>
    <w:rsid w:val="000B022A"/>
    <w:rsid w:val="000B5907"/>
    <w:rsid w:val="000B716F"/>
    <w:rsid w:val="000C5DC7"/>
    <w:rsid w:val="000C78D0"/>
    <w:rsid w:val="000D006A"/>
    <w:rsid w:val="000E2D84"/>
    <w:rsid w:val="000E6E24"/>
    <w:rsid w:val="000F0F52"/>
    <w:rsid w:val="000F181F"/>
    <w:rsid w:val="000F1F17"/>
    <w:rsid w:val="000F3852"/>
    <w:rsid w:val="00104258"/>
    <w:rsid w:val="0011522C"/>
    <w:rsid w:val="001249F1"/>
    <w:rsid w:val="00125318"/>
    <w:rsid w:val="00130D3E"/>
    <w:rsid w:val="00131841"/>
    <w:rsid w:val="00136BE2"/>
    <w:rsid w:val="00145BAE"/>
    <w:rsid w:val="00152363"/>
    <w:rsid w:val="00155925"/>
    <w:rsid w:val="001561FD"/>
    <w:rsid w:val="00160C25"/>
    <w:rsid w:val="00162D9A"/>
    <w:rsid w:val="001638A8"/>
    <w:rsid w:val="00197FED"/>
    <w:rsid w:val="001B2FDF"/>
    <w:rsid w:val="001B6D11"/>
    <w:rsid w:val="001D139A"/>
    <w:rsid w:val="001D3317"/>
    <w:rsid w:val="001E0CFD"/>
    <w:rsid w:val="001E4A6B"/>
    <w:rsid w:val="001F2BC2"/>
    <w:rsid w:val="001F3D50"/>
    <w:rsid w:val="002075B3"/>
    <w:rsid w:val="00207713"/>
    <w:rsid w:val="002106A2"/>
    <w:rsid w:val="00215416"/>
    <w:rsid w:val="002154A8"/>
    <w:rsid w:val="00215A19"/>
    <w:rsid w:val="00223A64"/>
    <w:rsid w:val="00234A1F"/>
    <w:rsid w:val="00245C02"/>
    <w:rsid w:val="00245CFC"/>
    <w:rsid w:val="00251EBE"/>
    <w:rsid w:val="0025735F"/>
    <w:rsid w:val="0026166C"/>
    <w:rsid w:val="002905E1"/>
    <w:rsid w:val="00290F49"/>
    <w:rsid w:val="002A1B5C"/>
    <w:rsid w:val="002A3A9C"/>
    <w:rsid w:val="002A3FB6"/>
    <w:rsid w:val="002B3E6E"/>
    <w:rsid w:val="002C2C32"/>
    <w:rsid w:val="002C332C"/>
    <w:rsid w:val="002C44DF"/>
    <w:rsid w:val="002E7C04"/>
    <w:rsid w:val="002F5CBC"/>
    <w:rsid w:val="003027F5"/>
    <w:rsid w:val="0030551D"/>
    <w:rsid w:val="00317270"/>
    <w:rsid w:val="00320A2D"/>
    <w:rsid w:val="00324438"/>
    <w:rsid w:val="00332FB1"/>
    <w:rsid w:val="00335076"/>
    <w:rsid w:val="003445FD"/>
    <w:rsid w:val="003508DA"/>
    <w:rsid w:val="00355BEA"/>
    <w:rsid w:val="003631C8"/>
    <w:rsid w:val="00366D96"/>
    <w:rsid w:val="0036791A"/>
    <w:rsid w:val="00373B7C"/>
    <w:rsid w:val="0037781B"/>
    <w:rsid w:val="00383EF9"/>
    <w:rsid w:val="003879A6"/>
    <w:rsid w:val="0039433A"/>
    <w:rsid w:val="003A2EAE"/>
    <w:rsid w:val="003A7873"/>
    <w:rsid w:val="003B087B"/>
    <w:rsid w:val="003B26BD"/>
    <w:rsid w:val="003B65B6"/>
    <w:rsid w:val="003C0C2F"/>
    <w:rsid w:val="003C2162"/>
    <w:rsid w:val="003D5B1E"/>
    <w:rsid w:val="003D7726"/>
    <w:rsid w:val="003E08F9"/>
    <w:rsid w:val="003E41B2"/>
    <w:rsid w:val="003E5177"/>
    <w:rsid w:val="003E7CB4"/>
    <w:rsid w:val="004038CE"/>
    <w:rsid w:val="00410D09"/>
    <w:rsid w:val="00415B8B"/>
    <w:rsid w:val="00423B31"/>
    <w:rsid w:val="00423DC9"/>
    <w:rsid w:val="00424AB9"/>
    <w:rsid w:val="00430D5C"/>
    <w:rsid w:val="00436F19"/>
    <w:rsid w:val="004428B4"/>
    <w:rsid w:val="004518E5"/>
    <w:rsid w:val="00452489"/>
    <w:rsid w:val="0047240F"/>
    <w:rsid w:val="004807D8"/>
    <w:rsid w:val="0048122C"/>
    <w:rsid w:val="00494A97"/>
    <w:rsid w:val="004A72E3"/>
    <w:rsid w:val="004B392D"/>
    <w:rsid w:val="004C6B13"/>
    <w:rsid w:val="004C7A6D"/>
    <w:rsid w:val="004D0094"/>
    <w:rsid w:val="004D5FD7"/>
    <w:rsid w:val="004E23A0"/>
    <w:rsid w:val="004E31A6"/>
    <w:rsid w:val="004E508E"/>
    <w:rsid w:val="004F1808"/>
    <w:rsid w:val="004F5BB1"/>
    <w:rsid w:val="005026E4"/>
    <w:rsid w:val="005034C7"/>
    <w:rsid w:val="00505604"/>
    <w:rsid w:val="00505DAB"/>
    <w:rsid w:val="00506759"/>
    <w:rsid w:val="00506EF9"/>
    <w:rsid w:val="005166F2"/>
    <w:rsid w:val="00516BBF"/>
    <w:rsid w:val="00527432"/>
    <w:rsid w:val="005468E6"/>
    <w:rsid w:val="00550417"/>
    <w:rsid w:val="005517D1"/>
    <w:rsid w:val="0055480F"/>
    <w:rsid w:val="005559B1"/>
    <w:rsid w:val="0055744D"/>
    <w:rsid w:val="00557B86"/>
    <w:rsid w:val="005710E3"/>
    <w:rsid w:val="005774ED"/>
    <w:rsid w:val="00581627"/>
    <w:rsid w:val="00593897"/>
    <w:rsid w:val="005A4F8A"/>
    <w:rsid w:val="005A61F9"/>
    <w:rsid w:val="005A692C"/>
    <w:rsid w:val="005A6B1A"/>
    <w:rsid w:val="005B466A"/>
    <w:rsid w:val="005B513D"/>
    <w:rsid w:val="005D58EB"/>
    <w:rsid w:val="005D6ECB"/>
    <w:rsid w:val="005E4AEC"/>
    <w:rsid w:val="005E73ED"/>
    <w:rsid w:val="005F4126"/>
    <w:rsid w:val="00605118"/>
    <w:rsid w:val="00620930"/>
    <w:rsid w:val="00620D02"/>
    <w:rsid w:val="00624D72"/>
    <w:rsid w:val="00626E4F"/>
    <w:rsid w:val="00636C0C"/>
    <w:rsid w:val="00643EB1"/>
    <w:rsid w:val="00645389"/>
    <w:rsid w:val="006472BE"/>
    <w:rsid w:val="0065794B"/>
    <w:rsid w:val="00657CB1"/>
    <w:rsid w:val="006609C1"/>
    <w:rsid w:val="00661645"/>
    <w:rsid w:val="00666865"/>
    <w:rsid w:val="006672CC"/>
    <w:rsid w:val="00677C81"/>
    <w:rsid w:val="00683566"/>
    <w:rsid w:val="00691E94"/>
    <w:rsid w:val="00691FC7"/>
    <w:rsid w:val="00693A83"/>
    <w:rsid w:val="00697DF7"/>
    <w:rsid w:val="006A4E53"/>
    <w:rsid w:val="006A5729"/>
    <w:rsid w:val="006C310D"/>
    <w:rsid w:val="006C33C3"/>
    <w:rsid w:val="006C3B83"/>
    <w:rsid w:val="006C4426"/>
    <w:rsid w:val="006E31F7"/>
    <w:rsid w:val="006F357C"/>
    <w:rsid w:val="006F63F5"/>
    <w:rsid w:val="00703B55"/>
    <w:rsid w:val="00711C9F"/>
    <w:rsid w:val="00715B13"/>
    <w:rsid w:val="00721246"/>
    <w:rsid w:val="007237AF"/>
    <w:rsid w:val="00731710"/>
    <w:rsid w:val="0073545F"/>
    <w:rsid w:val="0074305F"/>
    <w:rsid w:val="00746A52"/>
    <w:rsid w:val="00751C99"/>
    <w:rsid w:val="00752017"/>
    <w:rsid w:val="00756EAD"/>
    <w:rsid w:val="00766173"/>
    <w:rsid w:val="00771734"/>
    <w:rsid w:val="00771A65"/>
    <w:rsid w:val="00771ABD"/>
    <w:rsid w:val="00773203"/>
    <w:rsid w:val="007805B1"/>
    <w:rsid w:val="00782D13"/>
    <w:rsid w:val="00790320"/>
    <w:rsid w:val="00795B72"/>
    <w:rsid w:val="00796517"/>
    <w:rsid w:val="007A6364"/>
    <w:rsid w:val="007A7F67"/>
    <w:rsid w:val="007B3DB2"/>
    <w:rsid w:val="007C3CB5"/>
    <w:rsid w:val="007D0307"/>
    <w:rsid w:val="007E63D9"/>
    <w:rsid w:val="007F50F7"/>
    <w:rsid w:val="007F571E"/>
    <w:rsid w:val="007F6FA6"/>
    <w:rsid w:val="007F76B2"/>
    <w:rsid w:val="00801889"/>
    <w:rsid w:val="00801EFD"/>
    <w:rsid w:val="00802D3E"/>
    <w:rsid w:val="008240B6"/>
    <w:rsid w:val="00824A10"/>
    <w:rsid w:val="00824BE4"/>
    <w:rsid w:val="0082611F"/>
    <w:rsid w:val="00850327"/>
    <w:rsid w:val="008514EE"/>
    <w:rsid w:val="0086397D"/>
    <w:rsid w:val="00870B20"/>
    <w:rsid w:val="00872B21"/>
    <w:rsid w:val="008730B1"/>
    <w:rsid w:val="00874471"/>
    <w:rsid w:val="00880C5B"/>
    <w:rsid w:val="00886BCA"/>
    <w:rsid w:val="008A4471"/>
    <w:rsid w:val="008A47C3"/>
    <w:rsid w:val="008B0718"/>
    <w:rsid w:val="008B39F7"/>
    <w:rsid w:val="008B4D5F"/>
    <w:rsid w:val="008B61A7"/>
    <w:rsid w:val="008B7DD6"/>
    <w:rsid w:val="008C2A1F"/>
    <w:rsid w:val="008C2EED"/>
    <w:rsid w:val="008C2F1F"/>
    <w:rsid w:val="008C671A"/>
    <w:rsid w:val="008E7B58"/>
    <w:rsid w:val="008F4057"/>
    <w:rsid w:val="008F5B81"/>
    <w:rsid w:val="008F7165"/>
    <w:rsid w:val="00902E05"/>
    <w:rsid w:val="00906002"/>
    <w:rsid w:val="0091332E"/>
    <w:rsid w:val="009216FB"/>
    <w:rsid w:val="00930BB0"/>
    <w:rsid w:val="0093301D"/>
    <w:rsid w:val="009335EE"/>
    <w:rsid w:val="009356AC"/>
    <w:rsid w:val="0094155D"/>
    <w:rsid w:val="00942150"/>
    <w:rsid w:val="00944036"/>
    <w:rsid w:val="00956C34"/>
    <w:rsid w:val="009652A7"/>
    <w:rsid w:val="009707E5"/>
    <w:rsid w:val="00977A2A"/>
    <w:rsid w:val="00980028"/>
    <w:rsid w:val="00980ED7"/>
    <w:rsid w:val="00996B3E"/>
    <w:rsid w:val="009B19B6"/>
    <w:rsid w:val="009B27E3"/>
    <w:rsid w:val="009B6564"/>
    <w:rsid w:val="009B6C56"/>
    <w:rsid w:val="009C67C4"/>
    <w:rsid w:val="009C7450"/>
    <w:rsid w:val="009C7FD4"/>
    <w:rsid w:val="009E3509"/>
    <w:rsid w:val="009E55C5"/>
    <w:rsid w:val="009E7BE0"/>
    <w:rsid w:val="009F1C54"/>
    <w:rsid w:val="00A014E7"/>
    <w:rsid w:val="00A0300D"/>
    <w:rsid w:val="00A04293"/>
    <w:rsid w:val="00A1023A"/>
    <w:rsid w:val="00A30493"/>
    <w:rsid w:val="00A3407D"/>
    <w:rsid w:val="00A376C2"/>
    <w:rsid w:val="00A41389"/>
    <w:rsid w:val="00A41913"/>
    <w:rsid w:val="00A41A9E"/>
    <w:rsid w:val="00A43B0E"/>
    <w:rsid w:val="00A5431D"/>
    <w:rsid w:val="00A6203F"/>
    <w:rsid w:val="00A6401F"/>
    <w:rsid w:val="00A7354A"/>
    <w:rsid w:val="00A77947"/>
    <w:rsid w:val="00A779D9"/>
    <w:rsid w:val="00A80896"/>
    <w:rsid w:val="00A91ABF"/>
    <w:rsid w:val="00A94CF6"/>
    <w:rsid w:val="00A96947"/>
    <w:rsid w:val="00A9739E"/>
    <w:rsid w:val="00AA12D7"/>
    <w:rsid w:val="00AB017B"/>
    <w:rsid w:val="00AB1E94"/>
    <w:rsid w:val="00AC2554"/>
    <w:rsid w:val="00AC2C0E"/>
    <w:rsid w:val="00AC53C3"/>
    <w:rsid w:val="00AC7C60"/>
    <w:rsid w:val="00AD12C2"/>
    <w:rsid w:val="00AD2BED"/>
    <w:rsid w:val="00AD2E20"/>
    <w:rsid w:val="00AD4FED"/>
    <w:rsid w:val="00AE2022"/>
    <w:rsid w:val="00AF1980"/>
    <w:rsid w:val="00AF1A7D"/>
    <w:rsid w:val="00B02013"/>
    <w:rsid w:val="00B07878"/>
    <w:rsid w:val="00B1316E"/>
    <w:rsid w:val="00B15894"/>
    <w:rsid w:val="00B2036D"/>
    <w:rsid w:val="00B20EBB"/>
    <w:rsid w:val="00B215B5"/>
    <w:rsid w:val="00B23397"/>
    <w:rsid w:val="00B3019D"/>
    <w:rsid w:val="00B33663"/>
    <w:rsid w:val="00B33F1E"/>
    <w:rsid w:val="00B356F4"/>
    <w:rsid w:val="00B37D0E"/>
    <w:rsid w:val="00B51992"/>
    <w:rsid w:val="00B541FC"/>
    <w:rsid w:val="00B61007"/>
    <w:rsid w:val="00B62FE4"/>
    <w:rsid w:val="00B630C1"/>
    <w:rsid w:val="00B6474E"/>
    <w:rsid w:val="00B725E1"/>
    <w:rsid w:val="00B805BF"/>
    <w:rsid w:val="00B806C5"/>
    <w:rsid w:val="00B811DC"/>
    <w:rsid w:val="00B84B98"/>
    <w:rsid w:val="00B94E9D"/>
    <w:rsid w:val="00B96C85"/>
    <w:rsid w:val="00BD147F"/>
    <w:rsid w:val="00BD5F5E"/>
    <w:rsid w:val="00BE16C0"/>
    <w:rsid w:val="00BE72FE"/>
    <w:rsid w:val="00BF2D48"/>
    <w:rsid w:val="00BF46F8"/>
    <w:rsid w:val="00C00A83"/>
    <w:rsid w:val="00C0397A"/>
    <w:rsid w:val="00C06392"/>
    <w:rsid w:val="00C16A74"/>
    <w:rsid w:val="00C276C3"/>
    <w:rsid w:val="00C30923"/>
    <w:rsid w:val="00C32E3F"/>
    <w:rsid w:val="00C412FF"/>
    <w:rsid w:val="00C42542"/>
    <w:rsid w:val="00C51926"/>
    <w:rsid w:val="00C52A20"/>
    <w:rsid w:val="00C53514"/>
    <w:rsid w:val="00C545F0"/>
    <w:rsid w:val="00C611BA"/>
    <w:rsid w:val="00C642B9"/>
    <w:rsid w:val="00C7462E"/>
    <w:rsid w:val="00C770B1"/>
    <w:rsid w:val="00C80648"/>
    <w:rsid w:val="00C839FC"/>
    <w:rsid w:val="00C84951"/>
    <w:rsid w:val="00C90D57"/>
    <w:rsid w:val="00CA228C"/>
    <w:rsid w:val="00CD14C8"/>
    <w:rsid w:val="00CD1C4E"/>
    <w:rsid w:val="00CE5040"/>
    <w:rsid w:val="00CF2621"/>
    <w:rsid w:val="00CF27C8"/>
    <w:rsid w:val="00CF75AC"/>
    <w:rsid w:val="00D00879"/>
    <w:rsid w:val="00D10B3B"/>
    <w:rsid w:val="00D31FDB"/>
    <w:rsid w:val="00D35E75"/>
    <w:rsid w:val="00D405C6"/>
    <w:rsid w:val="00D53498"/>
    <w:rsid w:val="00D5358C"/>
    <w:rsid w:val="00D55273"/>
    <w:rsid w:val="00D62CA7"/>
    <w:rsid w:val="00D64C08"/>
    <w:rsid w:val="00D7030A"/>
    <w:rsid w:val="00D7117F"/>
    <w:rsid w:val="00D75B62"/>
    <w:rsid w:val="00D80BF0"/>
    <w:rsid w:val="00D9056E"/>
    <w:rsid w:val="00D91CE7"/>
    <w:rsid w:val="00DA3D16"/>
    <w:rsid w:val="00DA43A3"/>
    <w:rsid w:val="00DA7792"/>
    <w:rsid w:val="00DD40FE"/>
    <w:rsid w:val="00DE0405"/>
    <w:rsid w:val="00DF5E15"/>
    <w:rsid w:val="00E0101B"/>
    <w:rsid w:val="00E03350"/>
    <w:rsid w:val="00E17E3D"/>
    <w:rsid w:val="00E22EC4"/>
    <w:rsid w:val="00E37B4B"/>
    <w:rsid w:val="00E4151C"/>
    <w:rsid w:val="00E42F90"/>
    <w:rsid w:val="00E44FB7"/>
    <w:rsid w:val="00E46884"/>
    <w:rsid w:val="00E53235"/>
    <w:rsid w:val="00E53C4A"/>
    <w:rsid w:val="00E622BB"/>
    <w:rsid w:val="00E669B9"/>
    <w:rsid w:val="00E76631"/>
    <w:rsid w:val="00E82948"/>
    <w:rsid w:val="00E83999"/>
    <w:rsid w:val="00E847C0"/>
    <w:rsid w:val="00E8677D"/>
    <w:rsid w:val="00E86B46"/>
    <w:rsid w:val="00E87479"/>
    <w:rsid w:val="00E96760"/>
    <w:rsid w:val="00EA4C0A"/>
    <w:rsid w:val="00EA70EC"/>
    <w:rsid w:val="00EB2438"/>
    <w:rsid w:val="00EB258C"/>
    <w:rsid w:val="00EB3397"/>
    <w:rsid w:val="00EC31F2"/>
    <w:rsid w:val="00ED24C4"/>
    <w:rsid w:val="00EE0E3F"/>
    <w:rsid w:val="00EE10F0"/>
    <w:rsid w:val="00EE3CAF"/>
    <w:rsid w:val="00EE7F1E"/>
    <w:rsid w:val="00EF0EE8"/>
    <w:rsid w:val="00EF5E28"/>
    <w:rsid w:val="00F020EE"/>
    <w:rsid w:val="00F06F4B"/>
    <w:rsid w:val="00F25628"/>
    <w:rsid w:val="00F303C3"/>
    <w:rsid w:val="00F35C2F"/>
    <w:rsid w:val="00F46A6C"/>
    <w:rsid w:val="00F513AE"/>
    <w:rsid w:val="00F57526"/>
    <w:rsid w:val="00F71990"/>
    <w:rsid w:val="00F71A56"/>
    <w:rsid w:val="00F76D18"/>
    <w:rsid w:val="00F77BBB"/>
    <w:rsid w:val="00F84E4F"/>
    <w:rsid w:val="00F91B26"/>
    <w:rsid w:val="00F9286B"/>
    <w:rsid w:val="00F92A24"/>
    <w:rsid w:val="00F93A92"/>
    <w:rsid w:val="00F93B3C"/>
    <w:rsid w:val="00F95004"/>
    <w:rsid w:val="00FA5D31"/>
    <w:rsid w:val="00FB641A"/>
    <w:rsid w:val="00FC245F"/>
    <w:rsid w:val="00FC26AA"/>
    <w:rsid w:val="00FC70CD"/>
    <w:rsid w:val="00FD588A"/>
    <w:rsid w:val="00FE23F3"/>
    <w:rsid w:val="00FE34AF"/>
    <w:rsid w:val="00FE5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2F02317"/>
  <w15:docId w15:val="{F5886E63-50DD-4865-BFD0-E16A945CA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F6F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A7F6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F71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F7165"/>
  </w:style>
  <w:style w:type="paragraph" w:styleId="Pidipagina">
    <w:name w:val="footer"/>
    <w:basedOn w:val="Normale"/>
    <w:link w:val="PidipaginaCarattere"/>
    <w:uiPriority w:val="99"/>
    <w:unhideWhenUsed/>
    <w:rsid w:val="008F71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F7165"/>
  </w:style>
  <w:style w:type="paragraph" w:customStyle="1" w:styleId="Default">
    <w:name w:val="Default"/>
    <w:rsid w:val="008F716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eastAsia="en-GB"/>
    </w:rPr>
  </w:style>
  <w:style w:type="paragraph" w:styleId="Paragrafoelenco">
    <w:name w:val="List Paragraph"/>
    <w:basedOn w:val="Normale"/>
    <w:uiPriority w:val="34"/>
    <w:qFormat/>
    <w:rsid w:val="008F7165"/>
    <w:pPr>
      <w:ind w:left="720"/>
      <w:contextualSpacing/>
    </w:pPr>
  </w:style>
  <w:style w:type="paragraph" w:styleId="Puntoelenco">
    <w:name w:val="List Bullet"/>
    <w:basedOn w:val="Normale"/>
    <w:uiPriority w:val="99"/>
    <w:unhideWhenUsed/>
    <w:rsid w:val="00FC26AA"/>
    <w:pPr>
      <w:numPr>
        <w:numId w:val="2"/>
      </w:numPr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C90D5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90D57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90D57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90D5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90D57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90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90D57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F6F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Collegamentoipertestuale">
    <w:name w:val="Hyperlink"/>
    <w:basedOn w:val="Carpredefinitoparagrafo"/>
    <w:uiPriority w:val="99"/>
    <w:unhideWhenUsed/>
    <w:rsid w:val="000B022A"/>
    <w:rPr>
      <w:color w:val="0000FF" w:themeColor="hyperlink"/>
      <w:u w:val="single"/>
    </w:rPr>
  </w:style>
  <w:style w:type="character" w:customStyle="1" w:styleId="ecxapple-converted-space">
    <w:name w:val="ecxapple-converted-space"/>
    <w:basedOn w:val="Carpredefinitoparagrafo"/>
    <w:rsid w:val="00711C9F"/>
  </w:style>
  <w:style w:type="paragraph" w:styleId="Revisione">
    <w:name w:val="Revision"/>
    <w:hidden/>
    <w:uiPriority w:val="99"/>
    <w:semiHidden/>
    <w:rsid w:val="00A96947"/>
    <w:pPr>
      <w:spacing w:after="0" w:line="240" w:lineRule="auto"/>
    </w:p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A7F6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C78D0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Carpredefinitoparagrafo"/>
    <w:rsid w:val="00410D09"/>
  </w:style>
  <w:style w:type="table" w:styleId="Grigliatabella">
    <w:name w:val="Table Grid"/>
    <w:basedOn w:val="Tabellanormale"/>
    <w:uiPriority w:val="59"/>
    <w:rsid w:val="00ED24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F2D4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val="it-IT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251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31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784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1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084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0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8306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61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2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ndipharma.co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ema.europa.eu/docs/en_GB/document_library/Summary_of_opinion_-_Initial_authorisation/human/004112/WC500218017.pdfv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.stirpe@vrelations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.depaoli@vrelations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6DC9F2-DD59-418E-B0EF-250007A29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1238</Words>
  <Characters>7061</Characters>
  <Application>Microsoft Office Word</Application>
  <DocSecurity>0</DocSecurity>
  <Lines>58</Lines>
  <Paragraphs>16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CMGRP</Company>
  <LinksUpToDate>false</LinksUpToDate>
  <CharactersWithSpaces>8283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Fisher, Emily (LDN-GHI)</dc:creator>
  <cp:lastModifiedBy>Cristina Depaoli</cp:lastModifiedBy>
  <cp:revision>19</cp:revision>
  <cp:lastPrinted>2017-02-22T16:32:00Z</cp:lastPrinted>
  <dcterms:created xsi:type="dcterms:W3CDTF">2017-02-23T16:02:00Z</dcterms:created>
  <dcterms:modified xsi:type="dcterms:W3CDTF">2017-02-24T09:10:00Z</dcterms:modified>
</cp:coreProperties>
</file>