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A4" w:rsidRDefault="00C14C7E" w:rsidP="00B70CA4">
      <w:pPr>
        <w:spacing w:after="0" w:line="276" w:lineRule="auto"/>
        <w:jc w:val="center"/>
        <w:rPr>
          <w:b/>
          <w:caps/>
          <w:color w:val="FF0000"/>
          <w:sz w:val="24"/>
          <w:u w:val="single"/>
        </w:rPr>
      </w:pPr>
      <w:r>
        <w:rPr>
          <w:b/>
          <w:caps/>
          <w:color w:val="FF0000"/>
          <w:sz w:val="24"/>
          <w:u w:val="single"/>
        </w:rPr>
        <w:t xml:space="preserve">abstract </w:t>
      </w:r>
      <w:r w:rsidR="00B70CA4">
        <w:rPr>
          <w:b/>
          <w:caps/>
          <w:color w:val="FF0000"/>
          <w:sz w:val="24"/>
          <w:u w:val="single"/>
        </w:rPr>
        <w:t>alessandro nanni costa, direttore del centro nazionale trapianti</w:t>
      </w:r>
    </w:p>
    <w:p w:rsidR="00A77F00" w:rsidRPr="00AD0444" w:rsidRDefault="00CD29B6" w:rsidP="00A77F00">
      <w:pPr>
        <w:spacing w:after="0" w:line="276" w:lineRule="auto"/>
        <w:jc w:val="both"/>
        <w:rPr>
          <w:rFonts w:cstheme="minorHAnsi"/>
          <w:b/>
          <w:color w:val="1F497D" w:themeColor="text2"/>
        </w:rPr>
      </w:pPr>
      <w:r>
        <w:rPr>
          <w:b/>
          <w:caps/>
          <w:color w:val="FF0000"/>
          <w:sz w:val="24"/>
          <w:u w:val="single"/>
        </w:rPr>
        <w:br/>
      </w:r>
      <w:r w:rsidR="00A77F00" w:rsidRPr="00AD0444">
        <w:rPr>
          <w:rFonts w:cstheme="minorHAnsi"/>
          <w:b/>
          <w:color w:val="FF0000"/>
        </w:rPr>
        <w:t>LA DONAZIONE E IL TRAPIANTO: PROCESSI COMPLESSI</w:t>
      </w: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b/>
          <w:color w:val="1F497D" w:themeColor="text2"/>
        </w:rPr>
      </w:pP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 xml:space="preserve">Una </w:t>
      </w:r>
      <w:r w:rsidRPr="00AD0444">
        <w:rPr>
          <w:rFonts w:cstheme="minorHAnsi"/>
          <w:b/>
          <w:color w:val="1F497D" w:themeColor="text2"/>
        </w:rPr>
        <w:t>donazione o un trapianto</w:t>
      </w:r>
      <w:r w:rsidRPr="00AD0444">
        <w:rPr>
          <w:rFonts w:cstheme="minorHAnsi"/>
          <w:color w:val="1F497D" w:themeColor="text2"/>
        </w:rPr>
        <w:t xml:space="preserve"> sono frutto di processi operativi e decisionali caratterizzati da molte fasi che, a loro volta, coinvolgono numerose risorse umane, afferenti a varie strutture e livelli del sistema sanitario e spesso dislocate in varie regioni del territorio italiano. E perciò evidente che il presupposto fondamentale per un adeguato </w:t>
      </w:r>
      <w:r w:rsidRPr="00AD0444">
        <w:rPr>
          <w:rFonts w:cstheme="minorHAnsi"/>
          <w:b/>
          <w:color w:val="1F497D" w:themeColor="text2"/>
        </w:rPr>
        <w:t>governo clinico del processo</w:t>
      </w:r>
      <w:r w:rsidRPr="00AD0444">
        <w:rPr>
          <w:rFonts w:cstheme="minorHAnsi"/>
          <w:color w:val="1F497D" w:themeColor="text2"/>
        </w:rPr>
        <w:t xml:space="preserve"> </w:t>
      </w:r>
      <w:r w:rsidRPr="00AD0444">
        <w:rPr>
          <w:rFonts w:cstheme="minorHAnsi"/>
          <w:b/>
          <w:color w:val="1F497D" w:themeColor="text2"/>
        </w:rPr>
        <w:t>donazione-trapianto</w:t>
      </w:r>
      <w:r w:rsidRPr="00AD0444">
        <w:rPr>
          <w:rFonts w:cstheme="minorHAnsi"/>
          <w:color w:val="1F497D" w:themeColor="text2"/>
        </w:rPr>
        <w:t xml:space="preserve">, è che la </w:t>
      </w:r>
      <w:r w:rsidRPr="00AD0444">
        <w:rPr>
          <w:rFonts w:cstheme="minorHAnsi"/>
          <w:b/>
          <w:color w:val="1F497D" w:themeColor="text2"/>
        </w:rPr>
        <w:t>capacità gestionale</w:t>
      </w:r>
      <w:r w:rsidRPr="00AD0444">
        <w:rPr>
          <w:rFonts w:cstheme="minorHAnsi"/>
          <w:color w:val="1F497D" w:themeColor="text2"/>
        </w:rPr>
        <w:t xml:space="preserve"> dei centri di </w:t>
      </w:r>
      <w:r w:rsidRPr="00AD0444">
        <w:rPr>
          <w:rFonts w:cstheme="minorHAnsi"/>
          <w:b/>
          <w:color w:val="1F497D" w:themeColor="text2"/>
        </w:rPr>
        <w:t>coordinamento</w:t>
      </w:r>
      <w:r w:rsidRPr="00AD0444">
        <w:rPr>
          <w:rFonts w:cstheme="minorHAnsi"/>
          <w:color w:val="1F497D" w:themeColor="text2"/>
        </w:rPr>
        <w:t xml:space="preserve"> (ospedaliero, regionale, nazionale) sia di qualità, ossia in grado di offrire massime garanzia di efficienza operativa ed efficacia. </w:t>
      </w: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 xml:space="preserve">Si tenga conto che dal momento della segnalazione del donatore all'intervento chirurgico del trapianto, trascorrono mediamente </w:t>
      </w:r>
      <w:r w:rsidRPr="00AD0444">
        <w:rPr>
          <w:rFonts w:cstheme="minorHAnsi"/>
          <w:b/>
          <w:color w:val="1F497D" w:themeColor="text2"/>
        </w:rPr>
        <w:t>10 ore</w:t>
      </w:r>
      <w:r w:rsidRPr="00AD0444">
        <w:rPr>
          <w:rFonts w:cstheme="minorHAnsi"/>
          <w:color w:val="1F497D" w:themeColor="text2"/>
        </w:rPr>
        <w:t xml:space="preserve">. In questo arco di tempo </w:t>
      </w:r>
      <w:r w:rsidRPr="00AD0444">
        <w:rPr>
          <w:rFonts w:cstheme="minorHAnsi"/>
          <w:b/>
          <w:color w:val="1F497D" w:themeColor="text2"/>
        </w:rPr>
        <w:t>più di 100 persone</w:t>
      </w:r>
      <w:r w:rsidRPr="00AD0444">
        <w:rPr>
          <w:rFonts w:cstheme="minorHAnsi"/>
          <w:color w:val="1F497D" w:themeColor="text2"/>
        </w:rPr>
        <w:t>, di discipline e strutture diverse, spesso situate in più città, interagiscono con l'</w:t>
      </w:r>
      <w:r w:rsidRPr="00AD0444">
        <w:rPr>
          <w:rFonts w:cstheme="minorHAnsi"/>
          <w:b/>
          <w:color w:val="1F497D" w:themeColor="text2"/>
        </w:rPr>
        <w:t xml:space="preserve">evento donazione-prelievo-trapianto </w:t>
      </w:r>
      <w:r w:rsidRPr="00AD0444">
        <w:rPr>
          <w:rFonts w:cstheme="minorHAnsi"/>
          <w:color w:val="1F497D" w:themeColor="text2"/>
        </w:rPr>
        <w:t xml:space="preserve">per la gestione delle varie fasi: </w:t>
      </w:r>
    </w:p>
    <w:p w:rsidR="00A77F00" w:rsidRPr="00AD0444" w:rsidRDefault="00A77F00" w:rsidP="00A77F00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 xml:space="preserve">accertamento e certificazione della morte secondo i criteri stabiliti di legge; </w:t>
      </w:r>
    </w:p>
    <w:p w:rsidR="00A77F00" w:rsidRPr="00AD0444" w:rsidRDefault="00A77F00" w:rsidP="00A77F00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 xml:space="preserve">valutazione dell’idoneità del donatore nonché dei singoli organi e tessuti; </w:t>
      </w:r>
    </w:p>
    <w:p w:rsidR="00A77F00" w:rsidRPr="00AD0444" w:rsidRDefault="00A77F00" w:rsidP="00A77F00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>individuazione del ricevente attraverso la consultazione informatica delle liste d’attesa;</w:t>
      </w:r>
    </w:p>
    <w:p w:rsidR="00A77F00" w:rsidRPr="00AD0444" w:rsidRDefault="00A77F00" w:rsidP="00A77F00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 xml:space="preserve">esecuzione dei test immunologici per la verifica la compatibilità donatore-ricevente; </w:t>
      </w:r>
    </w:p>
    <w:p w:rsidR="00A77F00" w:rsidRPr="00AD0444" w:rsidRDefault="00A77F00" w:rsidP="00A77F00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 xml:space="preserve">allocazione degli organi disponibili ai pazienti selezionati; </w:t>
      </w:r>
    </w:p>
    <w:p w:rsidR="00A77F00" w:rsidRPr="00AD0444" w:rsidRDefault="00A77F00" w:rsidP="00A77F00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 xml:space="preserve">attivazione dei trasporti, mediante auto, ambulanze, aerei, elicotteri ecc., dei campioni biologici ed équipe da e per diverse località; </w:t>
      </w:r>
    </w:p>
    <w:p w:rsidR="00A77F00" w:rsidRPr="00AD0444" w:rsidRDefault="00A77F00" w:rsidP="00A77F00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 xml:space="preserve">convocazione dei riceventi nei centri di trapianto e valutazione delle condizioni cliniche; </w:t>
      </w:r>
    </w:p>
    <w:p w:rsidR="00A77F00" w:rsidRPr="00AD0444" w:rsidRDefault="00A77F00" w:rsidP="00A77F00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 xml:space="preserve">prelievo di organi-tessuti, trapianto degli organi, raccolta verbali, avvio del follow-up dei  pazienti trapiantati. </w:t>
      </w: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 xml:space="preserve">In considerazione dell’importanza che gioca la capacità organizzativo-gestionale in questo settore si può sostenere che </w:t>
      </w:r>
      <w:r w:rsidRPr="00AD0444">
        <w:rPr>
          <w:rFonts w:cstheme="minorHAnsi"/>
          <w:b/>
          <w:color w:val="1F497D" w:themeColor="text2"/>
        </w:rPr>
        <w:t>la donazione e il trapianto sono</w:t>
      </w:r>
      <w:r w:rsidRPr="00AD0444">
        <w:rPr>
          <w:rFonts w:cstheme="minorHAnsi"/>
          <w:color w:val="1F497D" w:themeColor="text2"/>
        </w:rPr>
        <w:t xml:space="preserve"> </w:t>
      </w:r>
      <w:r w:rsidRPr="00AD0444">
        <w:rPr>
          <w:rFonts w:cstheme="minorHAnsi"/>
          <w:b/>
          <w:color w:val="1F497D" w:themeColor="text2"/>
        </w:rPr>
        <w:t>indici di qualità ed efficienza delle strutture e dei sistemi sanitari.</w:t>
      </w: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b/>
          <w:color w:val="1F497D" w:themeColor="text2"/>
        </w:rPr>
      </w:pP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b/>
          <w:color w:val="FF0000"/>
        </w:rPr>
      </w:pPr>
      <w:bookmarkStart w:id="0" w:name="_GoBack"/>
      <w:r w:rsidRPr="00AD0444">
        <w:rPr>
          <w:rFonts w:cstheme="minorHAnsi"/>
          <w:b/>
          <w:color w:val="FF0000"/>
        </w:rPr>
        <w:t>RUOLO STRATEGICO DELL’ORGANIZZAZIONE E DELLA COMUNICAZIONE</w:t>
      </w:r>
    </w:p>
    <w:bookmarkEnd w:id="0"/>
    <w:p w:rsidR="00A77F00" w:rsidRPr="00AD0444" w:rsidRDefault="00A77F00" w:rsidP="00A77F00">
      <w:pPr>
        <w:spacing w:after="0" w:line="276" w:lineRule="auto"/>
        <w:jc w:val="both"/>
        <w:rPr>
          <w:rFonts w:eastAsia="Times New Roman" w:cstheme="minorHAnsi"/>
          <w:color w:val="1F497D" w:themeColor="text2"/>
          <w:lang w:eastAsia="it-IT"/>
        </w:rPr>
      </w:pPr>
    </w:p>
    <w:p w:rsidR="00A77F00" w:rsidRPr="00AD0444" w:rsidRDefault="00A77F00" w:rsidP="00A77F00">
      <w:pPr>
        <w:spacing w:after="0" w:line="276" w:lineRule="auto"/>
        <w:jc w:val="both"/>
        <w:rPr>
          <w:rFonts w:eastAsia="Times New Roman" w:cstheme="minorHAnsi"/>
          <w:color w:val="1F497D" w:themeColor="text2"/>
          <w:lang w:eastAsia="it-IT"/>
        </w:rPr>
      </w:pPr>
      <w:r w:rsidRPr="00AD0444">
        <w:rPr>
          <w:rFonts w:eastAsia="Times New Roman" w:cstheme="minorHAnsi"/>
          <w:color w:val="1F497D" w:themeColor="text2"/>
          <w:lang w:eastAsia="it-IT"/>
        </w:rPr>
        <w:t xml:space="preserve">Il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tema della donazione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 è uno dei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più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difficili da comunicare</w:t>
      </w:r>
      <w:r w:rsidRPr="00AD0444">
        <w:rPr>
          <w:rFonts w:eastAsia="Times New Roman" w:cstheme="minorHAnsi"/>
          <w:color w:val="1F497D" w:themeColor="text2"/>
          <w:lang w:eastAsia="it-IT"/>
        </w:rPr>
        <w:t>. Questa difficoltà è legata ad una serie di motivi: la disinformazione, la paura della morte, la sfiducia nei medici, il sensazionalismo dei media…</w:t>
      </w:r>
    </w:p>
    <w:p w:rsidR="00A77F00" w:rsidRPr="00AD0444" w:rsidRDefault="00A77F00" w:rsidP="00A77F00">
      <w:pPr>
        <w:spacing w:after="0" w:line="276" w:lineRule="auto"/>
        <w:jc w:val="both"/>
        <w:rPr>
          <w:rFonts w:eastAsia="Times New Roman" w:cstheme="minorHAnsi"/>
          <w:color w:val="1F497D" w:themeColor="text2"/>
          <w:lang w:eastAsia="it-IT"/>
        </w:rPr>
      </w:pPr>
    </w:p>
    <w:p w:rsidR="00A77F00" w:rsidRPr="00AD0444" w:rsidRDefault="00A77F00" w:rsidP="00A77F00">
      <w:pPr>
        <w:spacing w:after="0" w:line="276" w:lineRule="auto"/>
        <w:jc w:val="both"/>
        <w:rPr>
          <w:rFonts w:eastAsia="Times New Roman" w:cstheme="minorHAnsi"/>
          <w:color w:val="1F497D" w:themeColor="text2"/>
          <w:lang w:eastAsia="it-IT"/>
        </w:rPr>
      </w:pPr>
      <w:r w:rsidRPr="00AD0444">
        <w:rPr>
          <w:rFonts w:eastAsia="Times New Roman" w:cstheme="minorHAnsi"/>
          <w:color w:val="1F497D" w:themeColor="text2"/>
          <w:lang w:eastAsia="it-IT"/>
        </w:rPr>
        <w:t xml:space="preserve">Ne deriva che per fare una buona comunicazione in questo campo occorre attrezzarsi con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strategie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 adatte a superare queste difficoltà. </w:t>
      </w:r>
    </w:p>
    <w:p w:rsidR="00A77F00" w:rsidRPr="00AD0444" w:rsidRDefault="00A77F00" w:rsidP="00A77F00">
      <w:pPr>
        <w:spacing w:after="0" w:line="276" w:lineRule="auto"/>
        <w:jc w:val="both"/>
        <w:rPr>
          <w:rFonts w:eastAsia="Times New Roman" w:cstheme="minorHAnsi"/>
          <w:color w:val="1F497D" w:themeColor="text2"/>
          <w:lang w:eastAsia="it-IT"/>
        </w:rPr>
      </w:pPr>
      <w:r w:rsidRPr="00AD0444">
        <w:rPr>
          <w:rFonts w:eastAsia="Times New Roman" w:cstheme="minorHAnsi"/>
          <w:color w:val="1F497D" w:themeColor="text2"/>
          <w:lang w:eastAsia="it-IT"/>
        </w:rPr>
        <w:t xml:space="preserve">In </w:t>
      </w:r>
      <w:r w:rsidRPr="00AD0444">
        <w:rPr>
          <w:rFonts w:eastAsia="Times New Roman" w:cstheme="minorHAnsi"/>
          <w:i/>
          <w:color w:val="1F497D" w:themeColor="text2"/>
          <w:lang w:eastAsia="it-IT"/>
        </w:rPr>
        <w:t>primis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, chi ha il compito di promuovere la donazione degli organi deve essere in grado di rapportarsi con sapienza ai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mezzi di comunicazione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di massa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, non ignorando il loro ruolo e il loro potenziale impatto sulla popolazione. Campagne televisive e radiofoniche, presenze ed interviste su tv e radio, garantiscono visibilità e avvicinano al tema. </w:t>
      </w: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eastAsia="Times New Roman" w:cstheme="minorHAnsi"/>
          <w:color w:val="1F497D" w:themeColor="text2"/>
          <w:lang w:eastAsia="it-IT"/>
        </w:rPr>
        <w:lastRenderedPageBreak/>
        <w:t xml:space="preserve">Questo aspetto tuttavia, presenta delle forti criticità dovute alla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ristrettezza degli spazi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 accessibili e alle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scarsissime risorse da investire</w:t>
      </w:r>
      <w:r w:rsidRPr="00AD0444">
        <w:rPr>
          <w:rFonts w:eastAsia="Times New Roman" w:cstheme="minorHAnsi"/>
          <w:color w:val="1F497D" w:themeColor="text2"/>
          <w:lang w:eastAsia="it-IT"/>
        </w:rPr>
        <w:t>.</w:t>
      </w:r>
    </w:p>
    <w:p w:rsidR="00A77F00" w:rsidRPr="00AD0444" w:rsidRDefault="00A77F00" w:rsidP="00A77F00">
      <w:pPr>
        <w:spacing w:after="0" w:line="276" w:lineRule="auto"/>
        <w:jc w:val="both"/>
        <w:rPr>
          <w:rFonts w:eastAsia="Times New Roman" w:cstheme="minorHAnsi"/>
          <w:color w:val="1F497D" w:themeColor="text2"/>
          <w:lang w:eastAsia="it-IT"/>
        </w:rPr>
      </w:pPr>
    </w:p>
    <w:p w:rsidR="00A77F00" w:rsidRPr="00AD0444" w:rsidRDefault="00A77F00" w:rsidP="00A77F00">
      <w:pPr>
        <w:spacing w:after="0" w:line="276" w:lineRule="auto"/>
        <w:jc w:val="both"/>
        <w:rPr>
          <w:rFonts w:eastAsia="Times New Roman" w:cstheme="minorHAnsi"/>
          <w:color w:val="1F497D" w:themeColor="text2"/>
          <w:lang w:eastAsia="it-IT"/>
        </w:rPr>
      </w:pPr>
      <w:r w:rsidRPr="00AD0444">
        <w:rPr>
          <w:rFonts w:eastAsia="Times New Roman" w:cstheme="minorHAnsi"/>
          <w:color w:val="1F497D" w:themeColor="text2"/>
          <w:lang w:eastAsia="it-IT"/>
        </w:rPr>
        <w:t xml:space="preserve">Perciò, la strategia comunicativa deve necessariamente tenere in massima considerazione altri aspetti fondamentali. Sappiamo, infatti, che tra i fattori capaci di influenzare l’atteggiamento verso la donazione vi sono la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cura del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rapporto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 che si instaura sin dall’inizio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con il paziente e con la famiglia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, il coinvolgimento sempre più ampio di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nuove fasce di comunicatori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 (operatori pubblica amministrazione, insegnanti, medici di base, enti pubblici e privati, associazioni, aziende, ecc), la capacità del sistema di essere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trasparente, accessibile, efficiente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 rispetto ai bisogni.</w:t>
      </w:r>
    </w:p>
    <w:p w:rsidR="00A77F00" w:rsidRPr="00AD0444" w:rsidRDefault="00A77F00" w:rsidP="00A77F00">
      <w:pPr>
        <w:spacing w:after="0" w:line="276" w:lineRule="auto"/>
        <w:jc w:val="both"/>
        <w:rPr>
          <w:rFonts w:eastAsia="Times New Roman" w:cstheme="minorHAnsi"/>
          <w:color w:val="1F497D" w:themeColor="text2"/>
          <w:lang w:eastAsia="it-IT"/>
        </w:rPr>
      </w:pPr>
    </w:p>
    <w:p w:rsidR="00A77F00" w:rsidRPr="00AD0444" w:rsidRDefault="00A77F00" w:rsidP="00A77F00">
      <w:pPr>
        <w:spacing w:after="0" w:line="276" w:lineRule="auto"/>
        <w:jc w:val="both"/>
        <w:rPr>
          <w:rFonts w:eastAsia="Times New Roman" w:cstheme="minorHAnsi"/>
          <w:color w:val="1F497D" w:themeColor="text2"/>
          <w:lang w:eastAsia="it-IT"/>
        </w:rPr>
      </w:pPr>
      <w:r w:rsidRPr="00AD0444">
        <w:rPr>
          <w:rFonts w:eastAsia="Times New Roman" w:cstheme="minorHAnsi"/>
          <w:color w:val="1F497D" w:themeColor="text2"/>
          <w:lang w:eastAsia="it-IT"/>
        </w:rPr>
        <w:t xml:space="preserve">E’ perciò fondamentale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creare reti di comunicazione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 di base attraverso il più ampio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coinvolgimento di realtà e soggetti tra loro diversi</w:t>
      </w:r>
      <w:r w:rsidRPr="00AD0444">
        <w:rPr>
          <w:rFonts w:eastAsia="Times New Roman" w:cstheme="minorHAnsi"/>
          <w:color w:val="1F497D" w:themeColor="text2"/>
          <w:lang w:eastAsia="it-IT"/>
        </w:rPr>
        <w:t xml:space="preserve">, ma accomunati dalla volontà di farsi veicolo del </w:t>
      </w:r>
      <w:r w:rsidRPr="00AD0444">
        <w:rPr>
          <w:rFonts w:eastAsia="Times New Roman" w:cstheme="minorHAnsi"/>
          <w:b/>
          <w:color w:val="1F497D" w:themeColor="text2"/>
          <w:lang w:eastAsia="it-IT"/>
        </w:rPr>
        <w:t>messaggio solidale della donazione</w:t>
      </w:r>
      <w:r w:rsidRPr="00AD0444">
        <w:rPr>
          <w:rFonts w:eastAsia="Times New Roman" w:cstheme="minorHAnsi"/>
          <w:color w:val="1F497D" w:themeColor="text2"/>
          <w:lang w:eastAsia="it-IT"/>
        </w:rPr>
        <w:t>. In questo modo, l’informazione viene veicolata attraverso mezzi già esistenti, già mirati e tarati sui diversi target e può essere facilmente adattata nei linguaggi e nelle modalità alle più varie esigenze.</w:t>
      </w: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b/>
          <w:color w:val="FF0000"/>
        </w:rPr>
      </w:pPr>
      <w:r w:rsidRPr="00AD0444">
        <w:rPr>
          <w:rFonts w:cstheme="minorHAnsi"/>
          <w:b/>
          <w:color w:val="FF0000"/>
        </w:rPr>
        <w:t>“DIAMO IL MEGLIO DI NOI”</w:t>
      </w: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b/>
          <w:color w:val="1F497D" w:themeColor="text2"/>
        </w:rPr>
      </w:pP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>“</w:t>
      </w:r>
      <w:r w:rsidRPr="00AD0444">
        <w:rPr>
          <w:rFonts w:cstheme="minorHAnsi"/>
          <w:b/>
          <w:color w:val="1F497D" w:themeColor="text2"/>
        </w:rPr>
        <w:t>Diamo il meglio di noi</w:t>
      </w:r>
      <w:r w:rsidRPr="00AD0444">
        <w:rPr>
          <w:rFonts w:cstheme="minorHAnsi"/>
          <w:color w:val="1F497D" w:themeColor="text2"/>
        </w:rPr>
        <w:t xml:space="preserve">” è il nuovo progetto di </w:t>
      </w:r>
      <w:r w:rsidRPr="00AD0444">
        <w:rPr>
          <w:rFonts w:cstheme="minorHAnsi"/>
          <w:b/>
          <w:color w:val="1F497D" w:themeColor="text2"/>
        </w:rPr>
        <w:t>campagna di comunicazione per il 2016</w:t>
      </w:r>
      <w:r w:rsidRPr="00AD0444">
        <w:rPr>
          <w:rFonts w:cstheme="minorHAnsi"/>
          <w:color w:val="1F497D" w:themeColor="text2"/>
        </w:rPr>
        <w:t xml:space="preserve"> e per i prossimi anni: un programma diretto non ai singoli, come avvenuto nelle precedenti campagne, ma alle grandi </w:t>
      </w:r>
      <w:r w:rsidRPr="00AD0444">
        <w:rPr>
          <w:rFonts w:cstheme="minorHAnsi"/>
          <w:b/>
          <w:color w:val="1F497D" w:themeColor="text2"/>
        </w:rPr>
        <w:t>organizzazioni</w:t>
      </w:r>
      <w:r w:rsidRPr="00AD0444">
        <w:rPr>
          <w:rFonts w:cstheme="minorHAnsi"/>
          <w:color w:val="1F497D" w:themeColor="text2"/>
        </w:rPr>
        <w:t xml:space="preserve"> ( istituzioni ed enti, pubblici e privati di carattere nazionale, associazioni, aziende, ecc.), finalizzato ad ottenere il loro impegno nella diffusione del messaggio della donazione verso i loro dipendenti, associati, membri, o verso la rete dei loro </w:t>
      </w:r>
      <w:r w:rsidRPr="00AD0444">
        <w:rPr>
          <w:rFonts w:cstheme="minorHAnsi"/>
          <w:i/>
          <w:color w:val="1F497D" w:themeColor="text2"/>
        </w:rPr>
        <w:t>stakeholder</w:t>
      </w:r>
      <w:r w:rsidRPr="00AD0444">
        <w:rPr>
          <w:rFonts w:cstheme="minorHAnsi"/>
          <w:color w:val="1F497D" w:themeColor="text2"/>
        </w:rPr>
        <w:t xml:space="preserve">, nelle modalità che riterranno più opportune. </w:t>
      </w: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 xml:space="preserve">Con l’adesione al progetto, le organizzazioni si fanno portavoce al loro interno dell’importanza della donazione degli organi e del dichiarare in vita la propria volontà diffondendo le modalità con cui esprimerla. </w:t>
      </w: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color w:val="1F497D" w:themeColor="text2"/>
        </w:rPr>
      </w:pP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 xml:space="preserve">Con questa iniziativa ci poniamo </w:t>
      </w:r>
      <w:r w:rsidRPr="00AD0444">
        <w:rPr>
          <w:rFonts w:cstheme="minorHAnsi"/>
          <w:b/>
          <w:color w:val="1F497D" w:themeColor="text2"/>
        </w:rPr>
        <w:t>l’obiettivo di sensibilizzare ampie fette di popolazione</w:t>
      </w:r>
      <w:r w:rsidRPr="00AD0444">
        <w:rPr>
          <w:rFonts w:cstheme="minorHAnsi"/>
          <w:color w:val="1F497D" w:themeColor="text2"/>
        </w:rPr>
        <w:t xml:space="preserve">, attraverso l’invio di </w:t>
      </w:r>
      <w:r w:rsidRPr="00AD0444">
        <w:rPr>
          <w:rFonts w:cstheme="minorHAnsi"/>
          <w:b/>
          <w:color w:val="1F497D" w:themeColor="text2"/>
        </w:rPr>
        <w:t>messaggi mirati</w:t>
      </w:r>
      <w:r w:rsidRPr="00AD0444">
        <w:rPr>
          <w:rFonts w:cstheme="minorHAnsi"/>
          <w:color w:val="1F497D" w:themeColor="text2"/>
        </w:rPr>
        <w:t xml:space="preserve"> e </w:t>
      </w:r>
      <w:r w:rsidRPr="00AD0444">
        <w:rPr>
          <w:rFonts w:cstheme="minorHAnsi"/>
          <w:b/>
          <w:color w:val="1F497D" w:themeColor="text2"/>
        </w:rPr>
        <w:t>contenuti selezionati</w:t>
      </w:r>
      <w:r w:rsidRPr="00AD0444">
        <w:rPr>
          <w:rFonts w:cstheme="minorHAnsi"/>
          <w:color w:val="1F497D" w:themeColor="text2"/>
        </w:rPr>
        <w:t xml:space="preserve"> e pensati </w:t>
      </w:r>
      <w:r w:rsidRPr="00AD0444">
        <w:rPr>
          <w:rFonts w:cstheme="minorHAnsi"/>
          <w:i/>
          <w:color w:val="1F497D" w:themeColor="text2"/>
        </w:rPr>
        <w:t>ad hoc</w:t>
      </w:r>
      <w:r w:rsidRPr="00AD0444">
        <w:rPr>
          <w:rFonts w:cstheme="minorHAnsi"/>
          <w:color w:val="1F497D" w:themeColor="text2"/>
        </w:rPr>
        <w:t xml:space="preserve"> da noi e dalle realtà aderenti, utilizzando i mezzi di comunicazione interna delle associazioni e le loro iniziative istituzionali.</w:t>
      </w:r>
    </w:p>
    <w:p w:rsidR="00A77F00" w:rsidRPr="00AD0444" w:rsidRDefault="00A77F00" w:rsidP="00A77F00">
      <w:pPr>
        <w:spacing w:after="0" w:line="276" w:lineRule="auto"/>
        <w:jc w:val="both"/>
        <w:rPr>
          <w:rFonts w:cstheme="minorHAnsi"/>
          <w:color w:val="1F497D" w:themeColor="text2"/>
        </w:rPr>
      </w:pPr>
      <w:r w:rsidRPr="00AD0444">
        <w:rPr>
          <w:rFonts w:cstheme="minorHAnsi"/>
          <w:color w:val="1F497D" w:themeColor="text2"/>
        </w:rPr>
        <w:t xml:space="preserve">Con la </w:t>
      </w:r>
      <w:r w:rsidRPr="00AD0444">
        <w:rPr>
          <w:rFonts w:cstheme="minorHAnsi"/>
          <w:b/>
          <w:color w:val="1F497D" w:themeColor="text2"/>
        </w:rPr>
        <w:t>personalizzazione del messaggio</w:t>
      </w:r>
      <w:r w:rsidRPr="00AD0444">
        <w:rPr>
          <w:rFonts w:cstheme="minorHAnsi"/>
          <w:color w:val="1F497D" w:themeColor="text2"/>
        </w:rPr>
        <w:t>, auspichiamo di giungere ad una maggiore pervasività dello stesso; mentre con l’utilizzo dei mezzi di comunicazione interna e l’attivazione delle risorse già a disposizione dei nostri partner ci proponiamo di potenziare l’efficacia di una campagna che si caratterizza per la scarsità di investimento economico.</w:t>
      </w:r>
    </w:p>
    <w:p w:rsidR="0081564C" w:rsidRPr="00AD0444" w:rsidRDefault="0081564C" w:rsidP="00A77F00">
      <w:pPr>
        <w:jc w:val="center"/>
        <w:rPr>
          <w:rFonts w:cstheme="minorHAnsi"/>
          <w:color w:val="1F497D" w:themeColor="text2"/>
        </w:rPr>
      </w:pPr>
    </w:p>
    <w:sectPr w:rsidR="0081564C" w:rsidRPr="00AD0444" w:rsidSect="00F70C4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E4" w:rsidRDefault="00135EE4" w:rsidP="00CD29B6">
      <w:pPr>
        <w:spacing w:after="0" w:line="240" w:lineRule="auto"/>
      </w:pPr>
      <w:r>
        <w:separator/>
      </w:r>
    </w:p>
  </w:endnote>
  <w:endnote w:type="continuationSeparator" w:id="0">
    <w:p w:rsidR="00135EE4" w:rsidRDefault="00135EE4" w:rsidP="00CD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E4" w:rsidRDefault="00135EE4" w:rsidP="00CD29B6">
      <w:pPr>
        <w:spacing w:after="0" w:line="240" w:lineRule="auto"/>
      </w:pPr>
      <w:r>
        <w:separator/>
      </w:r>
    </w:p>
  </w:footnote>
  <w:footnote w:type="continuationSeparator" w:id="0">
    <w:p w:rsidR="00135EE4" w:rsidRDefault="00135EE4" w:rsidP="00CD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B6" w:rsidRDefault="00CD29B6">
    <w:pPr>
      <w:pStyle w:val="Intestazione"/>
    </w:pPr>
    <w:r w:rsidRPr="00CD29B6">
      <w:rPr>
        <w:noProof/>
        <w:lang w:eastAsia="it-IT"/>
      </w:rPr>
      <w:drawing>
        <wp:inline distT="0" distB="0" distL="0" distR="0">
          <wp:extent cx="1542351" cy="1104900"/>
          <wp:effectExtent l="19050" t="0" r="699" b="0"/>
          <wp:docPr id="3" name="Immagine 1" descr="X:\CLIENTI\CHIESI\2016\OPEN DAY CNT\CNT+IS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I\CHIESI\2016\OPEN DAY CNT\CNT+ISS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351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9B6" w:rsidRDefault="00CD29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643"/>
    <w:multiLevelType w:val="hybridMultilevel"/>
    <w:tmpl w:val="040C7EB6"/>
    <w:lvl w:ilvl="0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8332C6C"/>
    <w:multiLevelType w:val="hybridMultilevel"/>
    <w:tmpl w:val="BEC2A8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73D5A"/>
    <w:multiLevelType w:val="hybridMultilevel"/>
    <w:tmpl w:val="DFC4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37A2F"/>
    <w:multiLevelType w:val="hybridMultilevel"/>
    <w:tmpl w:val="7A8CB09A"/>
    <w:lvl w:ilvl="0" w:tplc="13FAABFC">
      <w:numFmt w:val="bullet"/>
      <w:lvlText w:val="•"/>
      <w:lvlJc w:val="left"/>
      <w:pPr>
        <w:ind w:left="2115" w:hanging="84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639"/>
    <w:rsid w:val="00135EE4"/>
    <w:rsid w:val="001A1587"/>
    <w:rsid w:val="002103DB"/>
    <w:rsid w:val="0028179D"/>
    <w:rsid w:val="002C37C7"/>
    <w:rsid w:val="00315680"/>
    <w:rsid w:val="0043648B"/>
    <w:rsid w:val="00632EF8"/>
    <w:rsid w:val="006E2F9B"/>
    <w:rsid w:val="0071376B"/>
    <w:rsid w:val="00755639"/>
    <w:rsid w:val="00801722"/>
    <w:rsid w:val="0081564C"/>
    <w:rsid w:val="008C1081"/>
    <w:rsid w:val="00A77F00"/>
    <w:rsid w:val="00AD0444"/>
    <w:rsid w:val="00AE1FC4"/>
    <w:rsid w:val="00B70CA4"/>
    <w:rsid w:val="00BF6F3E"/>
    <w:rsid w:val="00C14C7E"/>
    <w:rsid w:val="00C97552"/>
    <w:rsid w:val="00CD29B6"/>
    <w:rsid w:val="00E22CBA"/>
    <w:rsid w:val="00E51B8F"/>
    <w:rsid w:val="00F70C4F"/>
    <w:rsid w:val="00FA777F"/>
    <w:rsid w:val="00FE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F0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7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D2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9B6"/>
  </w:style>
  <w:style w:type="paragraph" w:styleId="Pidipagina">
    <w:name w:val="footer"/>
    <w:basedOn w:val="Normale"/>
    <w:link w:val="PidipaginaCarattere"/>
    <w:uiPriority w:val="99"/>
    <w:semiHidden/>
    <w:unhideWhenUsed/>
    <w:rsid w:val="00CD2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29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F0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7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D2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9B6"/>
  </w:style>
  <w:style w:type="paragraph" w:styleId="Pidipagina">
    <w:name w:val="footer"/>
    <w:basedOn w:val="Normale"/>
    <w:link w:val="PidipaginaCarattere"/>
    <w:uiPriority w:val="99"/>
    <w:semiHidden/>
    <w:unhideWhenUsed/>
    <w:rsid w:val="00CD29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29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 Costa Alessandro</dc:creator>
  <cp:lastModifiedBy>Eleonora Cossa</cp:lastModifiedBy>
  <cp:revision>5</cp:revision>
  <dcterms:created xsi:type="dcterms:W3CDTF">2016-12-14T18:05:00Z</dcterms:created>
  <dcterms:modified xsi:type="dcterms:W3CDTF">2016-12-16T17:56:00Z</dcterms:modified>
</cp:coreProperties>
</file>