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4F0" w:rsidRPr="005744F0" w:rsidRDefault="005744F0" w:rsidP="005744F0">
      <w:pPr>
        <w:shd w:val="clear" w:color="auto" w:fill="FFFFFF"/>
        <w:spacing w:line="240" w:lineRule="auto"/>
        <w:jc w:val="both"/>
        <w:rPr>
          <w:rFonts w:eastAsia="Calibri" w:cs="Arial"/>
          <w:b/>
          <w:bCs/>
          <w:sz w:val="32"/>
          <w:szCs w:val="32"/>
          <w:lang w:val="it-IT" w:eastAsia="zh-TW"/>
        </w:rPr>
      </w:pPr>
      <w:r w:rsidRPr="005744F0">
        <w:rPr>
          <w:rFonts w:eastAsia="Calibri" w:cs="Arial"/>
          <w:b/>
          <w:bCs/>
          <w:sz w:val="32"/>
          <w:szCs w:val="32"/>
          <w:lang w:val="it-IT" w:eastAsia="zh-TW"/>
        </w:rPr>
        <w:t>Dabigatran: nuovi risultati evidenziano alti livelli di aderenza al trattamento nei pazienti con fibrillazione atriale non valvolare</w:t>
      </w:r>
    </w:p>
    <w:p w:rsidR="005744F0" w:rsidRPr="005744F0" w:rsidRDefault="005744F0" w:rsidP="005744F0">
      <w:pPr>
        <w:tabs>
          <w:tab w:val="left" w:pos="142"/>
        </w:tabs>
        <w:jc w:val="both"/>
        <w:rPr>
          <w:rFonts w:ascii="Cambria" w:hAnsi="Cambria" w:cs="Arial"/>
          <w:szCs w:val="20"/>
          <w:lang w:val="it-IT"/>
        </w:rPr>
      </w:pPr>
    </w:p>
    <w:p w:rsidR="005744F0" w:rsidRPr="005744F0" w:rsidRDefault="005744F0" w:rsidP="005744F0">
      <w:pPr>
        <w:numPr>
          <w:ilvl w:val="0"/>
          <w:numId w:val="4"/>
        </w:numPr>
        <w:spacing w:line="264" w:lineRule="auto"/>
        <w:ind w:left="360"/>
        <w:contextualSpacing/>
        <w:jc w:val="both"/>
        <w:rPr>
          <w:rFonts w:eastAsia="Calibri" w:cs="BISansNEXTCond-Bold"/>
          <w:bCs/>
          <w:i/>
          <w:szCs w:val="20"/>
          <w:lang w:val="it-IT"/>
        </w:rPr>
      </w:pPr>
      <w:r w:rsidRPr="005744F0">
        <w:rPr>
          <w:rFonts w:eastAsia="Calibri" w:cs="BISansNEXTCond-Bold"/>
          <w:bCs/>
          <w:i/>
          <w:szCs w:val="20"/>
          <w:lang w:val="it-IT"/>
        </w:rPr>
        <w:t xml:space="preserve">Nuovi risultati provenienti dal Registro GLORIA-AF, programma mondiale che ha analizzato quasi 3.000 pazienti affetti da fibrillazione atriale non valvolare </w:t>
      </w:r>
      <w:r w:rsidRPr="005744F0">
        <w:rPr>
          <w:rFonts w:eastAsia="Calibri" w:cs="BISansNEXTCond-Bold"/>
          <w:bCs/>
          <w:i/>
          <w:szCs w:val="20"/>
          <w:vertAlign w:val="superscript"/>
          <w:lang w:val="it-IT"/>
        </w:rPr>
        <w:t>1</w:t>
      </w:r>
    </w:p>
    <w:p w:rsidR="005744F0" w:rsidRPr="005744F0" w:rsidRDefault="005744F0" w:rsidP="005744F0">
      <w:pPr>
        <w:numPr>
          <w:ilvl w:val="0"/>
          <w:numId w:val="4"/>
        </w:numPr>
        <w:spacing w:line="264" w:lineRule="auto"/>
        <w:ind w:left="360"/>
        <w:contextualSpacing/>
        <w:jc w:val="both"/>
        <w:rPr>
          <w:rFonts w:eastAsia="Calibri" w:cs="BISansNEXTCond-Bold"/>
          <w:bCs/>
          <w:i/>
          <w:szCs w:val="20"/>
          <w:lang w:val="it-IT"/>
        </w:rPr>
      </w:pPr>
      <w:r w:rsidRPr="005744F0">
        <w:rPr>
          <w:rFonts w:eastAsia="Calibri" w:cs="BISansNEXTCond-Bold"/>
          <w:bCs/>
          <w:i/>
          <w:szCs w:val="20"/>
          <w:lang w:val="it-IT"/>
        </w:rPr>
        <w:t xml:space="preserve">I dati sono stati presentati al congresso annuale dell’American Society of Hematology (ASH) </w:t>
      </w:r>
      <w:r w:rsidRPr="005744F0">
        <w:rPr>
          <w:rFonts w:eastAsia="Calibri" w:cs="BISansNEXTCond-Bold"/>
          <w:bCs/>
          <w:i/>
          <w:szCs w:val="20"/>
          <w:vertAlign w:val="superscript"/>
          <w:lang w:val="it-IT"/>
        </w:rPr>
        <w:t>1</w:t>
      </w:r>
    </w:p>
    <w:p w:rsidR="005744F0" w:rsidRPr="005744F0" w:rsidRDefault="005744F0" w:rsidP="005744F0">
      <w:pPr>
        <w:spacing w:line="276" w:lineRule="auto"/>
        <w:jc w:val="both"/>
        <w:rPr>
          <w:rFonts w:ascii="Cambria" w:hAnsi="Cambria" w:cs="Arial"/>
          <w:b/>
          <w:bCs/>
          <w:szCs w:val="20"/>
          <w:lang w:val="it-IT"/>
        </w:rPr>
      </w:pPr>
    </w:p>
    <w:p w:rsidR="005744F0" w:rsidRPr="005744F0" w:rsidRDefault="005744F0" w:rsidP="005744F0">
      <w:pPr>
        <w:spacing w:line="264" w:lineRule="auto"/>
        <w:jc w:val="both"/>
        <w:rPr>
          <w:rFonts w:eastAsia="Calibri" w:cs="BISansNEXTCond-Bold"/>
          <w:bCs/>
          <w:szCs w:val="20"/>
          <w:vertAlign w:val="superscript"/>
          <w:lang w:val="it-IT" w:eastAsia="en-GB"/>
        </w:rPr>
      </w:pPr>
      <w:r w:rsidRPr="00500082">
        <w:rPr>
          <w:rFonts w:eastAsia="Times New Roman" w:cs="Arial"/>
          <w:b/>
          <w:color w:val="003366"/>
          <w:szCs w:val="20"/>
          <w:lang w:val="it-IT" w:eastAsia="de-DE"/>
        </w:rPr>
        <w:t>In</w:t>
      </w:r>
      <w:r w:rsidR="00EA2A1F">
        <w:rPr>
          <w:rFonts w:eastAsia="Times New Roman" w:cs="Arial"/>
          <w:b/>
          <w:color w:val="003366"/>
          <w:szCs w:val="20"/>
          <w:lang w:val="it-IT" w:eastAsia="de-DE"/>
        </w:rPr>
        <w:t>gelheim, Germania</w:t>
      </w:r>
      <w:r w:rsidRPr="00500082">
        <w:rPr>
          <w:rFonts w:eastAsia="Times New Roman" w:cs="Arial"/>
          <w:b/>
          <w:color w:val="003366"/>
          <w:szCs w:val="20"/>
          <w:lang w:val="it-IT" w:eastAsia="de-DE"/>
        </w:rPr>
        <w:t xml:space="preserve">, 5 dicembre 2016 </w:t>
      </w:r>
      <w:r w:rsidRPr="005744F0">
        <w:rPr>
          <w:rFonts w:eastAsia="Times New Roman" w:cs="Arial"/>
          <w:b/>
          <w:color w:val="003366"/>
          <w:szCs w:val="20"/>
          <w:lang w:val="it-IT" w:eastAsia="de-DE"/>
        </w:rPr>
        <w:t>-</w:t>
      </w:r>
      <w:r w:rsidRPr="005744F0">
        <w:rPr>
          <w:rFonts w:ascii="Arial" w:eastAsia="MS Mincho" w:hAnsi="Arial" w:cs="Arial"/>
          <w:szCs w:val="20"/>
          <w:lang w:val="it-IT" w:eastAsia="en-GB"/>
        </w:rPr>
        <w:t xml:space="preserve"> </w:t>
      </w:r>
      <w:r w:rsidRPr="005744F0">
        <w:rPr>
          <w:rFonts w:eastAsia="Times New Roman" w:cs="Arial"/>
          <w:bCs/>
          <w:szCs w:val="20"/>
          <w:lang w:val="it-IT" w:eastAsia="en-GB"/>
        </w:rPr>
        <w:t xml:space="preserve">Boehringer Ingelheim ha annunciato oggi i risultati di una nuova analisi del Programma di Registro GLORIA®-AF che ha evidenziato che, i pazienti con nuova diagnosi di fibrillazione atriale non valvolare (FANV), in trattamento con dabigatran </w:t>
      </w:r>
      <w:r>
        <w:rPr>
          <w:rFonts w:eastAsia="Times New Roman" w:cs="Arial"/>
          <w:bCs/>
          <w:szCs w:val="20"/>
          <w:lang w:val="it-IT" w:eastAsia="en-GB"/>
        </w:rPr>
        <w:t xml:space="preserve">etexilato, </w:t>
      </w:r>
      <w:r w:rsidRPr="005744F0">
        <w:rPr>
          <w:rFonts w:eastAsia="Times New Roman" w:cs="Arial"/>
          <w:bCs/>
          <w:szCs w:val="20"/>
          <w:lang w:val="it-IT" w:eastAsia="en-GB"/>
        </w:rPr>
        <w:t>hanno avuto una probabilità di rimanere in trattamento rispettivamente del 76,6% ad un anno e del 69,2% a due anni. I risultati sono stati presentati al congresso annuale della Società Americana di Ematologia</w:t>
      </w:r>
      <w:r>
        <w:rPr>
          <w:rFonts w:eastAsia="Times New Roman" w:cs="Arial"/>
          <w:bCs/>
          <w:szCs w:val="20"/>
          <w:lang w:val="it-IT" w:eastAsia="en-GB"/>
        </w:rPr>
        <w:t xml:space="preserve"> </w:t>
      </w:r>
      <w:r w:rsidRPr="005744F0">
        <w:rPr>
          <w:rFonts w:eastAsia="Times New Roman" w:cs="Arial"/>
          <w:bCs/>
          <w:szCs w:val="20"/>
          <w:lang w:val="it-IT" w:eastAsia="en-GB"/>
        </w:rPr>
        <w:t>(ASH) di Sa</w:t>
      </w:r>
      <w:bookmarkStart w:id="0" w:name="_GoBack"/>
      <w:bookmarkEnd w:id="0"/>
      <w:r w:rsidRPr="005744F0">
        <w:rPr>
          <w:rFonts w:eastAsia="Times New Roman" w:cs="Arial"/>
          <w:bCs/>
          <w:szCs w:val="20"/>
          <w:lang w:val="it-IT" w:eastAsia="en-GB"/>
        </w:rPr>
        <w:t>n Diego, CA.</w:t>
      </w:r>
      <w:r w:rsidRPr="005744F0">
        <w:rPr>
          <w:rFonts w:eastAsia="Calibri" w:cs="BISansNEXTCond-Bold"/>
          <w:bCs/>
          <w:szCs w:val="20"/>
          <w:vertAlign w:val="superscript"/>
          <w:lang w:val="it-IT" w:eastAsia="en-GB"/>
        </w:rPr>
        <w:t>1</w:t>
      </w:r>
    </w:p>
    <w:p w:rsidR="005744F0" w:rsidRPr="005744F0" w:rsidRDefault="005744F0" w:rsidP="005744F0">
      <w:pPr>
        <w:spacing w:line="264" w:lineRule="auto"/>
        <w:jc w:val="both"/>
        <w:rPr>
          <w:rFonts w:eastAsia="Times New Roman" w:cs="Arial"/>
          <w:bCs/>
          <w:szCs w:val="20"/>
          <w:lang w:val="it-IT" w:eastAsia="en-GB"/>
        </w:rPr>
      </w:pPr>
    </w:p>
    <w:p w:rsidR="005744F0" w:rsidRPr="005744F0" w:rsidRDefault="005744F0" w:rsidP="005744F0">
      <w:pPr>
        <w:spacing w:line="264" w:lineRule="auto"/>
        <w:jc w:val="both"/>
        <w:rPr>
          <w:rFonts w:eastAsia="Times New Roman" w:cs="Arial"/>
          <w:bCs/>
          <w:szCs w:val="20"/>
          <w:lang w:val="it-IT"/>
        </w:rPr>
      </w:pPr>
      <w:r w:rsidRPr="005744F0">
        <w:rPr>
          <w:rFonts w:eastAsia="Times New Roman" w:cs="Arial"/>
          <w:bCs/>
          <w:szCs w:val="20"/>
          <w:lang w:val="it-IT"/>
        </w:rPr>
        <w:t>“Il rischio di ictus nei pazienti con FANV è 5 volte superiore rispetto alla popolazione generale e l’obiettivo del trattamento anticoagulante è quell</w:t>
      </w:r>
      <w:r>
        <w:rPr>
          <w:rFonts w:eastAsia="Times New Roman" w:cs="Arial"/>
          <w:bCs/>
          <w:szCs w:val="20"/>
          <w:lang w:val="it-IT"/>
        </w:rPr>
        <w:t xml:space="preserve">o di ridurre questo rischio. È </w:t>
      </w:r>
      <w:r w:rsidRPr="005744F0">
        <w:rPr>
          <w:rFonts w:eastAsia="Times New Roman" w:cs="Arial"/>
          <w:bCs/>
          <w:szCs w:val="20"/>
          <w:lang w:val="it-IT"/>
        </w:rPr>
        <w:t xml:space="preserve">fondamentale che sia i medici sia i pazienti comprendano l’importanza di proseguire il </w:t>
      </w:r>
      <w:r>
        <w:rPr>
          <w:rFonts w:eastAsia="Times New Roman" w:cs="Arial"/>
          <w:bCs/>
          <w:szCs w:val="20"/>
          <w:lang w:val="it-IT"/>
        </w:rPr>
        <w:t>trattamento e</w:t>
      </w:r>
      <w:r w:rsidRPr="005744F0">
        <w:rPr>
          <w:rFonts w:eastAsia="Times New Roman" w:cs="Arial"/>
          <w:bCs/>
          <w:szCs w:val="20"/>
          <w:lang w:val="it-IT"/>
        </w:rPr>
        <w:t xml:space="preserve"> il rischio che potrebbe derivare dall’interruzione” ha dichiarato Jonathan Halperin, M.D., the Robert and Harriet Heilbrunn Professor of Medicine </w:t>
      </w:r>
      <w:r w:rsidR="00CE627D">
        <w:rPr>
          <w:rFonts w:eastAsia="Times New Roman" w:cs="Arial"/>
          <w:bCs/>
          <w:szCs w:val="20"/>
          <w:lang w:val="it-IT"/>
        </w:rPr>
        <w:t>presso la</w:t>
      </w:r>
      <w:r w:rsidRPr="005744F0">
        <w:rPr>
          <w:rFonts w:eastAsia="Times New Roman" w:cs="Arial"/>
          <w:bCs/>
          <w:szCs w:val="20"/>
          <w:lang w:val="it-IT"/>
        </w:rPr>
        <w:t xml:space="preserve"> Icahn School of Medicine del Mount Sinai, autore dello studio e componente dello </w:t>
      </w:r>
      <w:r w:rsidRPr="005744F0">
        <w:rPr>
          <w:rFonts w:eastAsia="Times New Roman" w:cs="Arial"/>
          <w:bCs/>
          <w:i/>
          <w:szCs w:val="20"/>
          <w:lang w:val="it-IT"/>
        </w:rPr>
        <w:t>Steering Committee</w:t>
      </w:r>
      <w:r w:rsidRPr="005744F0">
        <w:rPr>
          <w:rFonts w:eastAsia="Times New Roman" w:cs="Arial"/>
          <w:bCs/>
          <w:szCs w:val="20"/>
          <w:lang w:val="it-IT"/>
        </w:rPr>
        <w:t xml:space="preserve"> del GLORIA</w:t>
      </w:r>
      <w:r w:rsidRPr="005744F0">
        <w:rPr>
          <w:rFonts w:eastAsia="Times New Roman"/>
          <w:bCs/>
          <w:lang w:val="it-IT"/>
        </w:rPr>
        <w:t>®</w:t>
      </w:r>
      <w:r w:rsidRPr="005744F0">
        <w:rPr>
          <w:rFonts w:eastAsia="Times New Roman" w:cs="Arial"/>
          <w:bCs/>
          <w:szCs w:val="20"/>
          <w:lang w:val="it-IT"/>
        </w:rPr>
        <w:t>-AF. “In generale, quasi la metà dei pazienti interrompe la terapia anticoagulante orale dopo un solo anno, pertanto, constatare, in questa nuova analisi del Registro GLORIA</w:t>
      </w:r>
      <w:r w:rsidRPr="005744F0">
        <w:rPr>
          <w:rFonts w:eastAsia="Times New Roman"/>
          <w:bCs/>
          <w:lang w:val="it-IT"/>
        </w:rPr>
        <w:t>®</w:t>
      </w:r>
      <w:r w:rsidRPr="005744F0">
        <w:rPr>
          <w:rFonts w:eastAsia="Times New Roman" w:cs="Arial"/>
          <w:bCs/>
          <w:szCs w:val="20"/>
          <w:lang w:val="it-IT"/>
        </w:rPr>
        <w:t>-AF, alti livelli di aderenza al trattamento con dabigatran è estremamente incoraggiante.”</w:t>
      </w:r>
    </w:p>
    <w:p w:rsidR="005744F0" w:rsidRPr="005744F0" w:rsidRDefault="005744F0" w:rsidP="005744F0">
      <w:pPr>
        <w:spacing w:line="264" w:lineRule="auto"/>
        <w:jc w:val="both"/>
        <w:rPr>
          <w:rFonts w:eastAsia="Times New Roman" w:cs="Arial"/>
          <w:bCs/>
          <w:szCs w:val="20"/>
          <w:lang w:val="it-IT"/>
        </w:rPr>
      </w:pPr>
      <w:r w:rsidRPr="005744F0">
        <w:rPr>
          <w:rFonts w:eastAsia="Times New Roman" w:cs="Arial"/>
          <w:bCs/>
          <w:szCs w:val="20"/>
          <w:lang w:val="it-IT"/>
        </w:rPr>
        <w:lastRenderedPageBreak/>
        <w:t xml:space="preserve">L’analisi presenta dati </w:t>
      </w:r>
      <w:r w:rsidRPr="005744F0">
        <w:rPr>
          <w:rFonts w:eastAsia="Times New Roman" w:cs="Arial"/>
          <w:bCs/>
          <w:i/>
          <w:iCs/>
          <w:szCs w:val="20"/>
          <w:lang w:val="it-IT"/>
        </w:rPr>
        <w:t>real life</w:t>
      </w:r>
      <w:r w:rsidRPr="005744F0">
        <w:rPr>
          <w:rFonts w:eastAsia="Times New Roman" w:cs="Arial"/>
          <w:bCs/>
          <w:szCs w:val="20"/>
          <w:lang w:val="it-IT"/>
        </w:rPr>
        <w:t xml:space="preserve"> su 2.937 pazienti in trattamento con dabigatran in oltre 1.000 centri in 44 Paesi.</w:t>
      </w:r>
    </w:p>
    <w:p w:rsidR="005744F0" w:rsidRPr="005744F0" w:rsidRDefault="005744F0" w:rsidP="005744F0">
      <w:pPr>
        <w:spacing w:line="264" w:lineRule="auto"/>
        <w:jc w:val="both"/>
        <w:rPr>
          <w:rFonts w:eastAsia="Times New Roman" w:cs="Times New Roman"/>
          <w:szCs w:val="20"/>
          <w:lang w:val="it-IT"/>
        </w:rPr>
      </w:pPr>
      <w:r w:rsidRPr="005744F0">
        <w:rPr>
          <w:rFonts w:eastAsia="Times New Roman" w:cs="Arial"/>
          <w:bCs/>
          <w:szCs w:val="20"/>
          <w:lang w:val="it-IT"/>
        </w:rPr>
        <w:t xml:space="preserve">L’88% dei pazienti era stato considerato ad alto rischio di ictus (ad es. con punteggio </w:t>
      </w:r>
      <w:r w:rsidRPr="005744F0">
        <w:rPr>
          <w:rFonts w:eastAsia="Times New Roman" w:cs="Arial"/>
          <w:szCs w:val="20"/>
          <w:shd w:val="clear" w:color="auto" w:fill="FFFFFF"/>
          <w:lang w:val="it-IT"/>
        </w:rPr>
        <w:t>CHA</w:t>
      </w:r>
      <w:r w:rsidRPr="005744F0">
        <w:rPr>
          <w:rFonts w:eastAsia="Times New Roman" w:cs="Times New Roman"/>
          <w:szCs w:val="20"/>
          <w:vertAlign w:val="subscript"/>
          <w:lang w:val="it-IT"/>
        </w:rPr>
        <w:t>2</w:t>
      </w:r>
      <w:r w:rsidRPr="005744F0">
        <w:rPr>
          <w:rFonts w:eastAsia="Times New Roman" w:cs="Times New Roman"/>
          <w:szCs w:val="20"/>
          <w:lang w:val="it-IT"/>
        </w:rPr>
        <w:t>DS</w:t>
      </w:r>
      <w:r w:rsidRPr="005744F0">
        <w:rPr>
          <w:rFonts w:eastAsia="Times New Roman" w:cs="Times New Roman"/>
          <w:szCs w:val="20"/>
          <w:vertAlign w:val="subscript"/>
          <w:lang w:val="it-IT"/>
        </w:rPr>
        <w:t>2</w:t>
      </w:r>
      <w:r w:rsidRPr="005744F0">
        <w:rPr>
          <w:rFonts w:eastAsia="Times New Roman" w:cs="Times New Roman"/>
          <w:szCs w:val="20"/>
          <w:lang w:val="it-IT"/>
        </w:rPr>
        <w:t>-VASc pari o superiore a 2), e diversi pazienti presentavano altre patologie concomitanti alla FANV, come ipertensione (78.9%), diabete (22.7%) e scompenso cardiaco (24.9%).</w:t>
      </w:r>
      <w:r w:rsidRPr="005744F0">
        <w:rPr>
          <w:rFonts w:eastAsia="Calibri" w:cs="BISansNEXTCond-Bold"/>
          <w:bCs/>
          <w:szCs w:val="20"/>
          <w:vertAlign w:val="superscript"/>
          <w:lang w:val="it-IT"/>
        </w:rPr>
        <w:t>1</w:t>
      </w:r>
    </w:p>
    <w:p w:rsidR="005744F0" w:rsidRPr="005744F0" w:rsidRDefault="005744F0" w:rsidP="005744F0">
      <w:pPr>
        <w:spacing w:line="264" w:lineRule="auto"/>
        <w:jc w:val="both"/>
        <w:rPr>
          <w:rFonts w:eastAsia="Times New Roman" w:cs="Arial"/>
          <w:bCs/>
          <w:szCs w:val="20"/>
          <w:lang w:val="it-IT"/>
        </w:rPr>
      </w:pPr>
    </w:p>
    <w:p w:rsidR="005744F0" w:rsidRPr="005744F0" w:rsidRDefault="005744F0" w:rsidP="005744F0">
      <w:pPr>
        <w:spacing w:line="264" w:lineRule="auto"/>
        <w:jc w:val="both"/>
        <w:rPr>
          <w:rFonts w:eastAsia="Times New Roman" w:cs="Arial"/>
          <w:bCs/>
          <w:szCs w:val="20"/>
          <w:lang w:val="it-IT"/>
        </w:rPr>
      </w:pPr>
      <w:r w:rsidRPr="005744F0">
        <w:rPr>
          <w:rFonts w:eastAsia="Times New Roman" w:cs="Arial"/>
          <w:bCs/>
          <w:szCs w:val="20"/>
          <w:lang w:val="it-IT"/>
        </w:rPr>
        <w:t>“</w:t>
      </w:r>
      <w:r>
        <w:rPr>
          <w:rFonts w:eastAsia="Times New Roman" w:cs="Arial"/>
          <w:bCs/>
          <w:szCs w:val="20"/>
          <w:lang w:val="it-IT"/>
        </w:rPr>
        <w:t>Quest’</w:t>
      </w:r>
      <w:r w:rsidRPr="005744F0">
        <w:rPr>
          <w:rFonts w:eastAsia="Times New Roman" w:cs="Arial"/>
          <w:bCs/>
          <w:szCs w:val="20"/>
          <w:lang w:val="it-IT"/>
        </w:rPr>
        <w:t xml:space="preserve">ultima analisi del Registro </w:t>
      </w:r>
      <w:r w:rsidRPr="005744F0">
        <w:rPr>
          <w:rFonts w:eastAsia="Times New Roman"/>
          <w:bCs/>
          <w:lang w:val="it-IT"/>
        </w:rPr>
        <w:t>GLORIA®-AF evidenzia che la maggioranza dei pazienti in trattamento con dabigatran segue</w:t>
      </w:r>
      <w:r>
        <w:rPr>
          <w:rFonts w:eastAsia="Times New Roman"/>
          <w:bCs/>
          <w:lang w:val="it-IT"/>
        </w:rPr>
        <w:t xml:space="preserve"> </w:t>
      </w:r>
      <w:r w:rsidRPr="005744F0">
        <w:rPr>
          <w:rFonts w:eastAsia="Times New Roman"/>
          <w:bCs/>
          <w:lang w:val="it-IT"/>
        </w:rPr>
        <w:t>il trattamento come prescritto dal medico. “Comprendere come i farmaci vengano utilizzati nella pratica clinica quotidiana e le ragioni per cui alcuni pazienti interrompano la cura, ci permetterà di dare supporto alla classe medica nell’identificare nuove modalità per migliorare gli outcome</w:t>
      </w:r>
      <w:r>
        <w:rPr>
          <w:rFonts w:eastAsia="Times New Roman"/>
          <w:bCs/>
          <w:lang w:val="it-IT"/>
        </w:rPr>
        <w:t xml:space="preserve">, </w:t>
      </w:r>
      <w:r w:rsidRPr="005744F0">
        <w:rPr>
          <w:rFonts w:eastAsia="Times New Roman"/>
          <w:bCs/>
          <w:lang w:val="it-IT"/>
        </w:rPr>
        <w:t>ha dichiarato il Prof</w:t>
      </w:r>
      <w:r w:rsidRPr="005744F0">
        <w:rPr>
          <w:rFonts w:eastAsia="Times New Roman" w:cs="Arial"/>
          <w:bCs/>
          <w:szCs w:val="20"/>
          <w:lang w:val="it-IT"/>
        </w:rPr>
        <w:t xml:space="preserve"> Jörg Kreuzer, Vice President Medicine, Therapeutic Area Cardiovascular, Boehringer Ingelheim.</w:t>
      </w:r>
      <w:r w:rsidRPr="005744F0" w:rsidDel="00E65EC2">
        <w:rPr>
          <w:rFonts w:eastAsia="Times New Roman" w:cs="Arial"/>
          <w:bCs/>
          <w:szCs w:val="20"/>
          <w:lang w:val="it-IT"/>
        </w:rPr>
        <w:t xml:space="preserve"> </w:t>
      </w:r>
      <w:r w:rsidRPr="005744F0">
        <w:rPr>
          <w:rFonts w:eastAsia="Times New Roman" w:cs="Arial"/>
          <w:bCs/>
          <w:szCs w:val="20"/>
          <w:lang w:val="it-IT"/>
        </w:rPr>
        <w:t>“dabigatran è l’unico anticoagulante orale non-antagonista della vitamina K per il quale esista, e sia disponibile in tutto il mondo, un inattivatore specifico.</w:t>
      </w:r>
    </w:p>
    <w:p w:rsidR="005744F0" w:rsidRPr="005744F0" w:rsidRDefault="005744F0" w:rsidP="005744F0">
      <w:pPr>
        <w:spacing w:line="264" w:lineRule="auto"/>
        <w:jc w:val="both"/>
        <w:rPr>
          <w:rFonts w:eastAsia="Times New Roman" w:cs="Arial"/>
          <w:bCs/>
          <w:szCs w:val="20"/>
          <w:lang w:val="it-IT"/>
        </w:rPr>
      </w:pPr>
      <w:r w:rsidRPr="005744F0">
        <w:rPr>
          <w:rFonts w:eastAsia="Times New Roman" w:cs="Arial"/>
          <w:bCs/>
          <w:szCs w:val="20"/>
          <w:lang w:val="it-IT"/>
        </w:rPr>
        <w:t xml:space="preserve">Questo aspetto, unitamente all’ampio </w:t>
      </w:r>
      <w:r w:rsidRPr="005744F0">
        <w:rPr>
          <w:rFonts w:eastAsia="Times New Roman" w:cs="Arial"/>
          <w:bCs/>
          <w:i/>
          <w:iCs/>
          <w:szCs w:val="20"/>
          <w:lang w:val="it-IT"/>
        </w:rPr>
        <w:t>corpus</w:t>
      </w:r>
      <w:r w:rsidRPr="005744F0">
        <w:rPr>
          <w:rFonts w:eastAsia="Times New Roman" w:cs="Arial"/>
          <w:bCs/>
          <w:szCs w:val="20"/>
          <w:lang w:val="it-IT"/>
        </w:rPr>
        <w:t xml:space="preserve"> di dati proveniente dalla pratica clinica nella vita reale, offre a medici, pazienti e </w:t>
      </w:r>
      <w:r>
        <w:rPr>
          <w:rFonts w:eastAsia="Times New Roman" w:cs="Arial"/>
          <w:bCs/>
          <w:szCs w:val="20"/>
          <w:lang w:val="it-IT"/>
        </w:rPr>
        <w:t xml:space="preserve">ai </w:t>
      </w:r>
      <w:r w:rsidRPr="005744F0">
        <w:rPr>
          <w:rFonts w:eastAsia="Times New Roman" w:cs="Arial"/>
          <w:bCs/>
          <w:szCs w:val="20"/>
          <w:lang w:val="it-IT"/>
        </w:rPr>
        <w:t>loro familiari un’ulteriore rassicurazione nella riduzione del rischio di ictus nei pazienti con fibrillazione atriale non valvolare”</w:t>
      </w:r>
    </w:p>
    <w:p w:rsidR="005744F0" w:rsidRPr="005744F0" w:rsidRDefault="005744F0" w:rsidP="005744F0">
      <w:pPr>
        <w:spacing w:line="264" w:lineRule="auto"/>
        <w:jc w:val="both"/>
        <w:rPr>
          <w:rFonts w:cs="Arial"/>
          <w:b/>
          <w:bCs/>
          <w:color w:val="003366"/>
          <w:lang w:val="it-IT"/>
        </w:rPr>
      </w:pPr>
    </w:p>
    <w:p w:rsidR="005744F0" w:rsidRDefault="005744F0" w:rsidP="005744F0">
      <w:pPr>
        <w:spacing w:line="264" w:lineRule="auto"/>
        <w:jc w:val="both"/>
        <w:rPr>
          <w:rFonts w:cs="Arial"/>
          <w:b/>
          <w:bCs/>
          <w:color w:val="003366"/>
          <w:lang w:val="en-US"/>
        </w:rPr>
      </w:pPr>
      <w:r>
        <w:rPr>
          <w:rFonts w:cs="Arial"/>
          <w:b/>
          <w:bCs/>
          <w:color w:val="003366"/>
          <w:lang w:val="en-US"/>
        </w:rPr>
        <w:t xml:space="preserve">NOTE PER I GIORNALISTI </w:t>
      </w:r>
    </w:p>
    <w:p w:rsidR="005744F0" w:rsidRDefault="005744F0" w:rsidP="005744F0">
      <w:pPr>
        <w:spacing w:line="264" w:lineRule="auto"/>
        <w:jc w:val="both"/>
        <w:rPr>
          <w:rFonts w:cs="Arial"/>
          <w:b/>
          <w:bCs/>
          <w:color w:val="003366"/>
          <w:lang w:val="en-US"/>
        </w:rPr>
      </w:pPr>
    </w:p>
    <w:p w:rsidR="005744F0" w:rsidRPr="005744F0" w:rsidRDefault="005744F0" w:rsidP="005744F0">
      <w:pPr>
        <w:spacing w:line="264" w:lineRule="auto"/>
        <w:jc w:val="both"/>
        <w:rPr>
          <w:b/>
          <w:bCs/>
          <w:color w:val="003366"/>
          <w:szCs w:val="20"/>
          <w:lang w:val="en-US"/>
        </w:rPr>
      </w:pPr>
      <w:r w:rsidRPr="005744F0">
        <w:rPr>
          <w:b/>
          <w:bCs/>
          <w:color w:val="003366"/>
          <w:szCs w:val="20"/>
          <w:lang w:val="en-US"/>
        </w:rPr>
        <w:t>GLORIA®-AF (</w:t>
      </w:r>
      <w:r w:rsidRPr="00E1252B">
        <w:rPr>
          <w:b/>
          <w:bCs/>
          <w:i/>
          <w:color w:val="003366"/>
          <w:szCs w:val="20"/>
          <w:lang w:val="en-US"/>
        </w:rPr>
        <w:t>Global Registry on Long-Term Oral Antithrombotic Treatment in Patients with Atrial Fibrillation</w:t>
      </w:r>
      <w:r w:rsidRPr="005744F0">
        <w:rPr>
          <w:b/>
          <w:bCs/>
          <w:color w:val="003366"/>
          <w:szCs w:val="20"/>
          <w:lang w:val="en-US"/>
        </w:rPr>
        <w:t>)</w:t>
      </w:r>
      <w:r w:rsidR="00500082" w:rsidRPr="00500082">
        <w:rPr>
          <w:rFonts w:cs="Times New Roman"/>
          <w:b/>
          <w:bCs/>
          <w:color w:val="003366"/>
          <w:vertAlign w:val="superscript"/>
          <w:lang w:val="en-GB" w:eastAsia="de-DE"/>
        </w:rPr>
        <w:t xml:space="preserve"> 2</w:t>
      </w:r>
    </w:p>
    <w:p w:rsidR="005744F0" w:rsidRPr="005744F0" w:rsidRDefault="005744F0" w:rsidP="005744F0">
      <w:pPr>
        <w:spacing w:line="264" w:lineRule="auto"/>
        <w:jc w:val="both"/>
        <w:rPr>
          <w:szCs w:val="20"/>
          <w:lang w:val="it-IT"/>
        </w:rPr>
      </w:pPr>
      <w:r w:rsidRPr="005744F0">
        <w:rPr>
          <w:rFonts w:eastAsia="MS Mincho"/>
          <w:bCs/>
          <w:szCs w:val="20"/>
          <w:lang w:val="it-IT" w:eastAsia="en-GB"/>
        </w:rPr>
        <w:t xml:space="preserve">GLORIA®-AF </w:t>
      </w:r>
      <w:r w:rsidRPr="005744F0">
        <w:rPr>
          <w:szCs w:val="20"/>
          <w:lang w:val="it-IT"/>
        </w:rPr>
        <w:t>è uno dei maggiori programmi di registro mondiale sull’utilizzo a lungo termine di terapie anticoagulanti orali per la prevenzione dell’ictus correlato a fibrillazione atriale non valvolare, nella pratica clinica quotidiana</w:t>
      </w:r>
      <w:r w:rsidRPr="005744F0">
        <w:rPr>
          <w:rFonts w:eastAsia="MS Mincho"/>
          <w:bCs/>
          <w:szCs w:val="20"/>
          <w:lang w:val="it-IT" w:eastAsia="en-GB"/>
        </w:rPr>
        <w:t>.</w:t>
      </w:r>
      <w:r w:rsidRPr="005744F0">
        <w:rPr>
          <w:rFonts w:eastAsia="MS Mincho"/>
          <w:bCs/>
          <w:szCs w:val="20"/>
          <w:vertAlign w:val="superscript"/>
          <w:lang w:val="it-IT" w:eastAsia="en-GB"/>
        </w:rPr>
        <w:t>2</w:t>
      </w:r>
      <w:r w:rsidR="00E1252B">
        <w:rPr>
          <w:rFonts w:eastAsia="MS Mincho"/>
          <w:bCs/>
          <w:szCs w:val="20"/>
          <w:lang w:val="it-IT" w:eastAsia="en-GB"/>
        </w:rPr>
        <w:t xml:space="preserve"> </w:t>
      </w:r>
      <w:r w:rsidRPr="005744F0">
        <w:rPr>
          <w:rFonts w:eastAsia="MS Mincho"/>
          <w:bCs/>
          <w:szCs w:val="20"/>
          <w:lang w:val="it-IT" w:eastAsia="en-GB"/>
        </w:rPr>
        <w:t>Il Registr</w:t>
      </w:r>
      <w:r w:rsidR="00E1252B">
        <w:rPr>
          <w:rFonts w:eastAsia="MS Mincho"/>
          <w:bCs/>
          <w:szCs w:val="20"/>
          <w:lang w:val="it-IT" w:eastAsia="en-GB"/>
        </w:rPr>
        <w:t xml:space="preserve">o esamina </w:t>
      </w:r>
      <w:r w:rsidRPr="005744F0">
        <w:rPr>
          <w:rFonts w:eastAsia="MS Mincho"/>
          <w:bCs/>
          <w:szCs w:val="20"/>
          <w:lang w:val="it-IT" w:eastAsia="en-GB"/>
        </w:rPr>
        <w:t>i comportamenti prescrittivi dei medici nel trattare la fibrillazione atriale, oltre ai fattori che guidano le loro decisioni. Lo studio raccoglie</w:t>
      </w:r>
      <w:r w:rsidR="00E1252B">
        <w:rPr>
          <w:rFonts w:eastAsia="MS Mincho"/>
          <w:bCs/>
          <w:szCs w:val="20"/>
          <w:lang w:val="it-IT" w:eastAsia="en-GB"/>
        </w:rPr>
        <w:t xml:space="preserve"> i</w:t>
      </w:r>
      <w:r w:rsidRPr="005744F0">
        <w:rPr>
          <w:rFonts w:eastAsia="MS Mincho"/>
          <w:bCs/>
          <w:szCs w:val="20"/>
          <w:lang w:val="it-IT" w:eastAsia="en-GB"/>
        </w:rPr>
        <w:t xml:space="preserve"> dati sulla sicurezza e sull’efficacia a lungo termine di una serie di anticoagulanti compresi </w:t>
      </w:r>
      <w:r w:rsidRPr="005744F0">
        <w:rPr>
          <w:rFonts w:eastAsia="MS Mincho"/>
          <w:bCs/>
          <w:szCs w:val="20"/>
          <w:lang w:val="it-IT" w:eastAsia="en-GB"/>
        </w:rPr>
        <w:lastRenderedPageBreak/>
        <w:t xml:space="preserve">warfarin, acido acetilsalicilico (aspirina) e </w:t>
      </w:r>
      <w:r w:rsidRPr="005744F0">
        <w:rPr>
          <w:lang w:val="it-IT"/>
        </w:rPr>
        <w:t>anticoagulanti orali diversi dagli antagonisti della vitamina K</w:t>
      </w:r>
      <w:r w:rsidRPr="005744F0">
        <w:rPr>
          <w:rFonts w:eastAsia="MS Mincho"/>
          <w:bCs/>
          <w:szCs w:val="20"/>
          <w:lang w:val="it-IT" w:eastAsia="en-GB"/>
        </w:rPr>
        <w:t>, per la prevenzione dell’ictus nella fibrillazione atriale, oltre ai dati sugli esiti nei pazienti.</w:t>
      </w:r>
      <w:r w:rsidR="00E1252B">
        <w:rPr>
          <w:rFonts w:eastAsia="MS Mincho"/>
          <w:bCs/>
          <w:szCs w:val="20"/>
          <w:vertAlign w:val="superscript"/>
          <w:lang w:val="it-IT" w:eastAsia="en-GB"/>
        </w:rPr>
        <w:t>2</w:t>
      </w:r>
      <w:r w:rsidRPr="005744F0">
        <w:rPr>
          <w:rFonts w:eastAsia="MS Mincho"/>
          <w:bCs/>
          <w:szCs w:val="20"/>
          <w:lang w:val="it-IT" w:eastAsia="en-GB"/>
        </w:rPr>
        <w:br/>
      </w:r>
    </w:p>
    <w:p w:rsidR="005744F0" w:rsidRPr="005744F0" w:rsidRDefault="005744F0" w:rsidP="005744F0">
      <w:pPr>
        <w:spacing w:line="264" w:lineRule="auto"/>
        <w:jc w:val="both"/>
        <w:rPr>
          <w:rFonts w:eastAsia="MS Mincho"/>
          <w:bCs/>
          <w:szCs w:val="20"/>
          <w:lang w:val="it-IT" w:eastAsia="en-GB"/>
        </w:rPr>
      </w:pPr>
      <w:r w:rsidRPr="005744F0">
        <w:rPr>
          <w:rFonts w:eastAsia="MS Mincho"/>
          <w:bCs/>
          <w:szCs w:val="20"/>
          <w:lang w:val="it-IT" w:eastAsia="en-GB"/>
        </w:rPr>
        <w:t xml:space="preserve">Il Programma di Registro arruolerà </w:t>
      </w:r>
      <w:r w:rsidRPr="005744F0">
        <w:rPr>
          <w:szCs w:val="20"/>
          <w:lang w:val="it-IT"/>
        </w:rPr>
        <w:t xml:space="preserve">sino a 56.000 pazienti, con nuova diagnosi di fibrillazione atriale a rischio di ictus e coinvolgerà sino a </w:t>
      </w:r>
      <w:r w:rsidRPr="005744F0">
        <w:rPr>
          <w:rFonts w:eastAsia="MS Mincho"/>
          <w:bCs/>
          <w:szCs w:val="20"/>
          <w:lang w:val="it-IT" w:eastAsia="en-GB"/>
        </w:rPr>
        <w:t>2.200 centri in quasi 50 Paesi.</w:t>
      </w:r>
      <w:r w:rsidRPr="005744F0">
        <w:rPr>
          <w:rFonts w:eastAsia="MS Mincho"/>
          <w:bCs/>
          <w:szCs w:val="20"/>
          <w:vertAlign w:val="superscript"/>
          <w:lang w:val="it-IT" w:eastAsia="en-GB"/>
        </w:rPr>
        <w:t>2</w:t>
      </w:r>
      <w:r w:rsidRPr="005744F0">
        <w:rPr>
          <w:rFonts w:eastAsia="MS Mincho"/>
          <w:bCs/>
          <w:szCs w:val="20"/>
          <w:lang w:val="it-IT" w:eastAsia="en-GB"/>
        </w:rPr>
        <w:t xml:space="preserve"> </w:t>
      </w:r>
    </w:p>
    <w:p w:rsidR="005744F0" w:rsidRPr="005744F0" w:rsidRDefault="005744F0" w:rsidP="005744F0">
      <w:pPr>
        <w:spacing w:line="264" w:lineRule="auto"/>
        <w:jc w:val="both"/>
        <w:rPr>
          <w:rFonts w:eastAsia="MS Mincho"/>
          <w:bCs/>
          <w:szCs w:val="20"/>
          <w:lang w:val="it-IT" w:eastAsia="en-GB"/>
        </w:rPr>
      </w:pPr>
    </w:p>
    <w:p w:rsidR="005744F0" w:rsidRPr="005744F0" w:rsidRDefault="005744F0" w:rsidP="005744F0">
      <w:pPr>
        <w:spacing w:line="264" w:lineRule="auto"/>
        <w:jc w:val="both"/>
        <w:rPr>
          <w:rFonts w:eastAsia="MS Mincho"/>
          <w:bCs/>
          <w:szCs w:val="20"/>
          <w:lang w:val="it-IT" w:eastAsia="en-GB"/>
        </w:rPr>
      </w:pPr>
      <w:r w:rsidRPr="005744F0">
        <w:rPr>
          <w:rFonts w:eastAsia="MS Mincho"/>
          <w:bCs/>
          <w:szCs w:val="20"/>
          <w:lang w:val="it-IT" w:eastAsia="en-GB"/>
        </w:rPr>
        <w:t xml:space="preserve">Per maggiori informazioni: </w:t>
      </w:r>
    </w:p>
    <w:p w:rsidR="005744F0" w:rsidRPr="000D5000" w:rsidRDefault="00EA2A1F" w:rsidP="005744F0">
      <w:pPr>
        <w:spacing w:line="264" w:lineRule="auto"/>
        <w:jc w:val="both"/>
        <w:rPr>
          <w:rFonts w:eastAsia="MS Mincho"/>
          <w:bCs/>
          <w:szCs w:val="20"/>
          <w:lang w:val="it-IT" w:eastAsia="en-GB"/>
        </w:rPr>
      </w:pPr>
      <w:hyperlink r:id="rId11" w:history="1">
        <w:r w:rsidR="005744F0" w:rsidRPr="000D5000">
          <w:rPr>
            <w:rFonts w:eastAsia="MS Mincho"/>
            <w:bCs/>
            <w:szCs w:val="20"/>
            <w:u w:val="single"/>
            <w:lang w:val="it-IT" w:eastAsia="en-GB"/>
          </w:rPr>
          <w:t>https://www.gloria-af.com/public/about.html</w:t>
        </w:r>
      </w:hyperlink>
      <w:r w:rsidR="005744F0" w:rsidRPr="000D5000">
        <w:rPr>
          <w:rFonts w:eastAsia="MS Mincho"/>
          <w:bCs/>
          <w:szCs w:val="20"/>
          <w:lang w:val="it-IT" w:eastAsia="en-GB"/>
        </w:rPr>
        <w:t xml:space="preserve"> </w:t>
      </w:r>
    </w:p>
    <w:p w:rsidR="005744F0" w:rsidRPr="005744F0" w:rsidRDefault="005744F0" w:rsidP="005744F0">
      <w:pPr>
        <w:spacing w:line="264" w:lineRule="auto"/>
        <w:jc w:val="both"/>
        <w:rPr>
          <w:rFonts w:eastAsia="MS Mincho"/>
          <w:bCs/>
          <w:szCs w:val="20"/>
          <w:lang w:val="it-IT" w:eastAsia="en-GB"/>
        </w:rPr>
      </w:pPr>
    </w:p>
    <w:p w:rsidR="005744F0" w:rsidRPr="005744F0" w:rsidRDefault="005744F0" w:rsidP="005744F0">
      <w:pPr>
        <w:shd w:val="clear" w:color="auto" w:fill="FFFFFF"/>
        <w:spacing w:line="264" w:lineRule="auto"/>
        <w:jc w:val="both"/>
        <w:rPr>
          <w:rFonts w:eastAsia="Times New Roman" w:cs="Times New Roman"/>
          <w:b/>
          <w:bCs/>
          <w:szCs w:val="20"/>
          <w:lang w:val="it-IT" w:eastAsia="de-DE"/>
        </w:rPr>
      </w:pPr>
      <w:r w:rsidRPr="005744F0">
        <w:rPr>
          <w:rFonts w:eastAsia="Times New Roman" w:cs="Arial"/>
          <w:b/>
          <w:color w:val="003366"/>
          <w:szCs w:val="20"/>
          <w:lang w:val="it-IT" w:eastAsia="de-DE"/>
        </w:rPr>
        <w:t>Dabigatran etexilato</w:t>
      </w:r>
    </w:p>
    <w:p w:rsidR="005744F0" w:rsidRPr="005744F0" w:rsidRDefault="005744F0" w:rsidP="00E1252B">
      <w:pPr>
        <w:pStyle w:val="Default"/>
        <w:spacing w:line="264" w:lineRule="auto"/>
        <w:ind w:right="-46"/>
        <w:jc w:val="both"/>
        <w:rPr>
          <w:sz w:val="20"/>
          <w:szCs w:val="20"/>
          <w:lang w:val="it-IT"/>
        </w:rPr>
      </w:pPr>
      <w:r w:rsidRPr="005744F0">
        <w:rPr>
          <w:sz w:val="20"/>
          <w:szCs w:val="20"/>
          <w:lang w:val="it-IT"/>
        </w:rPr>
        <w:t>L’esperienza c</w:t>
      </w:r>
      <w:r w:rsidR="00E1252B" w:rsidRPr="00E1252B">
        <w:rPr>
          <w:sz w:val="20"/>
          <w:szCs w:val="20"/>
          <w:lang w:val="it-IT"/>
        </w:rPr>
        <w:t>linica con dabigatran supera i 5</w:t>
      </w:r>
      <w:r w:rsidRPr="005744F0">
        <w:rPr>
          <w:sz w:val="20"/>
          <w:szCs w:val="20"/>
          <w:lang w:val="it-IT"/>
        </w:rPr>
        <w:t xml:space="preserve"> milioni di anni/paziente per tutte le indicazioni per cui il farmaco è stato approvato nel mondo.</w:t>
      </w:r>
      <w:r w:rsidR="00E1252B" w:rsidRPr="00E1252B">
        <w:rPr>
          <w:sz w:val="20"/>
          <w:szCs w:val="20"/>
          <w:vertAlign w:val="superscript"/>
          <w:lang w:val="it-IT"/>
        </w:rPr>
        <w:t>3</w:t>
      </w:r>
      <w:r w:rsidRPr="005744F0">
        <w:rPr>
          <w:sz w:val="20"/>
          <w:szCs w:val="20"/>
          <w:lang w:val="it-IT"/>
        </w:rPr>
        <w:t xml:space="preserve"> Dabigatran è sul mercato da oltre 7 anni ed è approvato in più di 100 Paesi.</w:t>
      </w:r>
      <w:r w:rsidR="00E1252B" w:rsidRPr="00E1252B">
        <w:rPr>
          <w:sz w:val="20"/>
          <w:szCs w:val="20"/>
          <w:vertAlign w:val="superscript"/>
          <w:lang w:val="it-IT"/>
        </w:rPr>
        <w:t xml:space="preserve"> 3,4</w:t>
      </w:r>
    </w:p>
    <w:p w:rsidR="00500082" w:rsidRDefault="00500082" w:rsidP="005744F0">
      <w:pPr>
        <w:widowControl w:val="0"/>
        <w:autoSpaceDE w:val="0"/>
        <w:autoSpaceDN w:val="0"/>
        <w:adjustRightInd w:val="0"/>
        <w:spacing w:line="264" w:lineRule="auto"/>
        <w:ind w:right="-46"/>
        <w:jc w:val="both"/>
        <w:rPr>
          <w:rFonts w:eastAsia="Times New Roman" w:cs="BISans"/>
          <w:color w:val="000000"/>
          <w:szCs w:val="20"/>
          <w:lang w:val="it-IT"/>
        </w:rPr>
      </w:pPr>
    </w:p>
    <w:p w:rsidR="005744F0" w:rsidRPr="005744F0" w:rsidRDefault="005744F0" w:rsidP="005744F0">
      <w:pPr>
        <w:widowControl w:val="0"/>
        <w:autoSpaceDE w:val="0"/>
        <w:autoSpaceDN w:val="0"/>
        <w:adjustRightInd w:val="0"/>
        <w:spacing w:line="264" w:lineRule="auto"/>
        <w:ind w:right="-46"/>
        <w:jc w:val="both"/>
        <w:rPr>
          <w:rFonts w:eastAsia="Times New Roman" w:cs="BISans"/>
          <w:color w:val="000000"/>
          <w:szCs w:val="20"/>
          <w:lang w:val="it-IT"/>
        </w:rPr>
      </w:pPr>
      <w:r w:rsidRPr="005744F0">
        <w:rPr>
          <w:rFonts w:eastAsia="Times New Roman" w:cs="BISans"/>
          <w:color w:val="000000"/>
          <w:szCs w:val="20"/>
          <w:lang w:val="it-IT"/>
        </w:rPr>
        <w:t>Le indicazioni per cui dabigatran è attualmente approvato sono le seguenti:</w:t>
      </w:r>
      <w:r w:rsidR="00E1252B" w:rsidRPr="008168EE">
        <w:rPr>
          <w:rFonts w:cs="BISans"/>
          <w:szCs w:val="20"/>
          <w:vertAlign w:val="superscript"/>
          <w:lang w:val="it-IT"/>
        </w:rPr>
        <w:t xml:space="preserve"> 4,5</w:t>
      </w:r>
    </w:p>
    <w:p w:rsidR="008B21DC" w:rsidRPr="008168EE" w:rsidRDefault="008B21DC" w:rsidP="008B21DC">
      <w:pPr>
        <w:pStyle w:val="Paragrafoelenco"/>
        <w:numPr>
          <w:ilvl w:val="0"/>
          <w:numId w:val="43"/>
        </w:numPr>
        <w:suppressAutoHyphens/>
        <w:spacing w:line="264" w:lineRule="auto"/>
        <w:rPr>
          <w:rFonts w:eastAsia="Times New Roman" w:cs="BISans"/>
          <w:color w:val="000000"/>
          <w:lang w:val="it-IT" w:eastAsia="en-US"/>
        </w:rPr>
      </w:pPr>
      <w:r w:rsidRPr="008168EE">
        <w:rPr>
          <w:rFonts w:eastAsia="Times New Roman" w:cs="BISans"/>
          <w:color w:val="000000"/>
          <w:lang w:val="it-IT" w:eastAsia="en-US"/>
        </w:rPr>
        <w:t xml:space="preserve">Prevenzione di ictus e embolia sistemica in pazienti adulti con fibrillazione atriale non-valvolare (FANV), con uno o più fattori di rischio, quali precedente ictus o attacco ischemico transitorio (TIA); età </w:t>
      </w:r>
      <w:r w:rsidR="008168EE" w:rsidRPr="008168EE">
        <w:rPr>
          <w:rFonts w:eastAsia="Times New Roman" w:cs="BISans"/>
          <w:color w:val="000000"/>
          <w:lang w:val="it-IT" w:eastAsia="en-US"/>
        </w:rPr>
        <w:t xml:space="preserve">75 </w:t>
      </w:r>
      <w:r w:rsidRPr="008168EE">
        <w:rPr>
          <w:rFonts w:eastAsia="Times New Roman" w:cs="BISans"/>
          <w:color w:val="000000"/>
          <w:lang w:val="it-IT" w:eastAsia="en-US"/>
        </w:rPr>
        <w:t xml:space="preserve">anni; insufficienza cardiaca (Classe NYHA </w:t>
      </w:r>
      <w:r w:rsidRPr="008168EE">
        <w:rPr>
          <w:rFonts w:ascii="Times New Roman" w:eastAsia="Times New Roman" w:hAnsi="Times New Roman"/>
          <w:color w:val="000000"/>
          <w:lang w:val="it-IT" w:eastAsia="en-US"/>
        </w:rPr>
        <w:t>≥</w:t>
      </w:r>
      <w:r w:rsidRPr="008168EE">
        <w:rPr>
          <w:rFonts w:eastAsia="Times New Roman" w:cs="BISans"/>
          <w:color w:val="000000"/>
          <w:lang w:val="it-IT" w:eastAsia="en-US"/>
        </w:rPr>
        <w:t> II); diabete mellito; ipertensione.</w:t>
      </w:r>
    </w:p>
    <w:p w:rsidR="008B21DC" w:rsidRPr="008168EE" w:rsidRDefault="008B21DC" w:rsidP="008B21DC">
      <w:pPr>
        <w:pStyle w:val="Paragrafoelenco"/>
        <w:numPr>
          <w:ilvl w:val="0"/>
          <w:numId w:val="43"/>
        </w:numPr>
        <w:suppressAutoHyphens/>
        <w:spacing w:line="264" w:lineRule="auto"/>
        <w:rPr>
          <w:rFonts w:eastAsia="Times New Roman" w:cs="BISans"/>
          <w:color w:val="000000"/>
          <w:lang w:val="it-IT" w:eastAsia="en-US"/>
        </w:rPr>
      </w:pPr>
      <w:r w:rsidRPr="008168EE">
        <w:rPr>
          <w:rFonts w:eastAsia="Times New Roman" w:cs="BISans"/>
          <w:color w:val="000000"/>
          <w:lang w:val="it-IT" w:eastAsia="en-US"/>
        </w:rPr>
        <w:t>Prevenzione primaria di episodi tromboembolici in pazienti adulti sottoposti a chirurgia sostitutiva elettiva totale dell’anca o del ginocchio.</w:t>
      </w:r>
    </w:p>
    <w:p w:rsidR="008B21DC" w:rsidRPr="008168EE" w:rsidRDefault="008B21DC" w:rsidP="008B21DC">
      <w:pPr>
        <w:pStyle w:val="Paragrafoelenco"/>
        <w:keepNext w:val="0"/>
        <w:keepLines w:val="0"/>
        <w:widowControl/>
        <w:numPr>
          <w:ilvl w:val="0"/>
          <w:numId w:val="43"/>
        </w:numPr>
        <w:suppressAutoHyphens/>
        <w:spacing w:line="264" w:lineRule="auto"/>
        <w:rPr>
          <w:rFonts w:eastAsia="Times New Roman" w:cs="BISans"/>
          <w:color w:val="000000"/>
          <w:lang w:val="it-IT" w:eastAsia="en-US"/>
        </w:rPr>
      </w:pPr>
      <w:r w:rsidRPr="008168EE">
        <w:rPr>
          <w:rFonts w:eastAsia="Times New Roman" w:cs="BISans"/>
          <w:color w:val="000000"/>
          <w:lang w:val="it-IT" w:eastAsia="en-US"/>
        </w:rPr>
        <w:t>Trattamento della trombosi venosa profonda (TVP) e dell’embolia polmonare (EP) e prevenzione delle recidive di TVP e EP negli adulti.</w:t>
      </w:r>
    </w:p>
    <w:p w:rsidR="005744F0" w:rsidRPr="005744F0" w:rsidRDefault="005744F0" w:rsidP="005744F0">
      <w:pPr>
        <w:spacing w:line="264" w:lineRule="auto"/>
        <w:jc w:val="both"/>
        <w:rPr>
          <w:rFonts w:cs="BISans"/>
          <w:color w:val="000000"/>
          <w:szCs w:val="20"/>
          <w:lang w:val="it-IT"/>
        </w:rPr>
      </w:pPr>
    </w:p>
    <w:p w:rsidR="005744F0" w:rsidRPr="005744F0" w:rsidRDefault="005744F0" w:rsidP="005744F0">
      <w:pPr>
        <w:spacing w:line="264" w:lineRule="auto"/>
        <w:jc w:val="both"/>
        <w:rPr>
          <w:rFonts w:cs="BISans"/>
          <w:color w:val="000000"/>
          <w:szCs w:val="20"/>
          <w:lang w:val="it-IT"/>
        </w:rPr>
      </w:pPr>
      <w:r w:rsidRPr="005744F0">
        <w:rPr>
          <w:rFonts w:cs="BISans"/>
          <w:color w:val="000000"/>
          <w:szCs w:val="20"/>
          <w:lang w:val="it-IT"/>
        </w:rPr>
        <w:t xml:space="preserve">Dabigatran, che è un inibitore diretto della trombina (IDT), è stato il primo farmaco di una nuova generazione di anticoagulanti orali ad azione diretta ad essere approvato e disponibile sul mercato per </w:t>
      </w:r>
      <w:r w:rsidRPr="005744F0">
        <w:rPr>
          <w:rFonts w:cs="BISans"/>
          <w:color w:val="000000"/>
          <w:szCs w:val="20"/>
          <w:lang w:val="it-IT"/>
        </w:rPr>
        <w:lastRenderedPageBreak/>
        <w:t>rispondere a un forte bisogno insoddisfatto di terapie per la prevenzione e il trattamento delle malattie tromboemboliche acute e croniche.</w:t>
      </w:r>
      <w:r w:rsidR="00294B8F" w:rsidRPr="00294B8F">
        <w:rPr>
          <w:rFonts w:cs="BISans"/>
          <w:color w:val="000000"/>
          <w:szCs w:val="20"/>
          <w:vertAlign w:val="superscript"/>
          <w:lang w:val="it-IT"/>
        </w:rPr>
        <w:t xml:space="preserve"> 4,6</w:t>
      </w:r>
      <w:r w:rsidR="00294B8F" w:rsidRPr="00294B8F">
        <w:rPr>
          <w:rFonts w:cs="BISans"/>
          <w:color w:val="000000"/>
          <w:szCs w:val="20"/>
          <w:lang w:val="it-IT"/>
        </w:rPr>
        <w:t xml:space="preserve"> </w:t>
      </w:r>
      <w:r w:rsidRPr="005744F0">
        <w:rPr>
          <w:rFonts w:cs="BISans"/>
          <w:color w:val="000000"/>
          <w:szCs w:val="20"/>
          <w:lang w:val="it-IT"/>
        </w:rPr>
        <w:t>Gli inibitori diretti della trombina ottengono potenti effetti antitrombotici, bloccando in maniera specifica l’attività della trombina, l’enzima centrale nel processo di formazione di coaguli (trombi).</w:t>
      </w:r>
      <w:r w:rsidR="00294B8F" w:rsidRPr="00294B8F">
        <w:rPr>
          <w:rFonts w:cstheme="minorHAnsi"/>
          <w:color w:val="000000"/>
          <w:szCs w:val="20"/>
          <w:vertAlign w:val="superscript"/>
          <w:lang w:val="it-IT"/>
        </w:rPr>
        <w:t>7</w:t>
      </w:r>
      <w:r w:rsidR="00294B8F">
        <w:rPr>
          <w:rFonts w:cstheme="minorHAnsi"/>
          <w:color w:val="000000"/>
          <w:szCs w:val="20"/>
          <w:vertAlign w:val="superscript"/>
          <w:lang w:val="it-IT"/>
        </w:rPr>
        <w:t xml:space="preserve"> </w:t>
      </w:r>
      <w:r w:rsidRPr="005744F0">
        <w:rPr>
          <w:rFonts w:cs="BISans"/>
          <w:color w:val="000000"/>
          <w:szCs w:val="20"/>
          <w:lang w:val="it-IT"/>
        </w:rPr>
        <w:t>A differenza degli antagonisti della vitamina K, che agiscono in maniera variabile, tramite i diversi fattori della coagulazione, dabigatran realizza un’anticoagulazione efficace, prevedibile e riproducibile con basso potenziale di interazione con altri farmaci e nessuna interazione con il cibo, senza richiedere il monitoraggio regolare della coagulazione né aggiustamenti di dosaggio.</w:t>
      </w:r>
      <w:r w:rsidR="00294B8F" w:rsidRPr="00294B8F">
        <w:rPr>
          <w:rFonts w:cs="BISans"/>
          <w:color w:val="000000"/>
          <w:szCs w:val="20"/>
          <w:vertAlign w:val="superscript"/>
          <w:lang w:val="it-IT"/>
        </w:rPr>
        <w:t>6,8</w:t>
      </w:r>
    </w:p>
    <w:p w:rsidR="005744F0" w:rsidRPr="005744F0" w:rsidRDefault="005744F0" w:rsidP="005744F0">
      <w:pPr>
        <w:spacing w:line="264" w:lineRule="auto"/>
        <w:jc w:val="both"/>
        <w:rPr>
          <w:rFonts w:cs="BISans"/>
          <w:color w:val="000000"/>
          <w:szCs w:val="20"/>
          <w:lang w:val="it-IT"/>
        </w:rPr>
      </w:pPr>
    </w:p>
    <w:p w:rsidR="00294B8F" w:rsidRPr="008168EE" w:rsidRDefault="000D5000" w:rsidP="00294B8F">
      <w:pPr>
        <w:spacing w:line="264" w:lineRule="auto"/>
        <w:jc w:val="both"/>
        <w:rPr>
          <w:rFonts w:cs="BISans"/>
          <w:color w:val="000000"/>
          <w:szCs w:val="20"/>
          <w:lang w:val="it-IT"/>
        </w:rPr>
      </w:pPr>
      <w:r w:rsidRPr="000D5000">
        <w:rPr>
          <w:rFonts w:cs="BISans"/>
          <w:color w:val="000000"/>
          <w:szCs w:val="20"/>
          <w:lang w:val="it-IT"/>
        </w:rPr>
        <w:t>Dabigatran è l’unico nuovo anticoagulante orale per cui esiste un farmaco approvato che ne inattiva in maniera specifica l’effetto. Idarucizumab è approvato nell’Unione Europea e negli Stati Uniti per l’impiego in pazienti adulti trattati con dabigatran, qualora si renda necessario inattivare rapidamente l’effetto anticoagulante prima di procedere con interventi chirurgici d’urgenza/interventi di emergenza o in caso di sanguinamento non controllato o che possa mettere a rischio la vita del paziente</w:t>
      </w:r>
      <w:r>
        <w:rPr>
          <w:rFonts w:cs="BISans"/>
          <w:color w:val="000000"/>
          <w:szCs w:val="20"/>
          <w:lang w:val="it-IT"/>
        </w:rPr>
        <w:t>.</w:t>
      </w:r>
      <w:r w:rsidR="00294B8F" w:rsidRPr="008168EE">
        <w:rPr>
          <w:rFonts w:cs="Arial"/>
          <w:szCs w:val="20"/>
          <w:vertAlign w:val="superscript"/>
          <w:lang w:val="it-IT"/>
        </w:rPr>
        <w:t>9,10</w:t>
      </w:r>
    </w:p>
    <w:p w:rsidR="005744F0" w:rsidRPr="005744F0" w:rsidRDefault="005744F0" w:rsidP="005744F0">
      <w:pPr>
        <w:spacing w:line="264" w:lineRule="auto"/>
        <w:rPr>
          <w:b/>
          <w:bCs/>
          <w:color w:val="003366"/>
          <w:lang w:val="it-IT"/>
        </w:rPr>
      </w:pPr>
    </w:p>
    <w:p w:rsidR="005744F0" w:rsidRPr="005744F0" w:rsidRDefault="005744F0" w:rsidP="005744F0">
      <w:pPr>
        <w:spacing w:line="264" w:lineRule="auto"/>
        <w:rPr>
          <w:b/>
          <w:bCs/>
          <w:color w:val="003366"/>
          <w:lang w:val="it-IT"/>
        </w:rPr>
      </w:pPr>
      <w:r w:rsidRPr="005744F0">
        <w:rPr>
          <w:b/>
          <w:bCs/>
          <w:color w:val="003366"/>
          <w:lang w:val="it-IT"/>
        </w:rPr>
        <w:t xml:space="preserve">Boehringer Ingelheim </w:t>
      </w:r>
    </w:p>
    <w:p w:rsidR="005744F0" w:rsidRPr="005744F0" w:rsidRDefault="005744F0" w:rsidP="005744F0">
      <w:pPr>
        <w:spacing w:line="264" w:lineRule="auto"/>
        <w:jc w:val="both"/>
        <w:rPr>
          <w:lang w:val="it-IT"/>
        </w:rPr>
      </w:pPr>
      <w:r w:rsidRPr="005744F0">
        <w:rPr>
          <w:lang w:val="it-IT"/>
        </w:rPr>
        <w:t xml:space="preserve">Il gruppo Boehringer Ingelheim è una delle prime 20 aziende farmaceutiche del mondo. Il gruppo ha sede a Ingelheim, Germania, e opera a livello globale con 147 affiliate e circa 47.500 dipendenti. Fondata nel 1885, l’azienda a proprietà familiare si dedica a ricerca, sviluppo, produzione e commercializzazione di prodotti innovativi dall’elevato valore terapeutico nel campo della medicina e della veterinaria.  </w:t>
      </w:r>
    </w:p>
    <w:p w:rsidR="000D5000" w:rsidRDefault="000D5000" w:rsidP="005744F0">
      <w:pPr>
        <w:spacing w:line="264" w:lineRule="auto"/>
        <w:jc w:val="both"/>
        <w:rPr>
          <w:lang w:val="it-IT"/>
        </w:rPr>
      </w:pPr>
    </w:p>
    <w:p w:rsidR="005744F0" w:rsidRPr="005744F0" w:rsidRDefault="005744F0" w:rsidP="005744F0">
      <w:pPr>
        <w:spacing w:line="264" w:lineRule="auto"/>
        <w:jc w:val="both"/>
        <w:rPr>
          <w:lang w:val="it-IT"/>
        </w:rPr>
      </w:pPr>
      <w:r w:rsidRPr="005744F0">
        <w:rPr>
          <w:lang w:val="it-IT"/>
        </w:rPr>
        <w:t>Operare in maniera socialmente responsabile è un punto centrale della cultura e dell’impegno di Boehringer Ingelheim. La partecipazione a progetti sociali in tutto il mondo, quali ad esempio l’iniziativa "</w:t>
      </w:r>
      <w:r w:rsidRPr="005744F0">
        <w:rPr>
          <w:i/>
          <w:lang w:val="it-IT"/>
        </w:rPr>
        <w:t xml:space="preserve">Making </w:t>
      </w:r>
      <w:r w:rsidRPr="005744F0">
        <w:rPr>
          <w:i/>
          <w:lang w:val="it-IT"/>
        </w:rPr>
        <w:lastRenderedPageBreak/>
        <w:t>more Health</w:t>
      </w:r>
      <w:r w:rsidRPr="005744F0">
        <w:rPr>
          <w:lang w:val="it-IT"/>
        </w:rPr>
        <w:t xml:space="preserve">", e l’attenzione per i propri dipendenti sono parte di questo impegno di responsabilità sociale, così come lo sono il rispetto, le pari opportunità e la conciliazione dei tempi di lavoro e della famiglia che costituiscono le fondamenta della mutua collaborazione fra l’azienda e i suoi dipendenti, e l’attenzione all’ambiente, alla sua tutela e sostenibilità, che sono sottese in ogni attività che Boehringer Ingelheim intraprende.  </w:t>
      </w:r>
    </w:p>
    <w:p w:rsidR="000D5000" w:rsidRDefault="000D5000" w:rsidP="005744F0">
      <w:pPr>
        <w:spacing w:line="264" w:lineRule="auto"/>
        <w:jc w:val="both"/>
        <w:rPr>
          <w:lang w:val="it-IT"/>
        </w:rPr>
      </w:pPr>
    </w:p>
    <w:p w:rsidR="00500082" w:rsidRDefault="005744F0" w:rsidP="005744F0">
      <w:pPr>
        <w:spacing w:line="264" w:lineRule="auto"/>
        <w:jc w:val="both"/>
        <w:rPr>
          <w:lang w:val="it-IT"/>
        </w:rPr>
      </w:pPr>
      <w:r w:rsidRPr="005744F0">
        <w:rPr>
          <w:lang w:val="it-IT"/>
        </w:rPr>
        <w:t>Nel 2015, Boehringer Ingelheim ha registrato un fatturato netto di circa 14,8 miliardi di euro e investimenti in ricerca e sviluppo pari al 20,3 percento del suo fatturato netto.</w:t>
      </w:r>
      <w:r w:rsidR="00500082">
        <w:rPr>
          <w:lang w:val="it-IT"/>
        </w:rPr>
        <w:t xml:space="preserve"> </w:t>
      </w:r>
    </w:p>
    <w:p w:rsidR="00500082" w:rsidRDefault="00500082" w:rsidP="005744F0">
      <w:pPr>
        <w:spacing w:line="264" w:lineRule="auto"/>
        <w:jc w:val="both"/>
        <w:rPr>
          <w:lang w:val="it-IT"/>
        </w:rPr>
      </w:pPr>
    </w:p>
    <w:p w:rsidR="005744F0" w:rsidRPr="005744F0" w:rsidRDefault="005744F0" w:rsidP="005744F0">
      <w:pPr>
        <w:spacing w:line="264" w:lineRule="auto"/>
        <w:jc w:val="both"/>
        <w:rPr>
          <w:lang w:val="it-IT"/>
        </w:rPr>
      </w:pPr>
      <w:r w:rsidRPr="005744F0">
        <w:rPr>
          <w:lang w:val="it-IT"/>
        </w:rPr>
        <w:t xml:space="preserve">Per maggiori informazioni visitate il sito </w:t>
      </w:r>
    </w:p>
    <w:p w:rsidR="005744F0" w:rsidRPr="005744F0" w:rsidRDefault="005744F0" w:rsidP="005744F0">
      <w:pPr>
        <w:spacing w:line="264" w:lineRule="auto"/>
        <w:jc w:val="both"/>
        <w:rPr>
          <w:lang w:val="it-IT"/>
        </w:rPr>
      </w:pPr>
      <w:r w:rsidRPr="005744F0">
        <w:rPr>
          <w:lang w:val="it-IT"/>
        </w:rPr>
        <w:t>www.boehringer-ingelheim.com</w:t>
      </w:r>
    </w:p>
    <w:p w:rsidR="005744F0" w:rsidRPr="005744F0" w:rsidRDefault="005744F0" w:rsidP="005744F0">
      <w:pPr>
        <w:spacing w:line="264" w:lineRule="auto"/>
        <w:rPr>
          <w:b/>
          <w:bCs/>
          <w:color w:val="003366"/>
          <w:lang w:val="it-IT"/>
        </w:rPr>
      </w:pPr>
    </w:p>
    <w:p w:rsidR="005744F0" w:rsidRPr="005744F0" w:rsidRDefault="005744F0" w:rsidP="005744F0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eastAsia="Times New Roman" w:cs="BISans"/>
          <w:i/>
          <w:iCs/>
          <w:color w:val="000000"/>
          <w:sz w:val="18"/>
          <w:szCs w:val="18"/>
          <w:lang w:val="it-IT"/>
        </w:rPr>
      </w:pPr>
      <w:r w:rsidRPr="005744F0">
        <w:rPr>
          <w:rFonts w:eastAsia="Times New Roman" w:cs="BISans"/>
          <w:i/>
          <w:iCs/>
          <w:color w:val="000000"/>
          <w:sz w:val="18"/>
          <w:szCs w:val="18"/>
          <w:lang w:val="it-IT"/>
        </w:rPr>
        <w:t xml:space="preserve">Il presente comunicato stampa è stato emesso dalla Sede Centrale del Gruppo a Ingelheim, in Germania, ed è volto a informare sul nostro business a livello internazionale. Sappiate che le informazioni sullo stato di approvazione e le indicazioni dei prodotti approvati possono variare da Paese a Paese e potrebbero essere state diramate in un comunicato stampa specifico sull’argomento nei Paesi in cui operiamo. </w:t>
      </w:r>
    </w:p>
    <w:p w:rsidR="005744F0" w:rsidRPr="005744F0" w:rsidRDefault="005744F0" w:rsidP="005744F0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eastAsia="Times New Roman" w:cs="BISans"/>
          <w:i/>
          <w:iCs/>
          <w:color w:val="000000"/>
          <w:sz w:val="18"/>
          <w:szCs w:val="18"/>
          <w:lang w:val="it-IT"/>
        </w:rPr>
      </w:pPr>
    </w:p>
    <w:p w:rsidR="005744F0" w:rsidRPr="00500082" w:rsidRDefault="005744F0" w:rsidP="005744F0">
      <w:pPr>
        <w:spacing w:line="264" w:lineRule="auto"/>
        <w:rPr>
          <w:b/>
          <w:bCs/>
          <w:color w:val="003366"/>
          <w:sz w:val="18"/>
          <w:szCs w:val="18"/>
          <w:lang w:val="it-IT"/>
        </w:rPr>
      </w:pPr>
      <w:r w:rsidRPr="00500082">
        <w:rPr>
          <w:b/>
          <w:bCs/>
          <w:color w:val="003366"/>
          <w:sz w:val="18"/>
          <w:szCs w:val="18"/>
          <w:lang w:val="it-IT"/>
        </w:rPr>
        <w:t>Ulteriori canali di comunicazione</w:t>
      </w:r>
    </w:p>
    <w:p w:rsidR="0074045B" w:rsidRPr="0074045B" w:rsidRDefault="0074045B" w:rsidP="0074045B">
      <w:pPr>
        <w:spacing w:line="264" w:lineRule="auto"/>
        <w:jc w:val="both"/>
        <w:rPr>
          <w:sz w:val="18"/>
          <w:szCs w:val="18"/>
          <w:lang w:val="it-IT"/>
        </w:rPr>
      </w:pPr>
      <w:r w:rsidRPr="0074045B">
        <w:rPr>
          <w:sz w:val="18"/>
          <w:szCs w:val="18"/>
          <w:lang w:val="it-IT"/>
        </w:rPr>
        <w:t>www.facebook.com/boehringeringelheim</w:t>
      </w:r>
    </w:p>
    <w:p w:rsidR="0074045B" w:rsidRPr="0074045B" w:rsidRDefault="00EA2A1F" w:rsidP="0074045B">
      <w:pPr>
        <w:spacing w:line="264" w:lineRule="auto"/>
        <w:jc w:val="both"/>
        <w:rPr>
          <w:sz w:val="18"/>
          <w:szCs w:val="18"/>
          <w:lang w:val="it-IT"/>
        </w:rPr>
      </w:pPr>
      <w:hyperlink r:id="rId12" w:history="1">
        <w:r w:rsidR="0074045B" w:rsidRPr="00500082">
          <w:rPr>
            <w:sz w:val="18"/>
            <w:szCs w:val="18"/>
            <w:lang w:val="it-IT"/>
          </w:rPr>
          <w:t>www.twitter.com/Boehringer</w:t>
        </w:r>
      </w:hyperlink>
    </w:p>
    <w:p w:rsidR="0074045B" w:rsidRPr="00500082" w:rsidRDefault="00EA2A1F" w:rsidP="0074045B">
      <w:pPr>
        <w:spacing w:line="264" w:lineRule="auto"/>
        <w:jc w:val="both"/>
        <w:rPr>
          <w:rFonts w:eastAsia="Times New Roman" w:cs="Arial"/>
          <w:sz w:val="18"/>
          <w:szCs w:val="18"/>
          <w:lang w:val="it-IT"/>
        </w:rPr>
      </w:pPr>
      <w:hyperlink r:id="rId13" w:history="1">
        <w:r w:rsidR="0074045B" w:rsidRPr="00500082">
          <w:rPr>
            <w:rFonts w:cs="Arial"/>
            <w:sz w:val="18"/>
            <w:szCs w:val="18"/>
            <w:lang w:val="it-IT"/>
          </w:rPr>
          <w:t>www.youtube.com/user/boehringeringelheim</w:t>
        </w:r>
      </w:hyperlink>
    </w:p>
    <w:p w:rsidR="0074045B" w:rsidRPr="00500082" w:rsidRDefault="0074045B" w:rsidP="0074045B">
      <w:pPr>
        <w:spacing w:line="264" w:lineRule="auto"/>
        <w:jc w:val="both"/>
        <w:rPr>
          <w:sz w:val="18"/>
          <w:szCs w:val="18"/>
          <w:lang w:val="it-IT"/>
        </w:rPr>
      </w:pPr>
      <w:r w:rsidRPr="00500082">
        <w:rPr>
          <w:rFonts w:cs="Arial"/>
          <w:sz w:val="18"/>
          <w:szCs w:val="18"/>
          <w:lang w:val="it-IT"/>
        </w:rPr>
        <w:t>www.youtube.com/user/CVTV</w:t>
      </w:r>
    </w:p>
    <w:p w:rsidR="0074045B" w:rsidRPr="00500082" w:rsidRDefault="00EA2A1F" w:rsidP="0074045B">
      <w:pPr>
        <w:spacing w:line="264" w:lineRule="auto"/>
        <w:jc w:val="both"/>
        <w:rPr>
          <w:rFonts w:cs="Arial"/>
          <w:bCs/>
          <w:sz w:val="18"/>
          <w:szCs w:val="18"/>
          <w:lang w:val="it-IT"/>
        </w:rPr>
      </w:pPr>
      <w:hyperlink r:id="rId14" w:history="1">
        <w:r w:rsidR="0074045B" w:rsidRPr="00500082">
          <w:rPr>
            <w:rFonts w:cs="Arial"/>
            <w:sz w:val="18"/>
            <w:szCs w:val="18"/>
            <w:lang w:val="it-IT"/>
          </w:rPr>
          <w:t>www.pinterest.com/biglobal</w:t>
        </w:r>
      </w:hyperlink>
    </w:p>
    <w:p w:rsidR="0074045B" w:rsidRPr="0074045B" w:rsidRDefault="00EA2A1F" w:rsidP="0074045B">
      <w:pPr>
        <w:spacing w:line="264" w:lineRule="auto"/>
        <w:jc w:val="both"/>
        <w:rPr>
          <w:rFonts w:cs="Arial"/>
          <w:bCs/>
          <w:sz w:val="18"/>
          <w:szCs w:val="18"/>
          <w:lang w:val="it-IT"/>
        </w:rPr>
      </w:pPr>
      <w:hyperlink r:id="rId15" w:history="1">
        <w:r w:rsidR="0074045B" w:rsidRPr="00500082">
          <w:rPr>
            <w:rFonts w:cs="Arial"/>
            <w:bCs/>
            <w:sz w:val="18"/>
            <w:szCs w:val="18"/>
            <w:lang w:val="it-IT"/>
          </w:rPr>
          <w:t>www.instagram.com/boehringer_ingelheim</w:t>
        </w:r>
      </w:hyperlink>
    </w:p>
    <w:p w:rsidR="005744F0" w:rsidRPr="005744F0" w:rsidRDefault="005744F0" w:rsidP="005744F0">
      <w:pPr>
        <w:spacing w:line="264" w:lineRule="auto"/>
        <w:jc w:val="both"/>
        <w:rPr>
          <w:rFonts w:cs="Arial"/>
          <w:bCs/>
          <w:sz w:val="18"/>
          <w:szCs w:val="18"/>
          <w:lang w:val="it-IT"/>
        </w:rPr>
      </w:pPr>
    </w:p>
    <w:p w:rsidR="00500082" w:rsidRDefault="00500082" w:rsidP="00500082">
      <w:pPr>
        <w:keepNext/>
        <w:keepLines/>
        <w:outlineLvl w:val="1"/>
        <w:rPr>
          <w:rFonts w:eastAsia="Times New Roman" w:cs="Times New Roman"/>
          <w:b/>
          <w:bCs/>
          <w:color w:val="003366"/>
          <w:sz w:val="18"/>
          <w:szCs w:val="18"/>
          <w:lang w:val="it-IT"/>
        </w:rPr>
      </w:pPr>
      <w:r w:rsidRPr="00500082">
        <w:rPr>
          <w:rFonts w:eastAsia="Times New Roman" w:cs="Times New Roman"/>
          <w:b/>
          <w:bCs/>
          <w:color w:val="003366"/>
          <w:sz w:val="18"/>
          <w:szCs w:val="18"/>
          <w:lang w:val="it-IT"/>
        </w:rPr>
        <w:t>Contatti:</w:t>
      </w:r>
    </w:p>
    <w:p w:rsidR="00500082" w:rsidRPr="00500082" w:rsidRDefault="00500082" w:rsidP="00500082">
      <w:pPr>
        <w:keepNext/>
        <w:keepLines/>
        <w:outlineLvl w:val="1"/>
        <w:rPr>
          <w:rFonts w:eastAsia="Times New Roman" w:cs="Times New Roman"/>
          <w:b/>
          <w:bCs/>
          <w:color w:val="003366"/>
          <w:sz w:val="18"/>
          <w:szCs w:val="18"/>
          <w:lang w:val="it-IT"/>
        </w:rPr>
      </w:pPr>
    </w:p>
    <w:p w:rsidR="00500082" w:rsidRPr="00500082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it-IT"/>
        </w:rPr>
      </w:pPr>
      <w:r w:rsidRPr="00500082">
        <w:rPr>
          <w:rFonts w:cs="Times New Roman"/>
          <w:noProof/>
          <w:sz w:val="18"/>
          <w:szCs w:val="18"/>
          <w:lang w:val="it-IT"/>
        </w:rPr>
        <w:t>Marina Guffanti</w:t>
      </w:r>
    </w:p>
    <w:p w:rsidR="00500082" w:rsidRPr="00500082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it-IT"/>
        </w:rPr>
      </w:pPr>
      <w:r w:rsidRPr="00500082">
        <w:rPr>
          <w:rFonts w:cs="Times New Roman"/>
          <w:noProof/>
          <w:sz w:val="18"/>
          <w:szCs w:val="18"/>
          <w:lang w:val="it-IT"/>
        </w:rPr>
        <w:t>Comunicazione</w:t>
      </w:r>
    </w:p>
    <w:p w:rsidR="00500082" w:rsidRPr="00500082" w:rsidRDefault="00500082" w:rsidP="00500082">
      <w:pPr>
        <w:spacing w:line="240" w:lineRule="auto"/>
        <w:rPr>
          <w:rFonts w:cs="Times New Roman"/>
          <w:b/>
          <w:noProof/>
          <w:sz w:val="18"/>
          <w:szCs w:val="18"/>
          <w:lang w:val="it-IT"/>
        </w:rPr>
      </w:pPr>
      <w:r w:rsidRPr="00500082">
        <w:rPr>
          <w:rFonts w:cs="Times New Roman"/>
          <w:b/>
          <w:noProof/>
          <w:sz w:val="18"/>
          <w:szCs w:val="18"/>
          <w:lang w:val="it-IT"/>
        </w:rPr>
        <w:lastRenderedPageBreak/>
        <w:t>Boehringer Ingelheim Italia SpA</w:t>
      </w:r>
    </w:p>
    <w:p w:rsidR="00500082" w:rsidRPr="008168EE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fr-FR"/>
        </w:rPr>
      </w:pPr>
      <w:r w:rsidRPr="008168EE">
        <w:rPr>
          <w:rFonts w:cs="Times New Roman"/>
          <w:noProof/>
          <w:sz w:val="18"/>
          <w:szCs w:val="18"/>
          <w:lang w:val="fr-FR"/>
        </w:rPr>
        <w:t>Phone:  + 39 – 02 5355453</w:t>
      </w:r>
    </w:p>
    <w:p w:rsidR="00500082" w:rsidRPr="008168EE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fr-FR"/>
        </w:rPr>
      </w:pPr>
      <w:r w:rsidRPr="008168EE">
        <w:rPr>
          <w:rFonts w:cs="Times New Roman"/>
          <w:noProof/>
          <w:sz w:val="18"/>
          <w:szCs w:val="18"/>
          <w:lang w:val="fr-FR"/>
        </w:rPr>
        <w:t>Cell.     +39 348 3995284</w:t>
      </w:r>
    </w:p>
    <w:p w:rsidR="00500082" w:rsidRPr="008168EE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fr-FR"/>
        </w:rPr>
      </w:pPr>
      <w:r w:rsidRPr="008168EE">
        <w:rPr>
          <w:rFonts w:cs="Times New Roman"/>
          <w:noProof/>
          <w:sz w:val="18"/>
          <w:szCs w:val="18"/>
          <w:lang w:val="fr-FR"/>
        </w:rPr>
        <w:t xml:space="preserve">e-mail:  </w:t>
      </w:r>
      <w:hyperlink r:id="rId16" w:history="1">
        <w:r w:rsidRPr="008168EE">
          <w:rPr>
            <w:rFonts w:cs="Times New Roman"/>
            <w:noProof/>
            <w:sz w:val="18"/>
            <w:szCs w:val="18"/>
            <w:lang w:val="fr-FR"/>
          </w:rPr>
          <w:t>marina.guffanti@boehringer-ingelheim.com</w:t>
        </w:r>
      </w:hyperlink>
    </w:p>
    <w:p w:rsidR="00500082" w:rsidRPr="008168EE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fr-FR"/>
        </w:rPr>
      </w:pPr>
    </w:p>
    <w:p w:rsidR="00500082" w:rsidRPr="008168EE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fr-FR"/>
        </w:rPr>
      </w:pPr>
      <w:r w:rsidRPr="008168EE">
        <w:rPr>
          <w:rFonts w:cs="Times New Roman"/>
          <w:noProof/>
          <w:sz w:val="18"/>
          <w:szCs w:val="18"/>
          <w:lang w:val="fr-FR"/>
        </w:rPr>
        <w:t>Maria Luisa Paleari</w:t>
      </w:r>
    </w:p>
    <w:p w:rsidR="00500082" w:rsidRPr="008168EE" w:rsidRDefault="00500082" w:rsidP="00500082">
      <w:pPr>
        <w:spacing w:line="240" w:lineRule="auto"/>
        <w:rPr>
          <w:rFonts w:cs="Times New Roman"/>
          <w:b/>
          <w:noProof/>
          <w:sz w:val="18"/>
          <w:szCs w:val="18"/>
          <w:lang w:val="fr-FR"/>
        </w:rPr>
      </w:pPr>
      <w:r w:rsidRPr="008168EE">
        <w:rPr>
          <w:rFonts w:cs="Times New Roman"/>
          <w:b/>
          <w:noProof/>
          <w:sz w:val="18"/>
          <w:szCs w:val="18"/>
          <w:lang w:val="fr-FR"/>
        </w:rPr>
        <w:t>Value Relations Srl</w:t>
      </w:r>
    </w:p>
    <w:p w:rsidR="00500082" w:rsidRPr="008168EE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fr-FR"/>
        </w:rPr>
      </w:pPr>
      <w:r w:rsidRPr="008168EE">
        <w:rPr>
          <w:rFonts w:cs="Times New Roman"/>
          <w:noProof/>
          <w:sz w:val="18"/>
          <w:szCs w:val="18"/>
          <w:lang w:val="fr-FR"/>
        </w:rPr>
        <w:t>Phone: + 39 – 02 20424941</w:t>
      </w:r>
    </w:p>
    <w:p w:rsidR="00500082" w:rsidRPr="008168EE" w:rsidRDefault="00500082" w:rsidP="00500082">
      <w:pPr>
        <w:spacing w:line="240" w:lineRule="auto"/>
        <w:rPr>
          <w:rFonts w:cs="Times New Roman"/>
          <w:noProof/>
          <w:sz w:val="18"/>
          <w:szCs w:val="18"/>
          <w:lang w:val="fr-FR"/>
        </w:rPr>
      </w:pPr>
      <w:r w:rsidRPr="008168EE">
        <w:rPr>
          <w:rFonts w:cs="Times New Roman"/>
          <w:noProof/>
          <w:sz w:val="18"/>
          <w:szCs w:val="18"/>
          <w:lang w:val="fr-FR"/>
        </w:rPr>
        <w:t>Cell. + 39 331 6718518</w:t>
      </w:r>
    </w:p>
    <w:p w:rsidR="00500082" w:rsidRPr="008168EE" w:rsidRDefault="00500082" w:rsidP="00500082">
      <w:pPr>
        <w:spacing w:line="240" w:lineRule="auto"/>
        <w:rPr>
          <w:rFonts w:cs="Times New Roman"/>
          <w:b/>
          <w:noProof/>
          <w:sz w:val="18"/>
          <w:szCs w:val="18"/>
          <w:lang w:val="fr-FR"/>
        </w:rPr>
      </w:pPr>
      <w:r w:rsidRPr="008168EE">
        <w:rPr>
          <w:rFonts w:cs="Times New Roman"/>
          <w:noProof/>
          <w:sz w:val="18"/>
          <w:szCs w:val="18"/>
          <w:lang w:val="fr-FR"/>
        </w:rPr>
        <w:t xml:space="preserve">e-mail: </w:t>
      </w:r>
      <w:hyperlink r:id="rId17" w:history="1">
        <w:r w:rsidRPr="008168EE">
          <w:rPr>
            <w:rFonts w:cs="Times New Roman"/>
            <w:noProof/>
            <w:sz w:val="18"/>
            <w:szCs w:val="18"/>
            <w:lang w:val="fr-FR"/>
          </w:rPr>
          <w:t>ml.paleari@vrelations.it</w:t>
        </w:r>
      </w:hyperlink>
    </w:p>
    <w:p w:rsidR="00500082" w:rsidRPr="008168EE" w:rsidRDefault="00500082" w:rsidP="005744F0">
      <w:pPr>
        <w:spacing w:line="264" w:lineRule="auto"/>
        <w:jc w:val="both"/>
        <w:rPr>
          <w:b/>
          <w:bCs/>
          <w:color w:val="003366"/>
          <w:sz w:val="18"/>
          <w:szCs w:val="18"/>
          <w:lang w:val="fr-FR"/>
        </w:rPr>
      </w:pPr>
    </w:p>
    <w:p w:rsidR="00500082" w:rsidRPr="008168EE" w:rsidRDefault="00500082" w:rsidP="005744F0">
      <w:pPr>
        <w:spacing w:line="264" w:lineRule="auto"/>
        <w:jc w:val="both"/>
        <w:rPr>
          <w:b/>
          <w:bCs/>
          <w:color w:val="003366"/>
          <w:sz w:val="18"/>
          <w:szCs w:val="18"/>
          <w:lang w:val="fr-FR"/>
        </w:rPr>
      </w:pPr>
    </w:p>
    <w:p w:rsidR="000D5000" w:rsidRPr="008168EE" w:rsidRDefault="000D5000" w:rsidP="005744F0">
      <w:pPr>
        <w:spacing w:line="264" w:lineRule="auto"/>
        <w:jc w:val="both"/>
        <w:rPr>
          <w:b/>
          <w:bCs/>
          <w:color w:val="003366"/>
          <w:sz w:val="18"/>
          <w:szCs w:val="18"/>
          <w:lang w:val="fr-FR"/>
        </w:rPr>
      </w:pPr>
    </w:p>
    <w:p w:rsidR="005744F0" w:rsidRPr="00E1252B" w:rsidRDefault="005744F0" w:rsidP="005744F0">
      <w:pPr>
        <w:spacing w:line="264" w:lineRule="auto"/>
        <w:jc w:val="both"/>
        <w:rPr>
          <w:b/>
          <w:bCs/>
          <w:color w:val="003366"/>
          <w:sz w:val="18"/>
          <w:szCs w:val="18"/>
          <w:lang w:val="en-US"/>
        </w:rPr>
      </w:pPr>
      <w:r w:rsidRPr="00E1252B">
        <w:rPr>
          <w:b/>
          <w:bCs/>
          <w:color w:val="003366"/>
          <w:sz w:val="18"/>
          <w:szCs w:val="18"/>
          <w:lang w:val="en-US"/>
        </w:rPr>
        <w:t>Bibliografia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cs="Arial"/>
          <w:sz w:val="18"/>
          <w:szCs w:val="18"/>
          <w:lang w:val="en-US"/>
        </w:rPr>
      </w:pPr>
      <w:r w:rsidRPr="005744F0">
        <w:rPr>
          <w:rFonts w:cs="Arial"/>
          <w:sz w:val="18"/>
          <w:szCs w:val="18"/>
          <w:lang w:val="en-US"/>
        </w:rPr>
        <w:t>Teutsch C. Persistence with Dabigatran Therapy for Stroke Prevention in Patients with Non-</w:t>
      </w:r>
      <w:proofErr w:type="spellStart"/>
      <w:r w:rsidRPr="005744F0">
        <w:rPr>
          <w:rFonts w:cs="Arial"/>
          <w:sz w:val="18"/>
          <w:szCs w:val="18"/>
          <w:lang w:val="en-US"/>
        </w:rPr>
        <w:t>Valvular</w:t>
      </w:r>
      <w:proofErr w:type="spellEnd"/>
      <w:r w:rsidRPr="005744F0">
        <w:rPr>
          <w:rFonts w:cs="Arial"/>
          <w:sz w:val="18"/>
          <w:szCs w:val="18"/>
          <w:lang w:val="en-US"/>
        </w:rPr>
        <w:t xml:space="preserve"> Atrial Fibrillation: The GLORIA-AF Registry. Presented on Sunday 4 December at the American Society of Hematology (ASH) Annual Meeting, San Diego, CA, USA. 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eastAsia="Times New Roman" w:cs="Arial"/>
          <w:sz w:val="18"/>
          <w:szCs w:val="18"/>
          <w:lang w:val="en-GB" w:eastAsia="en-GB"/>
        </w:rPr>
      </w:pPr>
      <w:r w:rsidRPr="005744F0">
        <w:rPr>
          <w:rFonts w:cs="Arial"/>
          <w:sz w:val="18"/>
          <w:szCs w:val="18"/>
          <w:lang w:val="en-US"/>
        </w:rPr>
        <w:t xml:space="preserve">Huisman MV. </w:t>
      </w:r>
      <w:r w:rsidRPr="005744F0">
        <w:rPr>
          <w:rFonts w:cs="Arial"/>
          <w:i/>
          <w:sz w:val="18"/>
          <w:szCs w:val="18"/>
          <w:lang w:val="en-US"/>
        </w:rPr>
        <w:t>et al</w:t>
      </w:r>
      <w:r w:rsidRPr="005744F0">
        <w:rPr>
          <w:rFonts w:cs="Arial"/>
          <w:sz w:val="18"/>
          <w:szCs w:val="18"/>
          <w:lang w:val="en-US"/>
        </w:rPr>
        <w:t xml:space="preserve">. Design and rationale of Global Registry on Long-Term Oral Antithrombotic Treatment in Patients with Atrial Fibrillation: A global registry program on long-term oral antithrombotic treatment in patients with atrial fibrillation. </w:t>
      </w:r>
      <w:r w:rsidRPr="005744F0">
        <w:rPr>
          <w:rFonts w:cs="Arial"/>
          <w:i/>
          <w:sz w:val="18"/>
          <w:szCs w:val="18"/>
          <w:lang w:val="en-US"/>
        </w:rPr>
        <w:t>Am Heart J</w:t>
      </w:r>
      <w:r w:rsidRPr="005744F0">
        <w:rPr>
          <w:rFonts w:cs="Arial"/>
          <w:sz w:val="18"/>
          <w:szCs w:val="18"/>
          <w:lang w:val="en-US"/>
        </w:rPr>
        <w:t xml:space="preserve">. </w:t>
      </w:r>
      <w:proofErr w:type="gramStart"/>
      <w:r w:rsidRPr="005744F0">
        <w:rPr>
          <w:rFonts w:cs="Arial"/>
          <w:sz w:val="18"/>
          <w:szCs w:val="18"/>
          <w:lang w:val="en-US"/>
        </w:rPr>
        <w:t>2014;</w:t>
      </w:r>
      <w:r w:rsidRPr="005744F0">
        <w:rPr>
          <w:rFonts w:cs="Arial"/>
          <w:b/>
          <w:sz w:val="18"/>
          <w:szCs w:val="18"/>
          <w:lang w:val="en-US"/>
        </w:rPr>
        <w:t>167</w:t>
      </w:r>
      <w:r w:rsidRPr="005744F0">
        <w:rPr>
          <w:rFonts w:cs="Arial"/>
          <w:sz w:val="18"/>
          <w:szCs w:val="18"/>
          <w:lang w:val="en-US"/>
        </w:rPr>
        <w:t>:329</w:t>
      </w:r>
      <w:proofErr w:type="gramEnd"/>
      <w:r w:rsidRPr="005744F0">
        <w:rPr>
          <w:rFonts w:cs="Arial"/>
          <w:sz w:val="18"/>
          <w:szCs w:val="18"/>
          <w:lang w:val="en-US"/>
        </w:rPr>
        <w:t>–34.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eastAsia="Times New Roman" w:cs="Arial"/>
          <w:color w:val="000000"/>
          <w:sz w:val="18"/>
          <w:szCs w:val="18"/>
          <w:lang w:val="nb-NO" w:eastAsia="en-GB"/>
        </w:rPr>
      </w:pPr>
      <w:r w:rsidRPr="005744F0">
        <w:rPr>
          <w:rFonts w:eastAsia="Times New Roman" w:cs="Arial"/>
          <w:color w:val="000000"/>
          <w:sz w:val="18"/>
          <w:szCs w:val="18"/>
          <w:lang w:val="nb-NO" w:eastAsia="en-GB"/>
        </w:rPr>
        <w:t xml:space="preserve">Boehringer Ingelheim Data on File. 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eastAsia="Times New Roman" w:cs="Arial"/>
          <w:color w:val="000000"/>
          <w:sz w:val="18"/>
          <w:szCs w:val="18"/>
          <w:lang w:val="en-GB" w:eastAsia="en-GB"/>
        </w:rPr>
      </w:pP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Pradaxa</w:t>
      </w:r>
      <w:proofErr w:type="spellEnd"/>
      <w:r w:rsidRPr="005744F0">
        <w:rPr>
          <w:rFonts w:eastAsia="Times New Roman" w:cs="Calibri"/>
          <w:color w:val="000000"/>
          <w:sz w:val="18"/>
          <w:szCs w:val="18"/>
          <w:lang w:val="en-GB" w:eastAsia="en-GB"/>
        </w:rPr>
        <w:t>®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 US Prescribing Information, 2015.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eastAsia="Times New Roman" w:cs="Arial"/>
          <w:color w:val="000000"/>
          <w:sz w:val="18"/>
          <w:szCs w:val="18"/>
          <w:lang w:val="en-GB" w:eastAsia="en-GB"/>
        </w:rPr>
      </w:pP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Pradaxa</w:t>
      </w:r>
      <w:proofErr w:type="spellEnd"/>
      <w:r w:rsidRPr="005744F0">
        <w:rPr>
          <w:rFonts w:eastAsia="Times New Roman" w:cs="Calibri"/>
          <w:color w:val="000000"/>
          <w:sz w:val="18"/>
          <w:szCs w:val="18"/>
          <w:lang w:val="en-GB" w:eastAsia="en-GB"/>
        </w:rPr>
        <w:t>®</w:t>
      </w:r>
      <w:r w:rsidRPr="005744F0">
        <w:rPr>
          <w:rFonts w:eastAsia="Times New Roman" w:cs="Arial"/>
          <w:color w:val="000000"/>
          <w:sz w:val="18"/>
          <w:szCs w:val="18"/>
          <w:bdr w:val="none" w:sz="0" w:space="0" w:color="auto" w:frame="1"/>
          <w:vertAlign w:val="superscript"/>
          <w:lang w:val="en-GB" w:eastAsia="en-GB"/>
        </w:rPr>
        <w:t xml:space="preserve"> 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European Summary of Product Characteristics, 2016.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eastAsia="Times New Roman" w:cs="Arial"/>
          <w:color w:val="000000"/>
          <w:sz w:val="18"/>
          <w:szCs w:val="18"/>
          <w:lang w:val="en-GB" w:eastAsia="en-GB"/>
        </w:rPr>
      </w:pP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Stangier</w:t>
      </w:r>
      <w:proofErr w:type="spell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 J. Clinical pharmacokinetics and pharmacodynamics of the oral direct thrombin inhibitor dabigatran </w:t>
      </w: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etexilate</w:t>
      </w:r>
      <w:proofErr w:type="spell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. </w:t>
      </w:r>
      <w:proofErr w:type="spellStart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>Clin</w:t>
      </w:r>
      <w:proofErr w:type="spellEnd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 xml:space="preserve"> </w:t>
      </w:r>
      <w:proofErr w:type="spellStart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>Pharmacokinet</w:t>
      </w:r>
      <w:proofErr w:type="spellEnd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>.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 2008;</w:t>
      </w:r>
      <w:r w:rsidRPr="005744F0">
        <w:rPr>
          <w:rFonts w:eastAsia="Times New Roman" w:cs="Arial"/>
          <w:b/>
          <w:color w:val="000000"/>
          <w:sz w:val="18"/>
          <w:szCs w:val="18"/>
          <w:lang w:val="en-GB" w:eastAsia="en-GB"/>
        </w:rPr>
        <w:t>47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(5):285–95.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eastAsia="Times New Roman" w:cs="Arial"/>
          <w:color w:val="000000"/>
          <w:sz w:val="18"/>
          <w:szCs w:val="18"/>
          <w:lang w:val="en-GB" w:eastAsia="en-GB"/>
        </w:rPr>
      </w:pPr>
      <w:r w:rsidRPr="005744F0">
        <w:rPr>
          <w:rFonts w:eastAsia="Times New Roman" w:cs="Arial"/>
          <w:color w:val="000000"/>
          <w:sz w:val="18"/>
          <w:szCs w:val="18"/>
          <w:lang w:val="it-IT" w:eastAsia="en-GB"/>
        </w:rPr>
        <w:t xml:space="preserve">Di Nisio M. </w:t>
      </w:r>
      <w:r w:rsidRPr="005744F0">
        <w:rPr>
          <w:rFonts w:eastAsia="Times New Roman" w:cs="Arial"/>
          <w:i/>
          <w:color w:val="000000"/>
          <w:sz w:val="18"/>
          <w:szCs w:val="18"/>
          <w:lang w:val="it-IT" w:eastAsia="en-GB"/>
        </w:rPr>
        <w:t>et al</w:t>
      </w:r>
      <w:r w:rsidRPr="005744F0">
        <w:rPr>
          <w:rFonts w:eastAsia="Times New Roman" w:cs="Arial"/>
          <w:color w:val="000000"/>
          <w:sz w:val="18"/>
          <w:szCs w:val="18"/>
          <w:lang w:val="it-IT" w:eastAsia="en-GB"/>
        </w:rPr>
        <w:t xml:space="preserve">. 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Direct thrombin inhibitors. </w:t>
      </w:r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 xml:space="preserve">N </w:t>
      </w:r>
      <w:proofErr w:type="spellStart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>Engl</w:t>
      </w:r>
      <w:proofErr w:type="spellEnd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 xml:space="preserve"> J Med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. </w:t>
      </w:r>
      <w:proofErr w:type="gram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2005;</w:t>
      </w:r>
      <w:r w:rsidRPr="005744F0">
        <w:rPr>
          <w:rFonts w:eastAsia="Times New Roman" w:cs="Arial"/>
          <w:b/>
          <w:color w:val="000000"/>
          <w:sz w:val="18"/>
          <w:szCs w:val="18"/>
          <w:lang w:val="en-GB" w:eastAsia="en-GB"/>
        </w:rPr>
        <w:t>353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:1028</w:t>
      </w:r>
      <w:proofErr w:type="gram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–40.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b/>
          <w:bCs/>
          <w:color w:val="000000"/>
          <w:sz w:val="18"/>
          <w:szCs w:val="18"/>
          <w:lang w:val="en-US"/>
        </w:rPr>
      </w:pP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Stangier</w:t>
      </w:r>
      <w:proofErr w:type="spell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 J. </w:t>
      </w:r>
      <w:proofErr w:type="gramStart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>et al.</w:t>
      </w:r>
      <w:proofErr w:type="gram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 Pharmacokinetic Profile of the Oral Direct Thrombin Inhibitor Dabigatran </w:t>
      </w: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Etexilate</w:t>
      </w:r>
      <w:proofErr w:type="spell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 in Healthy Volunteers and Patients Undergoing Total Hip Replacement. </w:t>
      </w:r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 xml:space="preserve">J </w:t>
      </w:r>
      <w:proofErr w:type="spellStart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>Clin</w:t>
      </w:r>
      <w:proofErr w:type="spellEnd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 xml:space="preserve"> </w:t>
      </w:r>
      <w:proofErr w:type="spellStart"/>
      <w:r w:rsidRPr="005744F0">
        <w:rPr>
          <w:rFonts w:eastAsia="Times New Roman" w:cs="Arial"/>
          <w:i/>
          <w:color w:val="000000"/>
          <w:sz w:val="18"/>
          <w:szCs w:val="18"/>
          <w:lang w:val="en-GB" w:eastAsia="en-GB"/>
        </w:rPr>
        <w:t>Pharmacol</w:t>
      </w:r>
      <w:proofErr w:type="spell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 xml:space="preserve">. </w:t>
      </w:r>
      <w:proofErr w:type="gram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2005;</w:t>
      </w:r>
      <w:r w:rsidRPr="005744F0">
        <w:rPr>
          <w:rFonts w:eastAsia="Times New Roman" w:cs="Arial"/>
          <w:b/>
          <w:color w:val="000000"/>
          <w:sz w:val="18"/>
          <w:szCs w:val="18"/>
          <w:lang w:val="en-GB" w:eastAsia="en-GB"/>
        </w:rPr>
        <w:t>45</w:t>
      </w:r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:555</w:t>
      </w:r>
      <w:proofErr w:type="gram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–63.</w:t>
      </w:r>
    </w:p>
    <w:p w:rsidR="005744F0" w:rsidRPr="005744F0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rFonts w:eastAsia="Times New Roman" w:cs="Arial"/>
          <w:color w:val="000000"/>
          <w:sz w:val="18"/>
          <w:szCs w:val="18"/>
          <w:lang w:val="en-GB" w:eastAsia="en-GB"/>
        </w:rPr>
      </w:pP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Praxbind</w:t>
      </w:r>
      <w:proofErr w:type="spell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® European Summary of Product Characteristics, 2016.</w:t>
      </w:r>
    </w:p>
    <w:p w:rsidR="005744F0" w:rsidRPr="00E1252B" w:rsidRDefault="005744F0" w:rsidP="005744F0">
      <w:pPr>
        <w:numPr>
          <w:ilvl w:val="0"/>
          <w:numId w:val="41"/>
        </w:numPr>
        <w:spacing w:line="240" w:lineRule="auto"/>
        <w:ind w:left="425" w:hanging="425"/>
        <w:jc w:val="both"/>
        <w:textAlignment w:val="baseline"/>
        <w:rPr>
          <w:b/>
          <w:bCs/>
          <w:color w:val="000000"/>
          <w:sz w:val="18"/>
          <w:szCs w:val="18"/>
          <w:lang w:val="en-US"/>
        </w:rPr>
      </w:pPr>
      <w:proofErr w:type="spellStart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Praxbind</w:t>
      </w:r>
      <w:proofErr w:type="spellEnd"/>
      <w:r w:rsidRPr="005744F0">
        <w:rPr>
          <w:rFonts w:eastAsia="Times New Roman" w:cs="Arial"/>
          <w:color w:val="000000"/>
          <w:sz w:val="18"/>
          <w:szCs w:val="18"/>
          <w:lang w:val="en-GB" w:eastAsia="en-GB"/>
        </w:rPr>
        <w:t>® US Prescribing Information 2015.</w:t>
      </w:r>
    </w:p>
    <w:p w:rsidR="00E8427C" w:rsidRPr="00E1252B" w:rsidRDefault="00E8427C" w:rsidP="00D64A58">
      <w:pPr>
        <w:ind w:right="29"/>
        <w:rPr>
          <w:b/>
          <w:bCs/>
          <w:color w:val="003366"/>
          <w:sz w:val="18"/>
          <w:szCs w:val="18"/>
        </w:rPr>
      </w:pPr>
    </w:p>
    <w:sectPr w:rsidR="00E8427C" w:rsidRPr="00E1252B" w:rsidSect="00043732">
      <w:headerReference w:type="default" r:id="rId18"/>
      <w:footerReference w:type="default" r:id="rId19"/>
      <w:headerReference w:type="first" r:id="rId20"/>
      <w:footerReference w:type="first" r:id="rId21"/>
      <w:footnotePr>
        <w:numFmt w:val="chicago"/>
      </w:footnotePr>
      <w:endnotePr>
        <w:numFmt w:val="decimal"/>
      </w:endnotePr>
      <w:type w:val="continuous"/>
      <w:pgSz w:w="11906" w:h="16838"/>
      <w:pgMar w:top="3544" w:right="3968" w:bottom="1418" w:left="1701" w:header="709" w:footer="3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571" w:rsidRDefault="001A0571" w:rsidP="00774743">
      <w:pPr>
        <w:spacing w:line="240" w:lineRule="auto"/>
      </w:pPr>
      <w:r>
        <w:separator/>
      </w:r>
    </w:p>
  </w:endnote>
  <w:endnote w:type="continuationSeparator" w:id="0">
    <w:p w:rsidR="001A0571" w:rsidRDefault="001A0571" w:rsidP="00774743">
      <w:pPr>
        <w:spacing w:line="240" w:lineRule="auto"/>
      </w:pPr>
      <w:r>
        <w:continuationSeparator/>
      </w:r>
    </w:p>
  </w:endnote>
  <w:endnote w:type="continuationNotice" w:id="1">
    <w:p w:rsidR="001A0571" w:rsidRDefault="001A057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Sans">
    <w:altName w:val="Corbel"/>
    <w:charset w:val="00"/>
    <w:family w:val="auto"/>
    <w:pitch w:val="variable"/>
    <w:sig w:usb0="80000027" w:usb1="00000000" w:usb2="00000000" w:usb3="00000000" w:csb0="00000001" w:csb1="00000000"/>
    <w:embedRegular r:id="rId1" w:fontKey="{9A60D578-190B-4BA9-ABB1-40E1CDF005C7}"/>
    <w:embedBold r:id="rId2" w:fontKey="{1CBECADF-4702-43F8-ABEB-D57D2CFC9363}"/>
    <w:embedItalic r:id="rId3" w:fontKey="{E90E4C0D-7B43-4BF5-91BD-A5589F1303FD}"/>
    <w:embedBoldItalic r:id="rId4" w:fontKey="{078F7B47-08BE-4DB1-B1BA-D2EAF23486F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F548FB4-188D-4C27-B65C-A0B6384C039C}"/>
    <w:embedBold r:id="rId6" w:fontKey="{FB766C46-BDEE-419F-9926-C80D6A255CA4}"/>
    <w:embedItalic r:id="rId7" w:fontKey="{DCFD6E9A-2645-44F2-98A2-06C611730A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8E8C7E0-DD3C-4A77-8B05-7277A869175F}"/>
    <w:embedBold r:id="rId9" w:fontKey="{B325A70D-6AE7-4206-9FB3-2B65815BB288}"/>
    <w:embedItalic r:id="rId10" w:fontKey="{D6E0547D-D0B9-4BB3-9ACD-723F67FB3C2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4519BC8-6A3F-426B-B368-FC970280A9DE}"/>
  </w:font>
  <w:font w:name="BISansNEXTCond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BISansNEXTCond-Bold">
    <w:altName w:val="BISans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0000000000000000000"/>
    <w:charset w:val="00"/>
    <w:family w:val="modern"/>
    <w:notTrueType/>
    <w:pitch w:val="variable"/>
    <w:sig w:usb0="800002EF" w:usb1="400020CB" w:usb2="00000000" w:usb3="00000000" w:csb0="0000009F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AFF0CC5F-F5F4-42DF-BE65-B221F71F1102}"/>
    <w:embedBold r:id="rId13" w:fontKey="{F3F5E33A-23E9-494B-87AD-218DB6ECE97F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8AE2ACD-EC35-49F3-98CA-3D2289CE3ACB}"/>
  </w:font>
  <w:font w:name="DengXian">
    <w:altName w:val="等线"/>
    <w:panose1 w:val="02010600030101010101"/>
    <w:charset w:val="86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8F51CA84-24A8-4B9E-97CC-EA034800A2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Pr="001C21FC" w:rsidRDefault="0070377E" w:rsidP="00BC390B">
    <w:pPr>
      <w:pStyle w:val="Pidipagina"/>
      <w:rPr>
        <w:rFonts w:cs="Arial"/>
        <w:i/>
        <w:sz w:val="16"/>
        <w:szCs w:val="16"/>
      </w:rPr>
    </w:pPr>
  </w:p>
  <w:p w:rsidR="0070377E" w:rsidRDefault="0070377E" w:rsidP="00C544E7">
    <w:pPr>
      <w:pStyle w:val="Default"/>
      <w:spacing w:line="276" w:lineRule="auto"/>
      <w:ind w:right="-164"/>
      <w:rPr>
        <w:rFonts w:eastAsia="BISans" w:cs="Arial"/>
        <w:i/>
        <w:sz w:val="18"/>
        <w:szCs w:val="20"/>
      </w:rPr>
    </w:pPr>
  </w:p>
  <w:p w:rsidR="0070377E" w:rsidRPr="00340C7B" w:rsidRDefault="0070377E">
    <w:pPr>
      <w:pStyle w:val="Pidipagina"/>
      <w:rPr>
        <w:rFonts w:cs="Arial"/>
        <w:sz w:val="16"/>
        <w:szCs w:val="16"/>
        <w:lang w:val="it-IT"/>
      </w:rPr>
    </w:pPr>
    <w:r w:rsidRPr="00340C7B">
      <w:rPr>
        <w:rFonts w:cs="Arial"/>
        <w:sz w:val="16"/>
        <w:szCs w:val="16"/>
        <w:lang w:val="it-IT"/>
      </w:rPr>
      <w:t xml:space="preserve">Boehringer Ingelheim </w:t>
    </w:r>
    <w:r>
      <w:rPr>
        <w:rFonts w:cs="Arial"/>
        <w:sz w:val="16"/>
        <w:szCs w:val="16"/>
        <w:lang w:val="it-IT"/>
      </w:rPr>
      <w:t xml:space="preserve">Comunicato Stampa </w:t>
    </w:r>
    <w:r w:rsidRPr="00340C7B">
      <w:rPr>
        <w:rFonts w:cs="Arial"/>
        <w:sz w:val="16"/>
        <w:szCs w:val="16"/>
        <w:lang w:val="it-IT"/>
      </w:rPr>
      <w:t>pag</w:t>
    </w:r>
    <w:r>
      <w:rPr>
        <w:rFonts w:cs="Arial"/>
        <w:sz w:val="16"/>
        <w:szCs w:val="16"/>
        <w:lang w:val="it-IT"/>
      </w:rPr>
      <w:t>ina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PAGE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EA2A1F">
      <w:rPr>
        <w:rFonts w:cs="Arial"/>
        <w:noProof/>
        <w:sz w:val="16"/>
        <w:szCs w:val="16"/>
        <w:lang w:val="it-IT"/>
      </w:rPr>
      <w:t>6</w:t>
    </w:r>
    <w:r w:rsidRPr="00340C7B">
      <w:rPr>
        <w:rFonts w:cs="Arial"/>
        <w:sz w:val="16"/>
        <w:szCs w:val="16"/>
        <w:lang w:val="it-IT"/>
      </w:rPr>
      <w:fldChar w:fldCharType="end"/>
    </w:r>
    <w:r w:rsidRPr="00340C7B">
      <w:rPr>
        <w:rFonts w:cs="Arial"/>
        <w:sz w:val="16"/>
        <w:szCs w:val="16"/>
        <w:lang w:val="it-IT"/>
      </w:rPr>
      <w:t xml:space="preserve"> </w:t>
    </w:r>
    <w:r>
      <w:rPr>
        <w:rFonts w:cs="Arial"/>
        <w:sz w:val="16"/>
        <w:szCs w:val="16"/>
        <w:lang w:val="it-IT"/>
      </w:rPr>
      <w:t>di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NUMPAGES 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EA2A1F">
      <w:rPr>
        <w:rFonts w:cs="Arial"/>
        <w:noProof/>
        <w:sz w:val="16"/>
        <w:szCs w:val="16"/>
        <w:lang w:val="it-IT"/>
      </w:rPr>
      <w:t>6</w:t>
    </w:r>
    <w:r w:rsidRPr="00340C7B">
      <w:rPr>
        <w:rFonts w:cs="Arial"/>
        <w:sz w:val="16"/>
        <w:szCs w:val="16"/>
        <w:lang w:val="it-IT"/>
      </w:rPr>
      <w:fldChar w:fldCharType="end"/>
    </w: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Pr="00EB1359" w:rsidRDefault="0070377E" w:rsidP="00EB1359">
    <w:pPr>
      <w:pStyle w:val="Pidipagina"/>
      <w:rPr>
        <w:sz w:val="16"/>
        <w:szCs w:val="16"/>
        <w:lang w:val="en-GB"/>
      </w:rPr>
    </w:pPr>
  </w:p>
  <w:p w:rsidR="0070377E" w:rsidRPr="00340C7B" w:rsidRDefault="0070377E">
    <w:pPr>
      <w:pStyle w:val="Pidipagina"/>
      <w:rPr>
        <w:rFonts w:cs="Arial"/>
        <w:sz w:val="16"/>
        <w:szCs w:val="16"/>
        <w:lang w:val="it-IT"/>
      </w:rPr>
    </w:pPr>
    <w:r w:rsidRPr="00340C7B">
      <w:rPr>
        <w:rFonts w:cs="Arial"/>
        <w:sz w:val="16"/>
        <w:szCs w:val="16"/>
        <w:lang w:val="it-IT"/>
      </w:rPr>
      <w:t xml:space="preserve">Boehringer </w:t>
    </w:r>
    <w:r w:rsidR="00EC6C9A" w:rsidRPr="00340C7B">
      <w:rPr>
        <w:rFonts w:cs="Arial"/>
        <w:sz w:val="16"/>
        <w:szCs w:val="16"/>
        <w:lang w:val="it-IT"/>
      </w:rPr>
      <w:t>Ingelheim Comunicato</w:t>
    </w:r>
    <w:r>
      <w:rPr>
        <w:rFonts w:cs="Arial"/>
        <w:sz w:val="16"/>
        <w:szCs w:val="16"/>
        <w:lang w:val="it-IT"/>
      </w:rPr>
      <w:t xml:space="preserve"> Stampa </w:t>
    </w:r>
    <w:r w:rsidRPr="00340C7B">
      <w:rPr>
        <w:rFonts w:cs="Arial"/>
        <w:sz w:val="16"/>
        <w:szCs w:val="16"/>
        <w:lang w:val="it-IT"/>
      </w:rPr>
      <w:t>pag</w:t>
    </w:r>
    <w:r>
      <w:rPr>
        <w:rFonts w:cs="Arial"/>
        <w:sz w:val="16"/>
        <w:szCs w:val="16"/>
        <w:lang w:val="it-IT"/>
      </w:rPr>
      <w:t>ina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PAGE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EA2A1F">
      <w:rPr>
        <w:rFonts w:cs="Arial"/>
        <w:noProof/>
        <w:sz w:val="16"/>
        <w:szCs w:val="16"/>
        <w:lang w:val="it-IT"/>
      </w:rPr>
      <w:t>1</w:t>
    </w:r>
    <w:r w:rsidRPr="00340C7B">
      <w:rPr>
        <w:rFonts w:cs="Arial"/>
        <w:sz w:val="16"/>
        <w:szCs w:val="16"/>
        <w:lang w:val="it-IT"/>
      </w:rPr>
      <w:fldChar w:fldCharType="end"/>
    </w:r>
    <w:r>
      <w:rPr>
        <w:rFonts w:cs="Arial"/>
        <w:sz w:val="16"/>
        <w:szCs w:val="16"/>
        <w:lang w:val="it-IT"/>
      </w:rPr>
      <w:t xml:space="preserve"> di</w:t>
    </w:r>
    <w:r w:rsidRPr="00340C7B">
      <w:rPr>
        <w:rFonts w:cs="Arial"/>
        <w:sz w:val="16"/>
        <w:szCs w:val="16"/>
        <w:lang w:val="it-IT"/>
      </w:rPr>
      <w:t xml:space="preserve"> </w:t>
    </w:r>
    <w:r w:rsidRPr="00340C7B">
      <w:rPr>
        <w:rFonts w:cs="Arial"/>
        <w:sz w:val="16"/>
        <w:szCs w:val="16"/>
        <w:lang w:val="it-IT"/>
      </w:rPr>
      <w:fldChar w:fldCharType="begin"/>
    </w:r>
    <w:r w:rsidRPr="00340C7B">
      <w:rPr>
        <w:rFonts w:cs="Arial"/>
        <w:sz w:val="16"/>
        <w:szCs w:val="16"/>
        <w:lang w:val="it-IT"/>
      </w:rPr>
      <w:instrText xml:space="preserve"> NUMPAGES  </w:instrText>
    </w:r>
    <w:r w:rsidRPr="00340C7B">
      <w:rPr>
        <w:rFonts w:cs="Arial"/>
        <w:sz w:val="16"/>
        <w:szCs w:val="16"/>
        <w:lang w:val="it-IT"/>
      </w:rPr>
      <w:fldChar w:fldCharType="separate"/>
    </w:r>
    <w:r w:rsidR="00EA2A1F">
      <w:rPr>
        <w:rFonts w:cs="Arial"/>
        <w:noProof/>
        <w:sz w:val="16"/>
        <w:szCs w:val="16"/>
        <w:lang w:val="it-IT"/>
      </w:rPr>
      <w:t>6</w:t>
    </w:r>
    <w:r w:rsidRPr="00340C7B">
      <w:rPr>
        <w:rFonts w:cs="Arial"/>
        <w:sz w:val="16"/>
        <w:szCs w:val="16"/>
        <w:lang w:val="it-IT"/>
      </w:rPr>
      <w:fldChar w:fldCharType="end"/>
    </w: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  <w:p w:rsidR="008669B8" w:rsidRPr="008168EE" w:rsidRDefault="008669B8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571" w:rsidRDefault="001A0571" w:rsidP="00774743">
      <w:pPr>
        <w:spacing w:line="240" w:lineRule="auto"/>
      </w:pPr>
      <w:r>
        <w:separator/>
      </w:r>
    </w:p>
  </w:footnote>
  <w:footnote w:type="continuationSeparator" w:id="0">
    <w:p w:rsidR="001A0571" w:rsidRDefault="001A0571" w:rsidP="00774743">
      <w:pPr>
        <w:spacing w:line="240" w:lineRule="auto"/>
      </w:pPr>
      <w:r>
        <w:continuationSeparator/>
      </w:r>
    </w:p>
  </w:footnote>
  <w:footnote w:type="continuationNotice" w:id="1">
    <w:p w:rsidR="001A0571" w:rsidRDefault="001A057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Default="005611C1">
    <w:pPr>
      <w:pStyle w:val="Intestazione"/>
    </w:pP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1270" t="0" r="127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0377E" w:rsidRPr="00340C7B" w:rsidRDefault="0070377E" w:rsidP="00FF7134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408.85pt;margin-top:27.6pt;width:198.55pt;height:42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GCFAMAAGQGAAAOAAAAZHJzL2Uyb0RvYy54bWysVV1v0zAUfUfiP1h+z/LRpE2iZWjtGoQ0&#10;YGIgnt3EaSwSO9ju0oH471zftFsLLwhopcjXub4+59yPXL7a9x154NoIJQsaXgSUcFmpWshtQT99&#10;LL2UEmOZrFmnJC/oIzf01dXLF5fjkPNItaqruSYQRJp8HAraWjvkvm+qlvfMXKiBS3jZKN0zC6be&#10;+rVmI0TvOz8Kgrk/Kl0PWlXcGNi9mV7SK4zfNLyy75vGcEu6ggI2i0+Nz417+leXLN9qNrSiOsBg&#10;f4GiZ0LCpU+hbphlZKfFb6F6UWllVGMvKtX7qmlExZEDsAmDX9jct2zgyAXEMcOTTOb/ha3ePdxp&#10;IuqCziiRrIcUfQDRmNx2nESozziYHNzuhzvtGJrhVlVfDJFq1YIbv9ZajS1nNaAKnZ7+2QFnGDhK&#10;NuNbVUN4trMKpdo3uncBQQSyx4w8PmWE7y2pYDNKojBJE0oqeJfMskWCkHyWH08P2tjXXPXELQqq&#10;ATxGZw+3xjo0LD+6IHrViboUXYeG3m5WnSYPDKqjLLMsOEY3p26ddM5SuWNTxGmHY31N17AcIMPS&#10;eTrwmPvvWRjFwTLKvHKeLry4jBMvWwSpF4TZMpsHcRbflD8c3DDOW1HXXN4KyY91GMZ/ludDR0wV&#10;hJVIRshnGgIdpHlKxpxxjkr4Y9IgsaduvbDQl53oC5oG7jd1isvzWtbYNZaJblr75/hRdBDhXIvr&#10;MgkW8Sz1Fotk5sWzdeAt03LlXa/C+XyxXq6W6/BcizXqa/5dDgRyTJYz1A7Y3bf1SGrhqiZKZxkM&#10;qlrAZJilwTzIFpSwbgsjrbKaEq3sZ2Fb7EdXo6jqqZDzJMzCbCq8bmjZVFLJUTgowoPuqM3T9ZNS&#10;z8hOhDyQf9YSYhxLDDvMNZUbcya3+80eMuKWG1U/Qq8BXmwoGMywaJX+RskIQ66g5uuOaU5J90ZC&#10;v0ZJBkMUxiJaIWYa2KIVO/SUbE4NJisIVlAL6uByZadZuhu02LZwV4gaSHUNXd4IbMBnXEDGGTDK&#10;kNZh7LpZeWqj1/PH4eonAAAA//8DAFBLAwQUAAYACAAAACEAMAAMjeEAAAALAQAADwAAAGRycy9k&#10;b3ducmV2LnhtbEyPTU/CQBCG7yb+h82YeDGybQMFa7fEEDnghS8Tr0t3bBu6s7W7QP33Die5zZt5&#10;8n7k88G24oy9bxwpiEcRCKTSmYYqBZ/75fMMhA+ajG4doYJf9DAv7u9ynRl3oS2ed6ESbEI+0wrq&#10;ELpMSl/WaLUfuQ6Jf9+utzqw7Ctpen1hc9vKJIpSaXVDnFDrDhc1lsfdyXJu+vKxeTrKxU/w6d5+&#10;Vd16+75S6vFheHsFEXAI/zBc63N1KLjTwZ3IeNEqmMXTKaMKJpMExBVI4jGPOfA1jhKQRS5vNxR/&#10;AAAA//8DAFBLAQItABQABgAIAAAAIQC2gziS/gAAAOEBAAATAAAAAAAAAAAAAAAAAAAAAABbQ29u&#10;dGVudF9UeXBlc10ueG1sUEsBAi0AFAAGAAgAAAAhADj9If/WAAAAlAEAAAsAAAAAAAAAAAAAAAAA&#10;LwEAAF9yZWxzLy5yZWxzUEsBAi0AFAAGAAgAAAAhAMa64YIUAwAAZAYAAA4AAAAAAAAAAAAAAAAA&#10;LgIAAGRycy9lMm9Eb2MueG1sUEsBAi0AFAAGAAgAAAAhADAADI3hAAAACwEAAA8AAAAAAAAAAAAA&#10;AAAAbgUAAGRycy9kb3ducmV2LnhtbFBLBQYAAAAABAAEAPMAAAB8BgAAAAA=&#10;" fillcolor="#f90" stroked="f" strokecolor="#f2f2f2" strokeweight="3pt">
              <v:shadow color="#651919" opacity=".5" offset="1pt"/>
              <v:textbox inset="7.2mm,5mm,1.25mm,1.25mm">
                <w:txbxContent>
                  <w:p w:rsidR="0070377E" w:rsidRPr="00340C7B" w:rsidRDefault="0070377E" w:rsidP="00FF7134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  <w:lang w:val="it-IT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0"/>
                        <w:szCs w:val="30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4" distB="4294967294" distL="114300" distR="114300" simplePos="0" relativeHeight="2516608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26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D223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gKJQIAAD4EAAAOAAAAZHJzL2Uyb0RvYy54bWysU02PmzAQvVfqf7B8zwIp+QCFrFaQ9LLt&#10;RtrtD3BsA1bBtmwnJKr63zs2Sdq0l6rqxdjMzJs3M29Wj6e+Q0durFCywMlDjBGXVDEhmwJ/edtO&#10;lhhZRyQjnZK8wGdu8eP6/bvVoHM+Va3qGDcIQKTNB13g1jmdR5GlLe+JfVCaSzDWyvTEwdM0ETNk&#10;APS+i6ZxPI8GZZg2inJr4W81GvE64Nc1p+6lri13qCswcHPhNOHc+zNar0jeGKJbQS80yD+w6ImQ&#10;kPQGVRFH0MGIP6B6QY2yqnYPVPWRqmtBeagBqkni36p5bYnmoRZojtW3Ntn/B0s/H3cGCVbg6Rwj&#10;SXqY0dPBqZAaJZlv0KBtDn6l3BlfIj3JV/2s6FeLpCpbIhsevN/OGoITHxHdhfiH1ZBmP3xSDHwI&#10;JAjdOtWm95DQB3QKQznfhsJPDlH4uZgtsiybYUSvtojk10BtrPvIVY/8pcDWGSKa1pVKShi9MklI&#10;Q47P1nlaJL8G+KxSbUXXBQV0Eg3AfbqI4xBhVSeYt3o/a5p92Rl0JCCi7TbLwGlEu3Mz6iBZQGs5&#10;YZvL3RHRjXfI3kmPB5UBn8ttVMm3LM42y80ynaTT+WaSxlU1edqW6WS+TRaz6kNVllXy3VNL0rwV&#10;jHHp2V0Vm6R/p4jL7oxau2n21ofoHj00DMhev4F0GK2f5qiLvWLnnfHd8FMGkQbny0L5Lfj1Hbx+&#10;rv36BwAAAP//AwBQSwMEFAAGAAgAAAAhAKp7dc/dAAAADQEAAA8AAABkcnMvZG93bnJldi54bWxM&#10;j01LxDAQhu+C/yGM4EV200bXj9p0EcGDeMpa72kzNsVmUpp0t/57UxD0Nh8P7zxT7hc3sCNOofck&#10;Id9mwJBab3rqJNTvL5t7YCFqMnrwhBK+McC+Oj8rdWH8iRQeD7FjKYRCoSXYGMeC89BadDps/YiU&#10;dp9+cjqmduq4mfQphbuBiyy75U73lC5YPeKzxfbrMDsJr+Kt/rCKCx7UQ6OulysV6lnKy4vl6RFY&#10;xCX+wbDqJ3WoklPjZzKBDRI2+Z0QiV2r3Q2wFclEvgPW/I54VfL/X1Q/AAAA//8DAFBLAQItABQA&#10;BgAIAAAAIQC2gziS/gAAAOEBAAATAAAAAAAAAAAAAAAAAAAAAABbQ29udGVudF9UeXBlc10ueG1s&#10;UEsBAi0AFAAGAAgAAAAhADj9If/WAAAAlAEAAAsAAAAAAAAAAAAAAAAALwEAAF9yZWxzLy5yZWxz&#10;UEsBAi0AFAAGAAgAAAAhAEu1WAolAgAAPgQAAA4AAAAAAAAAAAAAAAAALgIAAGRycy9lMm9Eb2Mu&#10;eG1sUEsBAi0AFAAGAAgAAAAhAKp7dc/dAAAADQEAAA8AAAAAAAAAAAAAAAAAfwQAAGRycy9kb3du&#10;cmV2LnhtbFBLBQYAAAAABAAEAPMAAACJBQAAAAA=&#10;" strokecolor="#f90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25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597975" id="AutoShape 18" o:spid="_x0000_s1026" type="#_x0000_t32" style="position:absolute;margin-left:-86.1pt;margin-top:7.3pt;width:596.8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TXJAIAAD4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WIFnc4wk&#10;6WFGTwenQmqULH2DBm1z8CvlzvgS6Um+6mdFv1okVdkS2fDg/XbWEJz4iOguxD+shjT74ZNi4EMg&#10;QejWqTa9h4Q+oFMYyvk2FH5yiMLPxXyRZRmQo1dbRPJroDbWfeSqR/5SYOsMEU3rSiUljF6ZJKQh&#10;x2frPC2SXwN8Vqm2ouuCAjqJBuA+W8RxiLCqE8xbvZ81zb7sDDoSENF2m2XgNKLduRl1kCygtZyw&#10;zeXuiOjGO2TvpMeDyoDP5Taq5FsWZ5vlZplO0tnDZpLGVTV52pbp5GGbLObVh6osq+S7p5akeSsY&#10;49Kzuyo2Sf9OEZfdGbV20+ytD9E9emgYkL1+A+kwWj/NURd7xc4747vhpwwiDc6XhfJb8Os7eP1c&#10;+/UPAAAA//8DAFBLAwQUAAYACAAAACEA9730kN0AAAALAQAADwAAAGRycy9kb3ducmV2LnhtbEyP&#10;wU7DMAyG70i8Q2QkLmhLG2AbpemEkDggThnlnjamqWicqkm38vZk4gBH+//0+3O5X9zAjjiF3pOE&#10;fJ0BQ2q96amTUL+/rHbAQtRk9OAJJXxjgH11eVHqwvgTKTweYsdSCYVCS7AxjgXnobXodFj7ESll&#10;n35yOqZx6riZ9CmVu4GLLNtwp3tKF6we8dli+3WYnYRX8VZ/WMUFD+qhUbfLjQr1LOX11fL0CCzi&#10;Ev9gOOsndaiSU+NnMoENElb5VojEpuRuA+xMZCK/B9b8bnhV8v8/VD8AAAD//wMAUEsBAi0AFAAG&#10;AAgAAAAhALaDOJL+AAAA4QEAABMAAAAAAAAAAAAAAAAAAAAAAFtDb250ZW50X1R5cGVzXS54bWxQ&#10;SwECLQAUAAYACAAAACEAOP0h/9YAAACUAQAACwAAAAAAAAAAAAAAAAAvAQAAX3JlbHMvLnJlbHNQ&#10;SwECLQAUAAYACAAAACEA2Kpk1yQCAAA+BAAADgAAAAAAAAAAAAAAAAAuAgAAZHJzL2Uyb0RvYy54&#10;bWxQSwECLQAUAAYACAAAACEA9730kN0AAAALAQAADwAAAAAAAAAAAAAAAAB+BAAAZHJzL2Rvd25y&#10;ZXYueG1sUEsFBgAAAAAEAAQA8wAAAIgFAAAAAA==&#10;" strokecolor="#f90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2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77E" w:rsidRPr="00860268" w:rsidRDefault="0070377E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A2A1F">
                            <w:rPr>
                              <w:b/>
                              <w:noProof/>
                              <w:color w:val="FFFFFF"/>
                              <w:sz w:val="14"/>
                              <w:szCs w:val="14"/>
                            </w:rPr>
                            <w:t>6</w:t>
                          </w:r>
                          <w:r w:rsidRPr="00860268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7" style="position:absolute;margin-left:-43.35pt;margin-top:-7.7pt;width:35.45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neTgwIAAA4FAAAOAAAAZHJzL2Uyb0RvYy54bWysVNuO2yAQfa/Uf0C8Z31ZOxtb66z20lSV&#10;tu2q234AARyjYqBA4uxW/fcOOMkmbR+qqn7ADAzDOTNnuLza9hJtuHVCqwZnZylGXFHNhFo1+Mvn&#10;xWSGkfNEMSK14g1+4g5fzV+/uhxMzXPdacm4RRBEuXowDe68N3WSONrxnrgzbbiCzVbbnngw7Sph&#10;lgwQvZdJnqbTZNCWGaspdw5W78ZNPI/x25ZT/7FtHfdINhiw+TjaOC7DmMwvSb2yxHSC7mCQf0DR&#10;E6Hg0kOoO+IJWlvxW6heUKudbv0Z1X2i21ZQHjkAmyz9hc1jRwyPXCA5zhzS5P5fWPph82CRYA3O&#10;C4wU6aFGnyBrRK0kR9lFSNBgXA1+j+bBBorO3Gv61SGlbztw49fW6qHjhAGsLPgnJweC4eAoWg7v&#10;NYPwZO11zNW2tX0ICFlA21iSp0NJ+NYjCotFmeZZiRGFraxKyzSWLCH1/rCxzr/lukdh0mAL2GNw&#10;srl3PoAh9d4lgtdSsIWQMhp2tbyVFm1IUEd6fj6dRvzA8dhNquCsdDg2RhxXACPcEfYC2ljt71WW&#10;F+lNXk0W09nFpFgU5aS6SGeTNKtuqmlaVMXd4kcAmBV1Jxjj6l4ovldeVvxdZXc9MGomag8NDa7K&#10;vIzcT9C7U5IpfH8i2QsPjShF3+BZ8Nm1RqjrG8WANqk9EXKcJ6fwY5YhB/t/zEpUQSj8KCC/XW6j&#10;zqJEgiiWmj2BLKyGskFrwiMCk07bZ4wGaMgGu29rYjlG8p0CaZVFAIX8sWGPjeWxQRSFUA32GI3T&#10;Wz92/dpYsergpiymSulrkGMrolReUO1EDE0XOe0eiNDVx3b0ennG5j8BAAD//wMAUEsDBBQABgAI&#10;AAAAIQDWxoE/2wAAAAoBAAAPAAAAZHJzL2Rvd25yZXYueG1sTI/BTsMwEETvSPyDtZW4tU5QCVGI&#10;U1VIvXAihQ9w4yWJaq+D7abp37Oc4DarfTs7U+8WZ8WMIY6eFOSbDARS581IvYLPj8O6BBGTJqOt&#10;J1Rwwwi75v6u1pXxV2pxPqZesAnFSisYUpoqKWM3oNNx4yck3n354HTiMfTSBH1lc2flY5YV0umR&#10;+MOgJ3wdsDsfL45jlFM43L7zt9zO+B5m07qwb5V6WC37FxAJl/QHw298voGGM538hUwUVsG6LJ4Z&#10;ZZE/bUEwwYLLnBjdFiCbWv6v0PwAAAD//wMAUEsBAi0AFAAGAAgAAAAhALaDOJL+AAAA4QEAABMA&#10;AAAAAAAAAAAAAAAAAAAAAFtDb250ZW50X1R5cGVzXS54bWxQSwECLQAUAAYACAAAACEAOP0h/9YA&#10;AACUAQAACwAAAAAAAAAAAAAAAAAvAQAAX3JlbHMvLnJlbHNQSwECLQAUAAYACAAAACEA+bJ3k4MC&#10;AAAOBQAADgAAAAAAAAAAAAAAAAAuAgAAZHJzL2Uyb0RvYy54bWxQSwECLQAUAAYACAAAACEA1saB&#10;P9sAAAAKAQAADwAAAAAAAAAAAAAAAADdBAAAZHJzL2Rvd25yZXYueG1sUEsFBgAAAAAEAAQA8wAA&#10;AOUFAAAAAA==&#10;" fillcolor="#036" stroked="f">
              <v:textbox inset="1.5mm,1.5mm,1.5mm,1.5mm">
                <w:txbxContent>
                  <w:p w:rsidR="0070377E" w:rsidRPr="00860268" w:rsidRDefault="0070377E" w:rsidP="00FF7134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4"/>
                        <w:szCs w:val="14"/>
                      </w:rPr>
                    </w:pP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begin"/>
                    </w: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separate"/>
                    </w:r>
                    <w:r w:rsidR="00EA2A1F">
                      <w:rPr>
                        <w:b/>
                        <w:noProof/>
                        <w:color w:val="FFFFFF"/>
                        <w:sz w:val="14"/>
                        <w:szCs w:val="14"/>
                      </w:rPr>
                      <w:t>6</w:t>
                    </w:r>
                    <w:r w:rsidRPr="00860268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77E" w:rsidRDefault="005611C1">
    <w:pPr>
      <w:pStyle w:val="Intestazione"/>
    </w:pP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848" behindDoc="0" locked="1" layoutInCell="1" allowOverlap="1">
              <wp:simplePos x="0" y="0"/>
              <wp:positionH relativeFrom="page">
                <wp:posOffset>5229860</wp:posOffset>
              </wp:positionH>
              <wp:positionV relativeFrom="page">
                <wp:posOffset>2143125</wp:posOffset>
              </wp:positionV>
              <wp:extent cx="2000250" cy="6831965"/>
              <wp:effectExtent l="0" t="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831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77E" w:rsidRDefault="005611C1" w:rsidP="00075249"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4510" cy="107315"/>
                                <wp:effectExtent l="0" t="0" r="0" b="0"/>
                                <wp:docPr id="151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3" b="4856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451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4510" cy="1198245"/>
                                <wp:effectExtent l="0" t="0" r="0" b="0"/>
                                <wp:docPr id="152" name="Bild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4510" cy="1198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0377E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</w:rPr>
                          </w:pPr>
                        </w:p>
                        <w:p w:rsidR="0070377E" w:rsidRPr="008168EE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  <w:lang w:val="it-IT"/>
                            </w:rPr>
                          </w:pPr>
                          <w:r w:rsidRPr="008168EE">
                            <w:rPr>
                              <w:b/>
                              <w:color w:val="003366"/>
                              <w:lang w:val="it-IT"/>
                            </w:rPr>
                            <w:t>Contatti:</w:t>
                          </w:r>
                        </w:p>
                        <w:p w:rsidR="0070377E" w:rsidRPr="008168EE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  <w:lang w:val="it-IT"/>
                            </w:rPr>
                          </w:pPr>
                          <w:r w:rsidRPr="008168EE">
                            <w:rPr>
                              <w:b/>
                              <w:color w:val="003366"/>
                              <w:lang w:val="it-IT"/>
                            </w:rPr>
                            <w:t>Boehringer Ingelheim</w:t>
                          </w:r>
                        </w:p>
                        <w:p w:rsidR="0070377E" w:rsidRPr="008168EE" w:rsidRDefault="0070377E" w:rsidP="00991DB2">
                          <w:pPr>
                            <w:spacing w:line="240" w:lineRule="auto"/>
                            <w:rPr>
                              <w:b/>
                              <w:color w:val="003366"/>
                              <w:lang w:val="it-IT"/>
                            </w:rPr>
                          </w:pPr>
                          <w:r w:rsidRPr="008168EE">
                            <w:rPr>
                              <w:b/>
                              <w:color w:val="003366"/>
                              <w:lang w:val="it-IT"/>
                            </w:rPr>
                            <w:t>Comunicazione:</w:t>
                          </w:r>
                        </w:p>
                        <w:p w:rsidR="0070377E" w:rsidRPr="008168EE" w:rsidRDefault="0070377E" w:rsidP="00991DB2">
                          <w:pPr>
                            <w:pStyle w:val="Intestazione"/>
                            <w:rPr>
                              <w:b/>
                              <w:color w:val="1F497D"/>
                              <w:lang w:val="it-IT"/>
                            </w:rPr>
                          </w:pPr>
                        </w:p>
                        <w:p w:rsidR="0070377E" w:rsidRPr="008168EE" w:rsidRDefault="0070377E" w:rsidP="00991DB2">
                          <w:pPr>
                            <w:pStyle w:val="Intestazione"/>
                            <w:jc w:val="both"/>
                            <w:rPr>
                              <w:lang w:val="it-IT"/>
                            </w:rPr>
                          </w:pPr>
                          <w:r w:rsidRPr="008168EE">
                            <w:rPr>
                              <w:lang w:val="it-IT"/>
                            </w:rPr>
                            <w:t>Marina Guffanti</w:t>
                          </w:r>
                        </w:p>
                        <w:p w:rsidR="0070377E" w:rsidRPr="00956D7E" w:rsidRDefault="0070377E" w:rsidP="00991DB2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Phone: + 39 – 02 5355453</w:t>
                          </w:r>
                        </w:p>
                        <w:p w:rsidR="0070377E" w:rsidRPr="00956D7E" w:rsidRDefault="0070377E" w:rsidP="00991DB2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Cell. +39 348 3995284</w:t>
                          </w:r>
                        </w:p>
                        <w:p w:rsidR="0070377E" w:rsidRPr="00956D7E" w:rsidRDefault="0070377E" w:rsidP="00991DB2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e- mail:</w:t>
                          </w:r>
                        </w:p>
                        <w:p w:rsidR="0070377E" w:rsidRDefault="00EA2A1F" w:rsidP="00991DB2">
                          <w:pPr>
                            <w:spacing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70377E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70377E" w:rsidRDefault="0070377E">
                          <w:pPr>
                            <w:rPr>
                              <w:lang w:val="en-GB"/>
                            </w:rPr>
                          </w:pPr>
                        </w:p>
                        <w:p w:rsidR="0070377E" w:rsidRDefault="005611C1"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9590" cy="107315"/>
                                <wp:effectExtent l="0" t="0" r="0" b="0"/>
                                <wp:docPr id="153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3" b="4856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959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9590" cy="1198245"/>
                                <wp:effectExtent l="0" t="0" r="0" b="0"/>
                                <wp:docPr id="154" name="Bild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61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9590" cy="1198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0377E" w:rsidRPr="00BD41EF" w:rsidRDefault="0070377E" w:rsidP="00086A3C">
                          <w:pPr>
                            <w:ind w:left="42"/>
                            <w:rPr>
                              <w:b/>
                              <w:color w:val="003366"/>
                              <w:lang w:val="it-IT"/>
                            </w:rPr>
                          </w:pPr>
                          <w:r>
                            <w:rPr>
                              <w:b/>
                              <w:color w:val="003366"/>
                              <w:lang w:val="it-IT"/>
                            </w:rPr>
                            <w:t xml:space="preserve">Per maggiori informazioni </w:t>
                          </w:r>
                        </w:p>
                        <w:p w:rsidR="0070377E" w:rsidRPr="00991DB2" w:rsidRDefault="00EA2A1F" w:rsidP="00086A3C">
                          <w:pPr>
                            <w:spacing w:after="120"/>
                            <w:ind w:left="42"/>
                            <w:rPr>
                              <w:lang w:val="it-IT"/>
                            </w:rPr>
                          </w:pPr>
                          <w:hyperlink r:id="rId5" w:history="1">
                            <w:r w:rsidR="0070377E" w:rsidRPr="00991DB2">
                              <w:rPr>
                                <w:rStyle w:val="Collegamentoipertestuale"/>
                                <w:lang w:val="it-IT"/>
                              </w:rPr>
                              <w:t>www.boehringer-ingelheim.com</w:t>
                            </w:r>
                          </w:hyperlink>
                        </w:p>
                        <w:p w:rsidR="0070377E" w:rsidRPr="002C4B3E" w:rsidRDefault="005611C1">
                          <w:r w:rsidRPr="00860268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799590" cy="381635"/>
                                <wp:effectExtent l="0" t="0" r="0" b="0"/>
                                <wp:docPr id="155" name="Bild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9590" cy="3816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11.8pt;margin-top:168.75pt;width:157.5pt;height:537.9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TghwIAABkFAAAOAAAAZHJzL2Uyb0RvYy54bWysVNuO2yAQfa/Uf0C8Z31ZJxtb66x2k6aq&#10;tL1Iu/0AYnCMioECib2t+u8dIEmzvUhVVT9gYIbDzJwzXN+MvUB7ZixXssbZRYoRk42iXG5r/PFx&#10;PZljZB2RlAglWY2fmMU3i5cvrgddsVx1SlBmEIBIWw26xp1zukoS23SsJ/ZCaSbB2CrTEwdLs02o&#10;IQOg9yLJ03SWDMpQbVTDrIXdVTTiRcBvW9a4921rmUOixhCbC6MJ48aPyeKaVFtDdMebQxjkH6Lo&#10;CZdw6QlqRRxBO8N/gep5Y5RVrbtoVJ+otuUNCzlANln6UzYPHdEs5ALFsfpUJvv/YJt3+w8GcVrj&#10;/BIjSXrg6JGNDt2pEeWZr8+gbQVuDxoc3Qj7wHPI1ep71XyySKplR+SW3Rqjho4RCvGFk8nZ0Yhj&#10;PchmeKso3EN2TgWgsTW9Lx6UAwE68PR04sbH0sAmkJ3mUzA1YJvNL7NyNvXRJaQ6HtfGutdM9chP&#10;amyA/ABP9vfWRdeji7/NKsHpmgsRFma7WQqD9gSEsg7fAf2Zm5DeWSp/LCLGHYgS7vA2H28g/muZ&#10;5UV6l5eT9Wx+NSnWxXRSXqXzSZqVd+UsLcpitf7mA8yKquOUMnnPJTuKMCv+juRDO0T5BBmiocbl&#10;NJ9Gjv6YJNQTvt8l2XMHPSl4X+P5yYlUntlXkkLapHKEizhPnocfCIEaHP+hKkEHnvooAjduxii5&#10;o7w2ij6BMIwC2oBieE9g0inzBaMBerPG9vOOGIaReCNBXGVWFL6Zw6KYXuWwMOeWzbmFyAagauww&#10;itOliw/AThu+7eCmKGepbkGQLQ9S8cqNUUEmfgH9F3I6vBW+wc/XwevHi7b4DgAA//8DAFBLAwQU&#10;AAYACAAAACEAtMPNieAAAAANAQAADwAAAGRycy9kb3ducmV2LnhtbEyPTW6DMBBG95V6B2sqdVM1&#10;hpgApZiordSq26Q5wIAdQMU2wk4gt+9k1ezm5+mbN+V2MQM768n3zkqIVxEwbRunettKOPx8PufA&#10;fECrcHBWS7hoD9vq/q7EQrnZ7vR5H1pGIdYXKKELYSw4902nDfqVG7Wl3dFNBgO1U8vVhDOFm4Gv&#10;oyjlBntLFzoc9Uenm9/9yUg4fs9Pm5e5/gqHbJek79hntbtI+fiwvL0CC3oJ/zBc9UkdKnKq3ckq&#10;zwYJ+VqkhEoQItsAuxKxyGlUU5XEIgFelfz2i+oPAAD//wMAUEsBAi0AFAAGAAgAAAAhALaDOJL+&#10;AAAA4QEAABMAAAAAAAAAAAAAAAAAAAAAAFtDb250ZW50X1R5cGVzXS54bWxQSwECLQAUAAYACAAA&#10;ACEAOP0h/9YAAACUAQAACwAAAAAAAAAAAAAAAAAvAQAAX3JlbHMvLnJlbHNQSwECLQAUAAYACAAA&#10;ACEAY4kE4IcCAAAZBQAADgAAAAAAAAAAAAAAAAAuAgAAZHJzL2Uyb0RvYy54bWxQSwECLQAUAAYA&#10;CAAAACEAtMPNieAAAAANAQAADwAAAAAAAAAAAAAAAADhBAAAZHJzL2Rvd25yZXYueG1sUEsFBgAA&#10;AAAEAAQA8wAAAO4FAAAAAA==&#10;" stroked="f">
              <v:textbox>
                <w:txbxContent>
                  <w:p w:rsidR="0070377E" w:rsidRDefault="005611C1" w:rsidP="00075249"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4510" cy="107315"/>
                          <wp:effectExtent l="0" t="0" r="0" b="0"/>
                          <wp:docPr id="151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3" b="485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510" cy="107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4510" cy="1198245"/>
                          <wp:effectExtent l="0" t="0" r="0" b="0"/>
                          <wp:docPr id="152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4510" cy="1198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0377E" w:rsidRDefault="0070377E" w:rsidP="00991DB2">
                    <w:pPr>
                      <w:spacing w:line="240" w:lineRule="auto"/>
                      <w:rPr>
                        <w:b/>
                        <w:color w:val="003366"/>
                      </w:rPr>
                    </w:pPr>
                  </w:p>
                  <w:p w:rsidR="0070377E" w:rsidRPr="008168EE" w:rsidRDefault="0070377E" w:rsidP="00991DB2">
                    <w:pPr>
                      <w:spacing w:line="240" w:lineRule="auto"/>
                      <w:rPr>
                        <w:b/>
                        <w:color w:val="003366"/>
                        <w:lang w:val="it-IT"/>
                      </w:rPr>
                    </w:pPr>
                    <w:r w:rsidRPr="008168EE">
                      <w:rPr>
                        <w:b/>
                        <w:color w:val="003366"/>
                        <w:lang w:val="it-IT"/>
                      </w:rPr>
                      <w:t>Contatti:</w:t>
                    </w:r>
                  </w:p>
                  <w:p w:rsidR="0070377E" w:rsidRPr="008168EE" w:rsidRDefault="0070377E" w:rsidP="00991DB2">
                    <w:pPr>
                      <w:spacing w:line="240" w:lineRule="auto"/>
                      <w:rPr>
                        <w:b/>
                        <w:color w:val="003366"/>
                        <w:lang w:val="it-IT"/>
                      </w:rPr>
                    </w:pPr>
                    <w:r w:rsidRPr="008168EE">
                      <w:rPr>
                        <w:b/>
                        <w:color w:val="003366"/>
                        <w:lang w:val="it-IT"/>
                      </w:rPr>
                      <w:t>Boehringer Ingelheim</w:t>
                    </w:r>
                  </w:p>
                  <w:p w:rsidR="0070377E" w:rsidRPr="008168EE" w:rsidRDefault="0070377E" w:rsidP="00991DB2">
                    <w:pPr>
                      <w:spacing w:line="240" w:lineRule="auto"/>
                      <w:rPr>
                        <w:b/>
                        <w:color w:val="003366"/>
                        <w:lang w:val="it-IT"/>
                      </w:rPr>
                    </w:pPr>
                    <w:r w:rsidRPr="008168EE">
                      <w:rPr>
                        <w:b/>
                        <w:color w:val="003366"/>
                        <w:lang w:val="it-IT"/>
                      </w:rPr>
                      <w:t>Comunicazione:</w:t>
                    </w:r>
                  </w:p>
                  <w:p w:rsidR="0070377E" w:rsidRPr="008168EE" w:rsidRDefault="0070377E" w:rsidP="00991DB2">
                    <w:pPr>
                      <w:pStyle w:val="Intestazione"/>
                      <w:rPr>
                        <w:b/>
                        <w:color w:val="1F497D"/>
                        <w:lang w:val="it-IT"/>
                      </w:rPr>
                    </w:pPr>
                  </w:p>
                  <w:p w:rsidR="0070377E" w:rsidRPr="008168EE" w:rsidRDefault="0070377E" w:rsidP="00991DB2">
                    <w:pPr>
                      <w:pStyle w:val="Intestazione"/>
                      <w:jc w:val="both"/>
                      <w:rPr>
                        <w:lang w:val="it-IT"/>
                      </w:rPr>
                    </w:pPr>
                    <w:r w:rsidRPr="008168EE">
                      <w:rPr>
                        <w:lang w:val="it-IT"/>
                      </w:rPr>
                      <w:t>Marina Guffanti</w:t>
                    </w:r>
                  </w:p>
                  <w:p w:rsidR="0070377E" w:rsidRPr="00956D7E" w:rsidRDefault="0070377E" w:rsidP="00991DB2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Phone: + 39 – 02 5355453</w:t>
                    </w:r>
                  </w:p>
                  <w:p w:rsidR="0070377E" w:rsidRPr="00956D7E" w:rsidRDefault="0070377E" w:rsidP="00991DB2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Cell. +39 348 3995284</w:t>
                    </w:r>
                  </w:p>
                  <w:p w:rsidR="0070377E" w:rsidRPr="00956D7E" w:rsidRDefault="0070377E" w:rsidP="00991DB2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e- mail:</w:t>
                    </w:r>
                  </w:p>
                  <w:p w:rsidR="0070377E" w:rsidRDefault="00EA2A1F" w:rsidP="00991DB2">
                    <w:pPr>
                      <w:spacing w:line="240" w:lineRule="auto"/>
                      <w:rPr>
                        <w:lang w:val="en-US"/>
                      </w:rPr>
                    </w:pPr>
                    <w:hyperlink r:id="rId7" w:history="1">
                      <w:r w:rsidR="0070377E"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70377E" w:rsidRDefault="0070377E">
                    <w:pPr>
                      <w:rPr>
                        <w:lang w:val="en-GB"/>
                      </w:rPr>
                    </w:pPr>
                  </w:p>
                  <w:p w:rsidR="0070377E" w:rsidRDefault="005611C1"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9590" cy="107315"/>
                          <wp:effectExtent l="0" t="0" r="0" b="0"/>
                          <wp:docPr id="153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3" b="485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9590" cy="107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9590" cy="1198245"/>
                          <wp:effectExtent l="0" t="0" r="0" b="0"/>
                          <wp:docPr id="154" name="Bild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6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9590" cy="1198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0377E" w:rsidRPr="00BD41EF" w:rsidRDefault="0070377E" w:rsidP="00086A3C">
                    <w:pPr>
                      <w:ind w:left="42"/>
                      <w:rPr>
                        <w:b/>
                        <w:color w:val="003366"/>
                        <w:lang w:val="it-IT"/>
                      </w:rPr>
                    </w:pPr>
                    <w:r>
                      <w:rPr>
                        <w:b/>
                        <w:color w:val="003366"/>
                        <w:lang w:val="it-IT"/>
                      </w:rPr>
                      <w:t xml:space="preserve">Per maggiori informazioni </w:t>
                    </w:r>
                  </w:p>
                  <w:p w:rsidR="0070377E" w:rsidRPr="00991DB2" w:rsidRDefault="00EA2A1F" w:rsidP="00086A3C">
                    <w:pPr>
                      <w:spacing w:after="120"/>
                      <w:ind w:left="42"/>
                      <w:rPr>
                        <w:lang w:val="it-IT"/>
                      </w:rPr>
                    </w:pPr>
                    <w:hyperlink r:id="rId8" w:history="1">
                      <w:r w:rsidR="0070377E" w:rsidRPr="00991DB2">
                        <w:rPr>
                          <w:rStyle w:val="Collegamentoipertestuale"/>
                          <w:lang w:val="it-IT"/>
                        </w:rPr>
                        <w:t>www.boehringer-ingelheim.com</w:t>
                      </w:r>
                    </w:hyperlink>
                  </w:p>
                  <w:p w:rsidR="0070377E" w:rsidRPr="002C4B3E" w:rsidRDefault="005611C1">
                    <w:r w:rsidRPr="00860268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799590" cy="381635"/>
                          <wp:effectExtent l="0" t="0" r="0" b="0"/>
                          <wp:docPr id="155" name="Bild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9590" cy="381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1905" b="0"/>
              <wp:wrapNone/>
              <wp:docPr id="2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BAA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6weJAIAAD4EAAAOAAAAZHJzL2Uyb0RvYy54bWysU02PmzAQvVfqf7B8T4CUbAIKWa0g9LLt&#10;RtrtD3BsA1bBtmwnJKr63zt2Ptq0l6rqxdjMzJs3M29Wj8ehRwdurFCywMk0xohLqpiQbYG/vNWT&#10;JUbWEclIryQv8Ilb/Lh+/2416pzPVKd6xg0CEGnzURe4c07nUWRpxwdip0pzCcZGmYE4eJo2YoaM&#10;gD700SyOH6JRGaaNotxa+FudjXgd8JuGU/fSNJY71BcYuLlwmnDu/BmtVyRvDdGdoBca5B9YDERI&#10;SHqDqogjaG/EH1CDoEZZ1bgpVUOkmkZQHmqAapL4t2peO6J5qAWaY/WtTfb/wdLPh61BghV4NsNI&#10;kgFm9LR3KqRGSeIbNGqbg18pt8aXSI/yVT8r+tUiqcqOyJYH77eThuAQEd2F+IfVkGY3flIMfAgk&#10;CN06NmbwkNAHdAxDOd2Gwo8OUfi5mC+yLJtjRK+2iOTXQG2s+8jVgPylwNYZItrOlUpKGL0ySUhD&#10;Ds/WQSEQeA3wWaWqRd8HBfQSjcB9tojjEGFVL5i3ej9r2l3ZG3QgIKK6zjJwOqPduRm1lyygdZyw&#10;zeXuiOjPd8jeS48HlQGfy+2skm9ZnG2Wm2U6SWcPm0kaV9XkqS7TyUOdLObVh6osq+S7p5akeScY&#10;49Kzuyo2Sf9OEZfdOWvtptlbH6J79NAwIHv9BtJhtH6aZ13sFDttje+GnzKINDhfFspvwa/v4PVz&#10;7dc/AAAA//8DAFBLAwQUAAYACAAAACEA0CbYct4AAAANAQAADwAAAGRycy9kb3ducmV2LnhtbEyP&#10;wUrEMBCG74LvEEbwIrtps6i7tekiggfxlLXe02Zsis2kNOlufXuzILjHmfn45/vL/eIGdsQp9J4k&#10;5OsMGFLrTU+dhPrjdbUFFqImowdPKOEHA+yr66tSF8afSOHxEDuWQigUWoKNcSw4D61Fp8Paj0jp&#10;9uUnp2Map46bSZ9SuBu4yLIH7nRP6YPVI75YbL8Ps5PwJt7rT6u44EHtGrVZ7lSoZylvb5bnJ2AR&#10;l/gPw1k/qUOVnBo/kwlskLDKH4VIrASRb1KrM5KJ/B5Y87fiVckvW1S/AAAA//8DAFBLAQItABQA&#10;BgAIAAAAIQC2gziS/gAAAOEBAAATAAAAAAAAAAAAAAAAAAAAAABbQ29udGVudF9UeXBlc10ueG1s&#10;UEsBAi0AFAAGAAgAAAAhADj9If/WAAAAlAEAAAsAAAAAAAAAAAAAAAAALwEAAF9yZWxzLy5yZWxz&#10;UEsBAi0AFAAGAAgAAAAhAPmfrB4kAgAAPgQAAA4AAAAAAAAAAAAAAAAALgIAAGRycy9lMm9Eb2Mu&#10;eG1sUEsBAi0AFAAGAAgAAAAhANAm2HLeAAAADQEAAA8AAAAAAAAAAAAAAAAAfgQAAGRycy9kb3du&#10;cmV2LnhtbFBLBQYAAAAABAAEAPMAAACJBQAAAAA=&#10;" strokecolor="#f90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90170</wp:posOffset>
              </wp:positionV>
              <wp:extent cx="7579995" cy="0"/>
              <wp:effectExtent l="15240" t="13970" r="15240" b="14605"/>
              <wp:wrapNone/>
              <wp:docPr id="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D55FA6" id="AutoShape 10" o:spid="_x0000_s1026" type="#_x0000_t32" style="position:absolute;margin-left:-85.05pt;margin-top:7.1pt;width:596.8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2ZIQIAAD0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wUqSH&#10;Fj3tvY6RURbrMxhXgFmltjZkSI/q1Txr+t0hpauOqJZH67eTAecsVDR55xIuzkCU3fBFM7AhECAW&#10;69jYPkBCGdAx9uR06wk/ekThcTadLRaLKUb0qktIcXU01vnPXPcoCCV23hLRdr7SSkHntc1iGHJ4&#10;dj7QIsXVIURVeiOkjAMgFRqA+2SWptHDaSlY0AY7Z9tdJS06EJihTfxikqC5N7N6r1hE6zhh64vs&#10;iZBnGaJLFfAgM+Bzkc5D8mORLtbz9Twf5ZOH9ShP63r0tKny0cMmm03rT3VV1dnPQC3Li04wxlVg&#10;dx3YLP+7gbisznnUbiN7q0PyHj0WDMhe/5F0bG3oZtgwV+w0O23tteUwo9H4sk9hCe7vIN9v/eoX&#10;AAAA//8DAFBLAwQUAAYACAAAACEA/FDDSN0AAAALAQAADwAAAGRycy9kb3ducmV2LnhtbEyPQWrD&#10;MBBF94XeQUyhu0SyXZLiWA4h0EUXDcTtARRraplYIyMpjnP7KnTRLmf+48+bajvbgU3oQ+9IQrYU&#10;wJBap3vqJHx9vi1egYWoSKvBEUq4YYBt/fhQqVK7Kx1xamLHUgmFUkkwMY4l56E1aFVYuhEpZd/O&#10;WxXT6DuuvbqmcjvwXIgVt6qndMGoEfcG23NzsRJEsWuaQ1Osj+/TwXzw9sbJ76V8fpp3G2AR5/gH&#10;w10/qUOdnE7uQjqwQcIiW4sssSl5yYHdCZEXK2Cn3w2vK/7/h/oHAAD//wMAUEsBAi0AFAAGAAgA&#10;AAAhALaDOJL+AAAA4QEAABMAAAAAAAAAAAAAAAAAAAAAAFtDb250ZW50X1R5cGVzXS54bWxQSwEC&#10;LQAUAAYACAAAACEAOP0h/9YAAACUAQAACwAAAAAAAAAAAAAAAAAvAQAAX3JlbHMvLnJlbHNQSwEC&#10;LQAUAAYACAAAACEAbfhtmSECAAA9BAAADgAAAAAAAAAAAAAAAAAuAgAAZHJzL2Uyb0RvYy54bWxQ&#10;SwECLQAUAAYACAAAACEA/FDDSN0AAAALAQAADwAAAAAAAAAAAAAAAAB7BAAAZHJzL2Rvd25yZXYu&#10;eG1sUEsFBgAAAAAEAAQA8wAAAIUFAAAAAA==&#10;" strokecolor="white" strokeweight="1pt"/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1252855</wp:posOffset>
              </wp:positionV>
              <wp:extent cx="4434205" cy="533400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77E" w:rsidRPr="001D7541" w:rsidRDefault="0070377E" w:rsidP="009D2ACA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  <w:lang w:val="it-IT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margin-left:41pt;margin-top:98.65pt;width:349.1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QuXswIAALEFAAAOAAAAZHJzL2Uyb0RvYy54bWysVNtu2zAMfR+wfxD07voSJY2NOkUbx8OA&#10;7gK0+wDFlmNhtuRJSuyu2L+PkuOkl5dhmx8EWqKODslDXl0PbYMOTGkuRYrDiwAjJgpZcrFL8beH&#10;3FtipA0VJW2kYCl+ZBpfr96/u+q7hEWylk3JFAIQoZO+S3FtTJf4vi5q1lJ9ITsm4LCSqqUGftXO&#10;LxXtAb1t/CgIFn4vVdkpWTCtYTcbD/HK4VcVK8yXqtLMoCbFwM24Vbl1a1d/dUWTnaJdzYsjDfoX&#10;LFrKBTx6gsqooWiv+BuolhdKalmZi0K2vqwqXjAXA0QTBq+iua9px1wskBzdndKk/x9s8fnwVSFe&#10;Qu3mGAnaQo0e2GDQrRxQbNPTdzoBr/sO/MwA2+DqQtXdnSy+ayTkuqZix26Ukn3NaAn0QnvTf3Z1&#10;xNEWZNt/kiU8Q/dGOqChUq3NHWQDATqU6fFUGkulgE1CZiQKgGIBZ/PZjASudj5Nptud0uYDky2y&#10;RooVlN6h08OdNpYNTSYX+5iQOW8aV/5GvNgAx3EH3oar9syycNV8ioN4s9wsiUeixcYjQZZ5N/ma&#10;eIs8vJxns2y9zsJf9t2QJDUvSybsM5OyQvJnlTtqfNTESVtaNry0cJaSVrvtulHoQEHZuftczuHk&#10;7Oa/pOGSALG8CimMSHAbxV6+WF56JCdzL74Mll4QxrfxIiAxyfKXId1xwf49JNSnOJ5H81FMZ9Kv&#10;Ygvc9zY2mrTcwOxoeJvi5cmJJlaCG1G60hrKm9F+lgpL/5wKKPdUaCdYq9FRrWbYDq41ZlMfbGX5&#10;CApWEgQGMoW5B0Yt1U+MepghKdY/9lQxjJqPArrADpzJUJOxnQwqCriaYoPRaK7NOJj2neK7GpDH&#10;PhPyBjql4k7EtqVGFsf+grngYjnOMDt4nv87r/OkXf0GAAD//wMAUEsDBBQABgAIAAAAIQCvEH5Y&#10;4AAAAAoBAAAPAAAAZHJzL2Rvd25yZXYueG1sTI9BT8MwDIXvSPyHyEjcWLJO2rrSdJoQnJAQXTlw&#10;TFuvjdY4pcm28u8xJ7jZfk/P38t3sxvEBadgPWlYLhQIpMa3ljoNH9XLQwoiREOtGTyhhm8MsCtu&#10;b3KTtf5KJV4OsRMcQiEzGvoYx0zK0PToTFj4EYm1o5+cibxOnWwnc+VwN8hEqbV0xhJ/6M2ITz02&#10;p8PZadh/Uvlsv97q9/JY2qraKnpdn7S+v5v3jyAizvHPDL/4jA4FM9X+TG0Qg4Y04SqR79vNCgQb&#10;NqniodaQpMsVyCKX/ysUPwAAAP//AwBQSwECLQAUAAYACAAAACEAtoM4kv4AAADhAQAAEwAAAAAA&#10;AAAAAAAAAAAAAAAAW0NvbnRlbnRfVHlwZXNdLnhtbFBLAQItABQABgAIAAAAIQA4/SH/1gAAAJQB&#10;AAALAAAAAAAAAAAAAAAAAC8BAABfcmVscy8ucmVsc1BLAQItABQABgAIAAAAIQC9OQuXswIAALEF&#10;AAAOAAAAAAAAAAAAAAAAAC4CAABkcnMvZTJvRG9jLnhtbFBLAQItABQABgAIAAAAIQCvEH5Y4AAA&#10;AAoBAAAPAAAAAAAAAAAAAAAAAA0FAABkcnMvZG93bnJldi54bWxQSwUGAAAAAAQABADzAAAAGgYA&#10;AAAA&#10;" o:allowincell="f" filled="f" stroked="f">
              <v:textbox inset="0,0,0,0">
                <w:txbxContent>
                  <w:p w:rsidR="0070377E" w:rsidRPr="001D7541" w:rsidRDefault="0070377E" w:rsidP="009D2ACA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  <w:lang w:val="it-IT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72"/>
                        <w:szCs w:val="72"/>
                        <w:lang w:val="it-IT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page">
            <wp:posOffset>5431155</wp:posOffset>
          </wp:positionH>
          <wp:positionV relativeFrom="page">
            <wp:posOffset>893445</wp:posOffset>
          </wp:positionV>
          <wp:extent cx="1543685" cy="478155"/>
          <wp:effectExtent l="0" t="0" r="0" b="0"/>
          <wp:wrapNone/>
          <wp:docPr id="150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1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5CBDE0" id="Rectangle 8" o:spid="_x0000_s1026" style="position:absolute;margin-left:396.85pt;margin-top:28.35pt;width:198.55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p5gQIAAP0EAAAOAAAAZHJzL2Uyb0RvYy54bWysVNuO0zAQfUfiHyy/d3PZpJtEm672QhHS&#10;AisWPsC1ncbCsY3tNl0Q/87YaZcWeECIPriezHh8zswZX17tBom23DqhVYuzsxQjrqhmQq1b/Onj&#10;clZh5DxRjEiteIufuMNXi5cvLkfT8Fz3WjJuESRRrhlNi3vvTZMkjvZ8IO5MG67A2Wk7EA+mXSfM&#10;khGyDzLJ03SejNoyYzXlzsHXu8mJFzF/13Hq33ed4x7JFgM2H1cb11VYk8UladaWmF7QPQzyDygG&#10;IhRc+pzqjniCNlb8lmoQ1GqnO39G9ZDorhOURw7AJkt/YfPYE8MjFyiOM89lcv8vLX23fbBIMOhd&#10;gZEiA/ToA1SNqLXkqAr1GY1rIOzRPNjA0Jl7TT87pPRtD1H82lo99pwwQJWF+OTkQDAcHEWr8a1m&#10;kJ1svI6l2nV2CAmhCGgXO/L03BG+84jCx7zMs7IqMaLgy/KyrorYs4Q0h+PGOv+a6wGFTYstgI/p&#10;yfbe+QCHNIeQCF9LwZZCymjY9epWWrQlQR7p+fl8HhkAy+MwqUKw0uHYlHH6AijhjuALeGO7v9VZ&#10;XqQ3eT1bzquLWbEsyll9kVazNKtv6nla1MXd8nsAmBVNLxjj6l4ofpBeVvxda/dDMIkmig+NLa7L&#10;vIzcT9C7U5Ip/P5EchAeJlGKocVViNnPRujsK8WANmk8EXLaJ6fwY5WhBof/WJWog9D6SUIrzZ5A&#10;BlZDk2AS4c2ATa/tV4xGmL8Wuy8bYjlG8o0CKdVZAa1GPhpFeZGDYY89q2MPURRStdhjNG1v/TTk&#10;G2PFuoebslgYpa9Bfp2IwgjSnFDtRQszFhns34MwxMd2jPr5ai1+AAAA//8DAFBLAwQUAAYACAAA&#10;ACEAcH4guOQAAAALAQAADwAAAGRycy9kb3ducmV2LnhtbEyPwUrDQBCG70LfYZmCF7GbVJKamE0p&#10;Si5CpaYq9LbNrkkwOxuy2ya+vdOTPQ3DfPzz/dl6Mh0768G1FgWEiwCYxsqqFmsBH/vi/hGY8xKV&#10;7CxqAb/awTqf3WQyVXbEd30ufc0oBF0qBTTe9ynnrmq0kW5he410+7aDkZ7WoeZqkCOFm44vgyDm&#10;RrZIHxrZ6+dGVz/lyQjYF6+H8S2Jt4f27vNlVxfbr3KjhLidT5snYF5P/h+Giz6pQ05OR3tC5Vgn&#10;YJU8rAgVEMU0L0CYBFTmKGAZRSHwPOPXHfI/AAAA//8DAFBLAQItABQABgAIAAAAIQC2gziS/gAA&#10;AOEBAAATAAAAAAAAAAAAAAAAAAAAAABbQ29udGVudF9UeXBlc10ueG1sUEsBAi0AFAAGAAgAAAAh&#10;ADj9If/WAAAAlAEAAAsAAAAAAAAAAAAAAAAALwEAAF9yZWxzLy5yZWxzUEsBAi0AFAAGAAgAAAAh&#10;APWN6nmBAgAA/QQAAA4AAAAAAAAAAAAAAAAALgIAAGRycy9lMm9Eb2MueG1sUEsBAi0AFAAGAAgA&#10;AAAhAHB+ILjkAAAACwEAAA8AAAAAAAAAAAAAAAAA2wQAAGRycy9kb3ducmV2LnhtbFBLBQYAAAAA&#10;BAAEAPMAAADsBQAAAAA=&#10;" fillcolor="#036" stroked="f">
              <w10:wrap anchorx="page" anchory="page"/>
            </v:rect>
          </w:pict>
        </mc:Fallback>
      </mc:AlternateContent>
    </w:r>
    <w:r w:rsidRPr="00040DB5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260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3BB595" id="Rectangle 7" o:spid="_x0000_s1026" style="position:absolute;margin-left:0;margin-top:42.55pt;width:396.85pt;height:99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6UCwMAAFcGAAAOAAAAZHJzL2Uyb0RvYy54bWysVU2P0zAQvSPxHyzfs0napImjTVHbbRDS&#10;AisWxNlNnMYisYPtNl0Q/52x03ZbuCCglSJPPH5+8+Yjt68OXYv2TGkuRY7DmwAjJkpZcbHN8aeP&#10;hZdipA0VFW2lYDl+Yhq/mr98cTv0GZvIRrYVUwhAhM6GPseNMX3m+7psWEf1jeyZgM1aqo4aMNXW&#10;rxQdAL1r/UkQzPxBqqpXsmRaw9u7cRPPHX5ds9K8r2vNDGpzDNyMeyr33NinP7+l2VbRvuHlkQb9&#10;CxYd5QIuPUPdUUPRTvHfoDpeKqllbW5K2fmyrnnJXAwQTRj8Es1jQ3vmYgFxdH+WSf8/2PLd/kEh&#10;XkHuMBK0gxR9ANGo2LYMJVaeodcZeD32D8oGqPt7WX7RSMhVA15soZQcGkYrIBVaf//qgDU0HEWb&#10;4a2sAJ3ujHRKHWrVWUDQAB1cQp7OCWEHg0p4GQdTQkiMUQl74SQmaeRS5tPsdLxX2rxmskN2kWMF&#10;5B083d9rY+nQ7OTi6MuWVwVvW2eo7WbVKrSnUB1FQUhwQteXbq2wzkLaYyPi+Ia5+hqvoRlwhqX1&#10;tOxd7r+TcBIFywnxilmaeFERxR5JgtQLQrIksyAi0V3xw9INo6zhVcXEPRfsVIdh9Gd5PnbEWEGu&#10;EtGQ42kaQjguzMtg9FXMkwL+LmuQ2Uu3jhvoy5Z3OU4D+xs7xSZ6LSpQgWaG8nZc+9f8neggwrUW&#10;iyIOkmiaekkST71oug68ZVqsvMUqnM2S9XK1XIfXWqydvvrf5XBETsmyhtxBdI9NNaCK26qZpFMC&#10;g6riMBmmaTALSIIRbbcw0kqjMFLSfOamcf1oi9RiXAk5i0MSkrHw2r6hY0nFJ+GgCI/uTpvz9aNS&#10;z8wuhDwG/6wlYJxKzLWY7aqxOzeyeoIOA5KujWAaw6KR6htGA0y2HOuvO6oYRu0bAV1Kwgi6CBln&#10;RHEyAUNd7mwud6goASrHBgRxy5UZx+euV3zbwE2hC1vIBXR2zV3P2a4fWQF/a8D0cpEcJ60dj5e2&#10;83r+Hsx/AgAA//8DAFBLAwQUAAYACAAAACEATCZa8d8AAAAHAQAADwAAAGRycy9kb3ducmV2Lnht&#10;bEyPQUvDQBSE74L/YXmCF2k3bamNMZsigohIK6bS8zb7mgR334bsSxv/vduTHocZZr7J16Oz4oR9&#10;aD0pmE0TEEiVNy3VCr52L5MURGBNRltPqOAHA6yL66tcZ8af6RNPJdcillDItIKGucukDFWDToep&#10;75Cid/S90xxlX0vT63Msd1bOk+ReOt1SXGh0h88NVt/l4BTsy+Ndyuw3H+X78Lp/29jtuLVK3d6M&#10;T48gGEf+C8MFP6JDEZkOfiAThFUQj7CCdDkDEd3Vw2IF4qBgni6WIItc/ucvfgEAAP//AwBQSwEC&#10;LQAUAAYACAAAACEAtoM4kv4AAADhAQAAEwAAAAAAAAAAAAAAAAAAAAAAW0NvbnRlbnRfVHlwZXNd&#10;LnhtbFBLAQItABQABgAIAAAAIQA4/SH/1gAAAJQBAAALAAAAAAAAAAAAAAAAAC8BAABfcmVscy8u&#10;cmVsc1BLAQItABQABgAIAAAAIQDuai6UCwMAAFcGAAAOAAAAAAAAAAAAAAAAAC4CAABkcnMvZTJv&#10;RG9jLnhtbFBLAQItABQABgAIAAAAIQBMJlrx3wAAAAcBAAAPAAAAAAAAAAAAAAAAAGUFAABkcnMv&#10;ZG93bnJldi54bWxQSwUGAAAAAAQABADzAAAAcQYAAAAA&#10;" fillcolor="#f90" stroked="f" strokecolor="#f2f2f2" strokeweight="3pt">
              <v:shadow color="#651919" opacity=".5" offset="1pt"/>
              <w10:wrap anchorx="page" anchory="page"/>
              <w10:anchorlock/>
            </v:rect>
          </w:pict>
        </mc:Fallback>
      </mc:AlternateContent>
    </w:r>
  </w:p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  <w:p w:rsidR="008669B8" w:rsidRDefault="008669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5A04"/>
    <w:multiLevelType w:val="hybridMultilevel"/>
    <w:tmpl w:val="652A56BA"/>
    <w:lvl w:ilvl="0" w:tplc="95F66386">
      <w:start w:val="1"/>
      <w:numFmt w:val="bullet"/>
      <w:pStyle w:val="Paragrafoelenco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1FB7"/>
    <w:multiLevelType w:val="hybridMultilevel"/>
    <w:tmpl w:val="ED72C26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E56521"/>
    <w:multiLevelType w:val="hybridMultilevel"/>
    <w:tmpl w:val="E8E2CB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66629"/>
    <w:multiLevelType w:val="hybridMultilevel"/>
    <w:tmpl w:val="F0EE9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40077"/>
    <w:multiLevelType w:val="hybridMultilevel"/>
    <w:tmpl w:val="EBBC3C28"/>
    <w:lvl w:ilvl="0" w:tplc="5F128C30">
      <w:numFmt w:val="bullet"/>
      <w:lvlText w:val="-"/>
      <w:lvlJc w:val="left"/>
      <w:pPr>
        <w:ind w:left="360" w:hanging="360"/>
      </w:pPr>
      <w:rPr>
        <w:rFonts w:ascii="Calibri" w:eastAsia="SimSun" w:hAnsi="Calibri" w:hint="default"/>
      </w:rPr>
    </w:lvl>
    <w:lvl w:ilvl="1" w:tplc="9408746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9AD0A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62BBE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6EBAD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100F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7B4D0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9EAC69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D0EF52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873710"/>
    <w:multiLevelType w:val="hybridMultilevel"/>
    <w:tmpl w:val="E898CA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86C2B"/>
    <w:multiLevelType w:val="hybridMultilevel"/>
    <w:tmpl w:val="E898CA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C2609"/>
    <w:multiLevelType w:val="hybridMultilevel"/>
    <w:tmpl w:val="D6E6C4A8"/>
    <w:lvl w:ilvl="0" w:tplc="B7305E9C">
      <w:numFmt w:val="bullet"/>
      <w:lvlText w:val="-"/>
      <w:lvlJc w:val="left"/>
      <w:pPr>
        <w:ind w:left="720" w:hanging="360"/>
      </w:pPr>
      <w:rPr>
        <w:rFonts w:ascii="BISans" w:eastAsia="BISans" w:hAnsi="BISan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047C8"/>
    <w:multiLevelType w:val="hybridMultilevel"/>
    <w:tmpl w:val="2962F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C7CE4"/>
    <w:multiLevelType w:val="hybridMultilevel"/>
    <w:tmpl w:val="AE22CBCE"/>
    <w:lvl w:ilvl="0" w:tplc="C714D8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2576" w:hanging="360"/>
      </w:pPr>
    </w:lvl>
    <w:lvl w:ilvl="2" w:tplc="0809001B" w:tentative="1">
      <w:start w:val="1"/>
      <w:numFmt w:val="lowerRoman"/>
      <w:lvlText w:val="%3."/>
      <w:lvlJc w:val="right"/>
      <w:pPr>
        <w:ind w:left="3296" w:hanging="180"/>
      </w:pPr>
    </w:lvl>
    <w:lvl w:ilvl="3" w:tplc="0809000F" w:tentative="1">
      <w:start w:val="1"/>
      <w:numFmt w:val="decimal"/>
      <w:lvlText w:val="%4."/>
      <w:lvlJc w:val="left"/>
      <w:pPr>
        <w:ind w:left="4016" w:hanging="360"/>
      </w:pPr>
    </w:lvl>
    <w:lvl w:ilvl="4" w:tplc="08090019" w:tentative="1">
      <w:start w:val="1"/>
      <w:numFmt w:val="lowerLetter"/>
      <w:lvlText w:val="%5."/>
      <w:lvlJc w:val="left"/>
      <w:pPr>
        <w:ind w:left="4736" w:hanging="360"/>
      </w:pPr>
    </w:lvl>
    <w:lvl w:ilvl="5" w:tplc="0809001B" w:tentative="1">
      <w:start w:val="1"/>
      <w:numFmt w:val="lowerRoman"/>
      <w:lvlText w:val="%6."/>
      <w:lvlJc w:val="right"/>
      <w:pPr>
        <w:ind w:left="5456" w:hanging="180"/>
      </w:pPr>
    </w:lvl>
    <w:lvl w:ilvl="6" w:tplc="0809000F" w:tentative="1">
      <w:start w:val="1"/>
      <w:numFmt w:val="decimal"/>
      <w:lvlText w:val="%7."/>
      <w:lvlJc w:val="left"/>
      <w:pPr>
        <w:ind w:left="6176" w:hanging="360"/>
      </w:pPr>
    </w:lvl>
    <w:lvl w:ilvl="7" w:tplc="08090019" w:tentative="1">
      <w:start w:val="1"/>
      <w:numFmt w:val="lowerLetter"/>
      <w:lvlText w:val="%8."/>
      <w:lvlJc w:val="left"/>
      <w:pPr>
        <w:ind w:left="6896" w:hanging="360"/>
      </w:pPr>
    </w:lvl>
    <w:lvl w:ilvl="8" w:tplc="080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0" w15:restartNumberingAfterBreak="0">
    <w:nsid w:val="15162084"/>
    <w:multiLevelType w:val="hybridMultilevel"/>
    <w:tmpl w:val="461AE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21C0B"/>
    <w:multiLevelType w:val="hybridMultilevel"/>
    <w:tmpl w:val="2132C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65D70"/>
    <w:multiLevelType w:val="hybridMultilevel"/>
    <w:tmpl w:val="586EDB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726E7C"/>
    <w:multiLevelType w:val="hybridMultilevel"/>
    <w:tmpl w:val="ACEEB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33808"/>
    <w:multiLevelType w:val="multilevel"/>
    <w:tmpl w:val="B42A3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F9176F"/>
    <w:multiLevelType w:val="hybridMultilevel"/>
    <w:tmpl w:val="51E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0522C"/>
    <w:multiLevelType w:val="hybridMultilevel"/>
    <w:tmpl w:val="C5B09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91F15"/>
    <w:multiLevelType w:val="hybridMultilevel"/>
    <w:tmpl w:val="282A35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0826BB"/>
    <w:multiLevelType w:val="hybridMultilevel"/>
    <w:tmpl w:val="1E38B068"/>
    <w:lvl w:ilvl="0" w:tplc="40988B86">
      <w:numFmt w:val="bullet"/>
      <w:lvlText w:val="-"/>
      <w:lvlJc w:val="left"/>
      <w:pPr>
        <w:ind w:left="4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2E635E5"/>
    <w:multiLevelType w:val="hybridMultilevel"/>
    <w:tmpl w:val="1F10FE88"/>
    <w:lvl w:ilvl="0" w:tplc="53E6F8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665DB"/>
    <w:multiLevelType w:val="hybridMultilevel"/>
    <w:tmpl w:val="B0D8BA68"/>
    <w:lvl w:ilvl="0" w:tplc="AA5C3AFA">
      <w:start w:val="1"/>
      <w:numFmt w:val="bullet"/>
      <w:lvlText w:val=""/>
      <w:lvlJc w:val="left"/>
      <w:pPr>
        <w:ind w:left="3040" w:hanging="30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97990"/>
    <w:multiLevelType w:val="hybridMultilevel"/>
    <w:tmpl w:val="774280DA"/>
    <w:lvl w:ilvl="0" w:tplc="B9D0E2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5E56DBD"/>
    <w:multiLevelType w:val="hybridMultilevel"/>
    <w:tmpl w:val="122EE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2238F6"/>
    <w:multiLevelType w:val="hybridMultilevel"/>
    <w:tmpl w:val="D2D0E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25D8A"/>
    <w:multiLevelType w:val="hybridMultilevel"/>
    <w:tmpl w:val="8C8AF798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A273413"/>
    <w:multiLevelType w:val="multilevel"/>
    <w:tmpl w:val="160E5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100A5C"/>
    <w:multiLevelType w:val="hybridMultilevel"/>
    <w:tmpl w:val="61CC485A"/>
    <w:lvl w:ilvl="0" w:tplc="D59EC3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E3AB0"/>
    <w:multiLevelType w:val="hybridMultilevel"/>
    <w:tmpl w:val="779AE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D483D"/>
    <w:multiLevelType w:val="hybridMultilevel"/>
    <w:tmpl w:val="1A687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A7AF2"/>
    <w:multiLevelType w:val="hybridMultilevel"/>
    <w:tmpl w:val="BC489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996B1D"/>
    <w:multiLevelType w:val="hybridMultilevel"/>
    <w:tmpl w:val="F1607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C2542"/>
    <w:multiLevelType w:val="hybridMultilevel"/>
    <w:tmpl w:val="0A969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CD59B7"/>
    <w:multiLevelType w:val="hybridMultilevel"/>
    <w:tmpl w:val="E91EAC2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25"/>
  </w:num>
  <w:num w:numId="4">
    <w:abstractNumId w:val="23"/>
  </w:num>
  <w:num w:numId="5">
    <w:abstractNumId w:val="7"/>
  </w:num>
  <w:num w:numId="6">
    <w:abstractNumId w:val="5"/>
  </w:num>
  <w:num w:numId="7">
    <w:abstractNumId w:val="4"/>
  </w:num>
  <w:num w:numId="8">
    <w:abstractNumId w:val="0"/>
  </w:num>
  <w:num w:numId="9">
    <w:abstractNumId w:val="31"/>
  </w:num>
  <w:num w:numId="10">
    <w:abstractNumId w:val="32"/>
  </w:num>
  <w:num w:numId="11">
    <w:abstractNumId w:val="0"/>
  </w:num>
  <w:num w:numId="12">
    <w:abstractNumId w:val="9"/>
  </w:num>
  <w:num w:numId="13">
    <w:abstractNumId w:val="6"/>
  </w:num>
  <w:num w:numId="14">
    <w:abstractNumId w:val="22"/>
  </w:num>
  <w:num w:numId="15">
    <w:abstractNumId w:val="0"/>
  </w:num>
  <w:num w:numId="16">
    <w:abstractNumId w:val="3"/>
  </w:num>
  <w:num w:numId="17">
    <w:abstractNumId w:val="15"/>
  </w:num>
  <w:num w:numId="18">
    <w:abstractNumId w:val="24"/>
  </w:num>
  <w:num w:numId="19">
    <w:abstractNumId w:val="19"/>
  </w:num>
  <w:num w:numId="20">
    <w:abstractNumId w:val="18"/>
  </w:num>
  <w:num w:numId="21">
    <w:abstractNumId w:val="0"/>
  </w:num>
  <w:num w:numId="22">
    <w:abstractNumId w:val="0"/>
  </w:num>
  <w:num w:numId="23">
    <w:abstractNumId w:val="13"/>
  </w:num>
  <w:num w:numId="24">
    <w:abstractNumId w:val="21"/>
  </w:num>
  <w:num w:numId="25">
    <w:abstractNumId w:val="11"/>
  </w:num>
  <w:num w:numId="26">
    <w:abstractNumId w:val="0"/>
  </w:num>
  <w:num w:numId="27">
    <w:abstractNumId w:val="0"/>
  </w:num>
  <w:num w:numId="28">
    <w:abstractNumId w:val="0"/>
  </w:num>
  <w:num w:numId="29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8"/>
  </w:num>
  <w:num w:numId="31">
    <w:abstractNumId w:val="12"/>
  </w:num>
  <w:num w:numId="32">
    <w:abstractNumId w:val="0"/>
  </w:num>
  <w:num w:numId="33">
    <w:abstractNumId w:val="27"/>
  </w:num>
  <w:num w:numId="34">
    <w:abstractNumId w:val="30"/>
  </w:num>
  <w:num w:numId="35">
    <w:abstractNumId w:val="16"/>
  </w:num>
  <w:num w:numId="36">
    <w:abstractNumId w:val="28"/>
  </w:num>
  <w:num w:numId="37">
    <w:abstractNumId w:val="33"/>
  </w:num>
  <w:num w:numId="38">
    <w:abstractNumId w:val="17"/>
  </w:num>
  <w:num w:numId="39">
    <w:abstractNumId w:val="29"/>
  </w:num>
  <w:num w:numId="40">
    <w:abstractNumId w:val="10"/>
  </w:num>
  <w:num w:numId="41">
    <w:abstractNumId w:val="26"/>
  </w:num>
  <w:num w:numId="42">
    <w:abstractNumId w:val="2"/>
  </w:num>
  <w:num w:numId="43">
    <w:abstractNumId w:val="1"/>
  </w:num>
  <w:num w:numId="44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numFmt w:val="chicago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211"/>
    <w:rsid w:val="000023AD"/>
    <w:rsid w:val="0000724D"/>
    <w:rsid w:val="00007BF6"/>
    <w:rsid w:val="00010440"/>
    <w:rsid w:val="00011E7B"/>
    <w:rsid w:val="000127E9"/>
    <w:rsid w:val="00013F9A"/>
    <w:rsid w:val="000147B5"/>
    <w:rsid w:val="00016C46"/>
    <w:rsid w:val="00016D73"/>
    <w:rsid w:val="00017EFF"/>
    <w:rsid w:val="0002180B"/>
    <w:rsid w:val="000229E8"/>
    <w:rsid w:val="00023A8C"/>
    <w:rsid w:val="0002468D"/>
    <w:rsid w:val="00026A5B"/>
    <w:rsid w:val="00033629"/>
    <w:rsid w:val="000348F2"/>
    <w:rsid w:val="000368E7"/>
    <w:rsid w:val="00036902"/>
    <w:rsid w:val="00036FEF"/>
    <w:rsid w:val="000372F5"/>
    <w:rsid w:val="00037A05"/>
    <w:rsid w:val="00040DB5"/>
    <w:rsid w:val="00042E50"/>
    <w:rsid w:val="0004369C"/>
    <w:rsid w:val="00043732"/>
    <w:rsid w:val="00044963"/>
    <w:rsid w:val="0004512A"/>
    <w:rsid w:val="00046833"/>
    <w:rsid w:val="000500BF"/>
    <w:rsid w:val="0005334B"/>
    <w:rsid w:val="0005374E"/>
    <w:rsid w:val="00057576"/>
    <w:rsid w:val="00057903"/>
    <w:rsid w:val="00060C2E"/>
    <w:rsid w:val="00061B7F"/>
    <w:rsid w:val="00062917"/>
    <w:rsid w:val="00062E55"/>
    <w:rsid w:val="00063129"/>
    <w:rsid w:val="00063299"/>
    <w:rsid w:val="00064A17"/>
    <w:rsid w:val="00064BAD"/>
    <w:rsid w:val="000650CC"/>
    <w:rsid w:val="000712FD"/>
    <w:rsid w:val="00075249"/>
    <w:rsid w:val="00077554"/>
    <w:rsid w:val="000801F9"/>
    <w:rsid w:val="000806D9"/>
    <w:rsid w:val="000807FD"/>
    <w:rsid w:val="00084991"/>
    <w:rsid w:val="0008630C"/>
    <w:rsid w:val="00086A3C"/>
    <w:rsid w:val="0009247F"/>
    <w:rsid w:val="00094523"/>
    <w:rsid w:val="00097132"/>
    <w:rsid w:val="000A1FD8"/>
    <w:rsid w:val="000A74A5"/>
    <w:rsid w:val="000A762C"/>
    <w:rsid w:val="000B0F01"/>
    <w:rsid w:val="000B1066"/>
    <w:rsid w:val="000B1A2B"/>
    <w:rsid w:val="000B3DDA"/>
    <w:rsid w:val="000B6E6A"/>
    <w:rsid w:val="000C03EB"/>
    <w:rsid w:val="000C099C"/>
    <w:rsid w:val="000C180D"/>
    <w:rsid w:val="000C3568"/>
    <w:rsid w:val="000C3595"/>
    <w:rsid w:val="000C6001"/>
    <w:rsid w:val="000C79FA"/>
    <w:rsid w:val="000D4A28"/>
    <w:rsid w:val="000D5000"/>
    <w:rsid w:val="000D77A7"/>
    <w:rsid w:val="000D7ED7"/>
    <w:rsid w:val="000E279D"/>
    <w:rsid w:val="000E690C"/>
    <w:rsid w:val="000F1570"/>
    <w:rsid w:val="000F3211"/>
    <w:rsid w:val="0010249F"/>
    <w:rsid w:val="00105D47"/>
    <w:rsid w:val="00106FEA"/>
    <w:rsid w:val="00113552"/>
    <w:rsid w:val="00114024"/>
    <w:rsid w:val="00114686"/>
    <w:rsid w:val="001168B5"/>
    <w:rsid w:val="00117160"/>
    <w:rsid w:val="00117881"/>
    <w:rsid w:val="00122011"/>
    <w:rsid w:val="00124298"/>
    <w:rsid w:val="00124DA6"/>
    <w:rsid w:val="00132AA0"/>
    <w:rsid w:val="00133013"/>
    <w:rsid w:val="00133436"/>
    <w:rsid w:val="00135F6E"/>
    <w:rsid w:val="001365B1"/>
    <w:rsid w:val="00141D29"/>
    <w:rsid w:val="00145411"/>
    <w:rsid w:val="0014764E"/>
    <w:rsid w:val="00147B6F"/>
    <w:rsid w:val="001503AE"/>
    <w:rsid w:val="001538CE"/>
    <w:rsid w:val="00153C2E"/>
    <w:rsid w:val="00155B64"/>
    <w:rsid w:val="00163B4D"/>
    <w:rsid w:val="001648B1"/>
    <w:rsid w:val="00166C3F"/>
    <w:rsid w:val="00166E18"/>
    <w:rsid w:val="00176A89"/>
    <w:rsid w:val="0017735C"/>
    <w:rsid w:val="0018150A"/>
    <w:rsid w:val="001837F4"/>
    <w:rsid w:val="001917EE"/>
    <w:rsid w:val="00191879"/>
    <w:rsid w:val="001A0571"/>
    <w:rsid w:val="001A2FBF"/>
    <w:rsid w:val="001A32E4"/>
    <w:rsid w:val="001A634D"/>
    <w:rsid w:val="001A6DAA"/>
    <w:rsid w:val="001B2536"/>
    <w:rsid w:val="001B36C7"/>
    <w:rsid w:val="001B3CBE"/>
    <w:rsid w:val="001B4182"/>
    <w:rsid w:val="001B5DB2"/>
    <w:rsid w:val="001C21FC"/>
    <w:rsid w:val="001D13D3"/>
    <w:rsid w:val="001D2919"/>
    <w:rsid w:val="001D49D3"/>
    <w:rsid w:val="001D6BB4"/>
    <w:rsid w:val="001D7541"/>
    <w:rsid w:val="001E0C69"/>
    <w:rsid w:val="001E133A"/>
    <w:rsid w:val="001E1812"/>
    <w:rsid w:val="001E21F0"/>
    <w:rsid w:val="001E5F89"/>
    <w:rsid w:val="001F05E6"/>
    <w:rsid w:val="001F102C"/>
    <w:rsid w:val="001F4EA9"/>
    <w:rsid w:val="001F5941"/>
    <w:rsid w:val="001F7613"/>
    <w:rsid w:val="001F7C55"/>
    <w:rsid w:val="0020411E"/>
    <w:rsid w:val="0020431B"/>
    <w:rsid w:val="00205D56"/>
    <w:rsid w:val="00207696"/>
    <w:rsid w:val="00215FC7"/>
    <w:rsid w:val="002178E9"/>
    <w:rsid w:val="00217BAD"/>
    <w:rsid w:val="00222311"/>
    <w:rsid w:val="00226574"/>
    <w:rsid w:val="00226962"/>
    <w:rsid w:val="00227EC8"/>
    <w:rsid w:val="002335DE"/>
    <w:rsid w:val="00235F5C"/>
    <w:rsid w:val="00240612"/>
    <w:rsid w:val="002418F9"/>
    <w:rsid w:val="00242D78"/>
    <w:rsid w:val="002449A2"/>
    <w:rsid w:val="00244D8D"/>
    <w:rsid w:val="002473D7"/>
    <w:rsid w:val="002474F6"/>
    <w:rsid w:val="00247912"/>
    <w:rsid w:val="00254B39"/>
    <w:rsid w:val="00254BB1"/>
    <w:rsid w:val="002557B1"/>
    <w:rsid w:val="00255895"/>
    <w:rsid w:val="002563C7"/>
    <w:rsid w:val="00266598"/>
    <w:rsid w:val="00274359"/>
    <w:rsid w:val="00274EA2"/>
    <w:rsid w:val="00275727"/>
    <w:rsid w:val="00277D27"/>
    <w:rsid w:val="002814B4"/>
    <w:rsid w:val="002818F1"/>
    <w:rsid w:val="00283F40"/>
    <w:rsid w:val="002878B6"/>
    <w:rsid w:val="0029288D"/>
    <w:rsid w:val="002938B4"/>
    <w:rsid w:val="00294B8F"/>
    <w:rsid w:val="002975B9"/>
    <w:rsid w:val="002A0B09"/>
    <w:rsid w:val="002A289F"/>
    <w:rsid w:val="002A2CC8"/>
    <w:rsid w:val="002A4505"/>
    <w:rsid w:val="002A494E"/>
    <w:rsid w:val="002A66F1"/>
    <w:rsid w:val="002B272D"/>
    <w:rsid w:val="002B42CD"/>
    <w:rsid w:val="002B4779"/>
    <w:rsid w:val="002B4C88"/>
    <w:rsid w:val="002B5819"/>
    <w:rsid w:val="002B5C8A"/>
    <w:rsid w:val="002B6F19"/>
    <w:rsid w:val="002C054A"/>
    <w:rsid w:val="002C4B3E"/>
    <w:rsid w:val="002C5484"/>
    <w:rsid w:val="002C585B"/>
    <w:rsid w:val="002D6BBD"/>
    <w:rsid w:val="002E47DE"/>
    <w:rsid w:val="002E481F"/>
    <w:rsid w:val="002E4C00"/>
    <w:rsid w:val="002E6FA4"/>
    <w:rsid w:val="002F16B3"/>
    <w:rsid w:val="002F32E8"/>
    <w:rsid w:val="002F49F5"/>
    <w:rsid w:val="002F663D"/>
    <w:rsid w:val="00302A94"/>
    <w:rsid w:val="00304052"/>
    <w:rsid w:val="003040A9"/>
    <w:rsid w:val="003056EA"/>
    <w:rsid w:val="00306C07"/>
    <w:rsid w:val="003073C1"/>
    <w:rsid w:val="0031019C"/>
    <w:rsid w:val="00311450"/>
    <w:rsid w:val="00314277"/>
    <w:rsid w:val="0031529B"/>
    <w:rsid w:val="00316790"/>
    <w:rsid w:val="00316DB8"/>
    <w:rsid w:val="00324A77"/>
    <w:rsid w:val="003251C5"/>
    <w:rsid w:val="003260C7"/>
    <w:rsid w:val="003279C2"/>
    <w:rsid w:val="00327B67"/>
    <w:rsid w:val="00330DE4"/>
    <w:rsid w:val="00331E6E"/>
    <w:rsid w:val="003333C2"/>
    <w:rsid w:val="0033406C"/>
    <w:rsid w:val="003366DB"/>
    <w:rsid w:val="003409B4"/>
    <w:rsid w:val="00340C7B"/>
    <w:rsid w:val="00341677"/>
    <w:rsid w:val="00344097"/>
    <w:rsid w:val="003447AE"/>
    <w:rsid w:val="0034531D"/>
    <w:rsid w:val="00347ABB"/>
    <w:rsid w:val="00347D37"/>
    <w:rsid w:val="00352717"/>
    <w:rsid w:val="00353CA6"/>
    <w:rsid w:val="00364F42"/>
    <w:rsid w:val="00367EEE"/>
    <w:rsid w:val="003732CD"/>
    <w:rsid w:val="003776AA"/>
    <w:rsid w:val="003819C9"/>
    <w:rsid w:val="00382C2A"/>
    <w:rsid w:val="00383159"/>
    <w:rsid w:val="003839F0"/>
    <w:rsid w:val="00384A3C"/>
    <w:rsid w:val="00386B52"/>
    <w:rsid w:val="0039007B"/>
    <w:rsid w:val="00390346"/>
    <w:rsid w:val="00390B0D"/>
    <w:rsid w:val="00392C0E"/>
    <w:rsid w:val="0039421E"/>
    <w:rsid w:val="003965E8"/>
    <w:rsid w:val="003A187F"/>
    <w:rsid w:val="003A1EEC"/>
    <w:rsid w:val="003A269F"/>
    <w:rsid w:val="003A5132"/>
    <w:rsid w:val="003C1595"/>
    <w:rsid w:val="003C1932"/>
    <w:rsid w:val="003C3BC2"/>
    <w:rsid w:val="003C5AD2"/>
    <w:rsid w:val="003D36F9"/>
    <w:rsid w:val="003D3DFE"/>
    <w:rsid w:val="003D585E"/>
    <w:rsid w:val="003E294A"/>
    <w:rsid w:val="003E3995"/>
    <w:rsid w:val="003F724F"/>
    <w:rsid w:val="004013E7"/>
    <w:rsid w:val="00402B9C"/>
    <w:rsid w:val="004057FD"/>
    <w:rsid w:val="00406BBF"/>
    <w:rsid w:val="00406DF9"/>
    <w:rsid w:val="004123EB"/>
    <w:rsid w:val="0041410A"/>
    <w:rsid w:val="0042165C"/>
    <w:rsid w:val="00424CFB"/>
    <w:rsid w:val="004274AF"/>
    <w:rsid w:val="00430C43"/>
    <w:rsid w:val="00430D0B"/>
    <w:rsid w:val="004349BE"/>
    <w:rsid w:val="0044483F"/>
    <w:rsid w:val="00446CEC"/>
    <w:rsid w:val="00451D00"/>
    <w:rsid w:val="00451E74"/>
    <w:rsid w:val="0045409D"/>
    <w:rsid w:val="00454493"/>
    <w:rsid w:val="004555C7"/>
    <w:rsid w:val="00456770"/>
    <w:rsid w:val="0045723D"/>
    <w:rsid w:val="0046065D"/>
    <w:rsid w:val="004606AD"/>
    <w:rsid w:val="00461D81"/>
    <w:rsid w:val="00462895"/>
    <w:rsid w:val="00463E11"/>
    <w:rsid w:val="00464565"/>
    <w:rsid w:val="004645E6"/>
    <w:rsid w:val="00464D3D"/>
    <w:rsid w:val="00465048"/>
    <w:rsid w:val="00473C35"/>
    <w:rsid w:val="0047457F"/>
    <w:rsid w:val="004776DB"/>
    <w:rsid w:val="00480AE9"/>
    <w:rsid w:val="004823EF"/>
    <w:rsid w:val="0048341C"/>
    <w:rsid w:val="004836DD"/>
    <w:rsid w:val="00483D16"/>
    <w:rsid w:val="0049059F"/>
    <w:rsid w:val="00491AE4"/>
    <w:rsid w:val="004965D1"/>
    <w:rsid w:val="00497681"/>
    <w:rsid w:val="004976B4"/>
    <w:rsid w:val="004A18B9"/>
    <w:rsid w:val="004A3956"/>
    <w:rsid w:val="004B0236"/>
    <w:rsid w:val="004B22EB"/>
    <w:rsid w:val="004B2C9F"/>
    <w:rsid w:val="004B3D0B"/>
    <w:rsid w:val="004B6AED"/>
    <w:rsid w:val="004B6DFF"/>
    <w:rsid w:val="004C4857"/>
    <w:rsid w:val="004C5CC9"/>
    <w:rsid w:val="004C5F4B"/>
    <w:rsid w:val="004C6C09"/>
    <w:rsid w:val="004C7304"/>
    <w:rsid w:val="004C77F8"/>
    <w:rsid w:val="004D065F"/>
    <w:rsid w:val="004D302D"/>
    <w:rsid w:val="004D33EE"/>
    <w:rsid w:val="004D4FA1"/>
    <w:rsid w:val="004D683E"/>
    <w:rsid w:val="004D7AA0"/>
    <w:rsid w:val="004D7CA5"/>
    <w:rsid w:val="004E16B1"/>
    <w:rsid w:val="004E26F6"/>
    <w:rsid w:val="004E2DAC"/>
    <w:rsid w:val="004E2E2A"/>
    <w:rsid w:val="004E334C"/>
    <w:rsid w:val="004E35A1"/>
    <w:rsid w:val="004F5ABF"/>
    <w:rsid w:val="004F6BD4"/>
    <w:rsid w:val="00500082"/>
    <w:rsid w:val="005000C7"/>
    <w:rsid w:val="00500769"/>
    <w:rsid w:val="00502683"/>
    <w:rsid w:val="00511F71"/>
    <w:rsid w:val="00513D6A"/>
    <w:rsid w:val="00514CB8"/>
    <w:rsid w:val="0051576F"/>
    <w:rsid w:val="00517698"/>
    <w:rsid w:val="00521F08"/>
    <w:rsid w:val="005221C2"/>
    <w:rsid w:val="00522D50"/>
    <w:rsid w:val="005237B9"/>
    <w:rsid w:val="00523EA1"/>
    <w:rsid w:val="00524210"/>
    <w:rsid w:val="0052622C"/>
    <w:rsid w:val="00526281"/>
    <w:rsid w:val="00526840"/>
    <w:rsid w:val="0053083D"/>
    <w:rsid w:val="00531BC3"/>
    <w:rsid w:val="005324A5"/>
    <w:rsid w:val="0053377F"/>
    <w:rsid w:val="00535B8C"/>
    <w:rsid w:val="005371DF"/>
    <w:rsid w:val="005379E6"/>
    <w:rsid w:val="00541A90"/>
    <w:rsid w:val="005437A1"/>
    <w:rsid w:val="00545E13"/>
    <w:rsid w:val="00547ED3"/>
    <w:rsid w:val="00550DFA"/>
    <w:rsid w:val="005517F1"/>
    <w:rsid w:val="005539ED"/>
    <w:rsid w:val="00555631"/>
    <w:rsid w:val="00557C2E"/>
    <w:rsid w:val="00560500"/>
    <w:rsid w:val="005611C1"/>
    <w:rsid w:val="0056195B"/>
    <w:rsid w:val="00561C7F"/>
    <w:rsid w:val="00563C5A"/>
    <w:rsid w:val="005676E7"/>
    <w:rsid w:val="00567B89"/>
    <w:rsid w:val="00567F63"/>
    <w:rsid w:val="00570AD5"/>
    <w:rsid w:val="00571E23"/>
    <w:rsid w:val="005744F0"/>
    <w:rsid w:val="00574741"/>
    <w:rsid w:val="005762B9"/>
    <w:rsid w:val="005806C1"/>
    <w:rsid w:val="00583637"/>
    <w:rsid w:val="00585588"/>
    <w:rsid w:val="005915F6"/>
    <w:rsid w:val="00596DDE"/>
    <w:rsid w:val="005A0894"/>
    <w:rsid w:val="005A2B1E"/>
    <w:rsid w:val="005A6511"/>
    <w:rsid w:val="005A7D2D"/>
    <w:rsid w:val="005B0778"/>
    <w:rsid w:val="005B54B4"/>
    <w:rsid w:val="005B6AD6"/>
    <w:rsid w:val="005C072E"/>
    <w:rsid w:val="005C42F1"/>
    <w:rsid w:val="005C4F18"/>
    <w:rsid w:val="005C586C"/>
    <w:rsid w:val="005C6663"/>
    <w:rsid w:val="005D06ED"/>
    <w:rsid w:val="005D3C17"/>
    <w:rsid w:val="005D7A26"/>
    <w:rsid w:val="005E231B"/>
    <w:rsid w:val="005E48BF"/>
    <w:rsid w:val="005E551F"/>
    <w:rsid w:val="005E602F"/>
    <w:rsid w:val="005F3A5D"/>
    <w:rsid w:val="005F43CB"/>
    <w:rsid w:val="006002AA"/>
    <w:rsid w:val="00600BE5"/>
    <w:rsid w:val="00602C85"/>
    <w:rsid w:val="00607448"/>
    <w:rsid w:val="00610449"/>
    <w:rsid w:val="00612035"/>
    <w:rsid w:val="00612613"/>
    <w:rsid w:val="0061332D"/>
    <w:rsid w:val="00616458"/>
    <w:rsid w:val="006170B6"/>
    <w:rsid w:val="0061719B"/>
    <w:rsid w:val="006205E6"/>
    <w:rsid w:val="00621E23"/>
    <w:rsid w:val="00623C77"/>
    <w:rsid w:val="006245A9"/>
    <w:rsid w:val="006257CC"/>
    <w:rsid w:val="00625981"/>
    <w:rsid w:val="00627F93"/>
    <w:rsid w:val="00633620"/>
    <w:rsid w:val="00635B41"/>
    <w:rsid w:val="006403BF"/>
    <w:rsid w:val="00640D60"/>
    <w:rsid w:val="00641712"/>
    <w:rsid w:val="006418AF"/>
    <w:rsid w:val="006428A1"/>
    <w:rsid w:val="00642F8E"/>
    <w:rsid w:val="00643041"/>
    <w:rsid w:val="006441E3"/>
    <w:rsid w:val="00644CC7"/>
    <w:rsid w:val="0065003F"/>
    <w:rsid w:val="006526AA"/>
    <w:rsid w:val="00655307"/>
    <w:rsid w:val="00655519"/>
    <w:rsid w:val="00655A59"/>
    <w:rsid w:val="00656829"/>
    <w:rsid w:val="00656D96"/>
    <w:rsid w:val="00656DB7"/>
    <w:rsid w:val="00667EF4"/>
    <w:rsid w:val="006700A7"/>
    <w:rsid w:val="006707A8"/>
    <w:rsid w:val="006742F5"/>
    <w:rsid w:val="00680E6C"/>
    <w:rsid w:val="006811D3"/>
    <w:rsid w:val="0068221A"/>
    <w:rsid w:val="006859EF"/>
    <w:rsid w:val="006868BE"/>
    <w:rsid w:val="0069002D"/>
    <w:rsid w:val="00693CE2"/>
    <w:rsid w:val="006952D6"/>
    <w:rsid w:val="006961AF"/>
    <w:rsid w:val="00696DF0"/>
    <w:rsid w:val="006975D7"/>
    <w:rsid w:val="006A00BE"/>
    <w:rsid w:val="006A289A"/>
    <w:rsid w:val="006A3A0F"/>
    <w:rsid w:val="006A5A18"/>
    <w:rsid w:val="006A5A32"/>
    <w:rsid w:val="006A5C97"/>
    <w:rsid w:val="006B0F3A"/>
    <w:rsid w:val="006B3F28"/>
    <w:rsid w:val="006B7A15"/>
    <w:rsid w:val="006C381F"/>
    <w:rsid w:val="006C52A7"/>
    <w:rsid w:val="006C5AC1"/>
    <w:rsid w:val="006C5CC3"/>
    <w:rsid w:val="006C5FA9"/>
    <w:rsid w:val="006C6B8B"/>
    <w:rsid w:val="006D0F41"/>
    <w:rsid w:val="006D3D86"/>
    <w:rsid w:val="006D7AF1"/>
    <w:rsid w:val="006E00EB"/>
    <w:rsid w:val="006E1EC9"/>
    <w:rsid w:val="006E2CC4"/>
    <w:rsid w:val="006E52FC"/>
    <w:rsid w:val="006E7F1C"/>
    <w:rsid w:val="006F0B52"/>
    <w:rsid w:val="006F263D"/>
    <w:rsid w:val="006F2FF4"/>
    <w:rsid w:val="006F3C03"/>
    <w:rsid w:val="006F5A0D"/>
    <w:rsid w:val="006F6D1B"/>
    <w:rsid w:val="0070377E"/>
    <w:rsid w:val="00704AEC"/>
    <w:rsid w:val="00705A91"/>
    <w:rsid w:val="00706A2A"/>
    <w:rsid w:val="0071388E"/>
    <w:rsid w:val="00715973"/>
    <w:rsid w:val="007169FF"/>
    <w:rsid w:val="00717069"/>
    <w:rsid w:val="00723D52"/>
    <w:rsid w:val="00725CAA"/>
    <w:rsid w:val="00732E0F"/>
    <w:rsid w:val="00733D56"/>
    <w:rsid w:val="00735F67"/>
    <w:rsid w:val="0074045B"/>
    <w:rsid w:val="007404A4"/>
    <w:rsid w:val="00743918"/>
    <w:rsid w:val="00744116"/>
    <w:rsid w:val="0074418A"/>
    <w:rsid w:val="0074559B"/>
    <w:rsid w:val="00752FF3"/>
    <w:rsid w:val="0075389B"/>
    <w:rsid w:val="00763E1B"/>
    <w:rsid w:val="00765A25"/>
    <w:rsid w:val="007664B1"/>
    <w:rsid w:val="00766D85"/>
    <w:rsid w:val="00774743"/>
    <w:rsid w:val="00777767"/>
    <w:rsid w:val="00780781"/>
    <w:rsid w:val="00783FF0"/>
    <w:rsid w:val="00784045"/>
    <w:rsid w:val="0078630E"/>
    <w:rsid w:val="0078695F"/>
    <w:rsid w:val="007922A4"/>
    <w:rsid w:val="00794345"/>
    <w:rsid w:val="0079579E"/>
    <w:rsid w:val="00797A81"/>
    <w:rsid w:val="007A049C"/>
    <w:rsid w:val="007A26D8"/>
    <w:rsid w:val="007A2B6F"/>
    <w:rsid w:val="007A6A16"/>
    <w:rsid w:val="007A7318"/>
    <w:rsid w:val="007B17AF"/>
    <w:rsid w:val="007B38C9"/>
    <w:rsid w:val="007B48BB"/>
    <w:rsid w:val="007B78F7"/>
    <w:rsid w:val="007C15EF"/>
    <w:rsid w:val="007C26C0"/>
    <w:rsid w:val="007C322E"/>
    <w:rsid w:val="007C4B10"/>
    <w:rsid w:val="007D0544"/>
    <w:rsid w:val="007D05FB"/>
    <w:rsid w:val="007D119D"/>
    <w:rsid w:val="007D1262"/>
    <w:rsid w:val="007D4945"/>
    <w:rsid w:val="007D5550"/>
    <w:rsid w:val="007E0812"/>
    <w:rsid w:val="007E125F"/>
    <w:rsid w:val="007E16FB"/>
    <w:rsid w:val="007E2FE2"/>
    <w:rsid w:val="007F124D"/>
    <w:rsid w:val="007F3858"/>
    <w:rsid w:val="007F5DE4"/>
    <w:rsid w:val="007F7F48"/>
    <w:rsid w:val="008019B6"/>
    <w:rsid w:val="00802A2B"/>
    <w:rsid w:val="00802E8A"/>
    <w:rsid w:val="00803903"/>
    <w:rsid w:val="0080421B"/>
    <w:rsid w:val="008062AB"/>
    <w:rsid w:val="00810F17"/>
    <w:rsid w:val="00811A9C"/>
    <w:rsid w:val="00811B11"/>
    <w:rsid w:val="00811C19"/>
    <w:rsid w:val="0081315F"/>
    <w:rsid w:val="00813E09"/>
    <w:rsid w:val="00814DA8"/>
    <w:rsid w:val="008168EE"/>
    <w:rsid w:val="00830830"/>
    <w:rsid w:val="00831B6E"/>
    <w:rsid w:val="00832479"/>
    <w:rsid w:val="00833709"/>
    <w:rsid w:val="00835C47"/>
    <w:rsid w:val="00841D97"/>
    <w:rsid w:val="00847EDD"/>
    <w:rsid w:val="00855EC0"/>
    <w:rsid w:val="00856CA9"/>
    <w:rsid w:val="00860216"/>
    <w:rsid w:val="00860268"/>
    <w:rsid w:val="00860804"/>
    <w:rsid w:val="00862946"/>
    <w:rsid w:val="00862CCF"/>
    <w:rsid w:val="0086336A"/>
    <w:rsid w:val="008669B8"/>
    <w:rsid w:val="00866C20"/>
    <w:rsid w:val="00866D94"/>
    <w:rsid w:val="00871345"/>
    <w:rsid w:val="00871C36"/>
    <w:rsid w:val="00873248"/>
    <w:rsid w:val="00874AA2"/>
    <w:rsid w:val="00875E3E"/>
    <w:rsid w:val="008805A2"/>
    <w:rsid w:val="00881363"/>
    <w:rsid w:val="008814FD"/>
    <w:rsid w:val="00881C20"/>
    <w:rsid w:val="00882397"/>
    <w:rsid w:val="0088760E"/>
    <w:rsid w:val="00887D96"/>
    <w:rsid w:val="008907D4"/>
    <w:rsid w:val="00890DE3"/>
    <w:rsid w:val="00891108"/>
    <w:rsid w:val="00893037"/>
    <w:rsid w:val="00895A48"/>
    <w:rsid w:val="00895E86"/>
    <w:rsid w:val="00897A4D"/>
    <w:rsid w:val="008A08B4"/>
    <w:rsid w:val="008A1E16"/>
    <w:rsid w:val="008A2CD5"/>
    <w:rsid w:val="008A6031"/>
    <w:rsid w:val="008A6CAE"/>
    <w:rsid w:val="008A7BC3"/>
    <w:rsid w:val="008B0130"/>
    <w:rsid w:val="008B0942"/>
    <w:rsid w:val="008B21DC"/>
    <w:rsid w:val="008B5001"/>
    <w:rsid w:val="008B6627"/>
    <w:rsid w:val="008B6827"/>
    <w:rsid w:val="008C0A6C"/>
    <w:rsid w:val="008C0E79"/>
    <w:rsid w:val="008C378C"/>
    <w:rsid w:val="008C3BC4"/>
    <w:rsid w:val="008C3C26"/>
    <w:rsid w:val="008C4E7B"/>
    <w:rsid w:val="008C776D"/>
    <w:rsid w:val="008D25C5"/>
    <w:rsid w:val="008D7C9D"/>
    <w:rsid w:val="008D7EAF"/>
    <w:rsid w:val="008E3397"/>
    <w:rsid w:val="008E6250"/>
    <w:rsid w:val="008E6691"/>
    <w:rsid w:val="008F1CF5"/>
    <w:rsid w:val="008F1E8B"/>
    <w:rsid w:val="008F28D2"/>
    <w:rsid w:val="008F7211"/>
    <w:rsid w:val="00901549"/>
    <w:rsid w:val="009027DF"/>
    <w:rsid w:val="009033F1"/>
    <w:rsid w:val="0090644B"/>
    <w:rsid w:val="009071B7"/>
    <w:rsid w:val="00910904"/>
    <w:rsid w:val="00910BF0"/>
    <w:rsid w:val="0091274D"/>
    <w:rsid w:val="00912E01"/>
    <w:rsid w:val="009136E1"/>
    <w:rsid w:val="00913A00"/>
    <w:rsid w:val="00914DE8"/>
    <w:rsid w:val="0092007C"/>
    <w:rsid w:val="0092188A"/>
    <w:rsid w:val="0092286E"/>
    <w:rsid w:val="009234FC"/>
    <w:rsid w:val="00924F76"/>
    <w:rsid w:val="00925773"/>
    <w:rsid w:val="00931AB5"/>
    <w:rsid w:val="00934823"/>
    <w:rsid w:val="00935070"/>
    <w:rsid w:val="00936E86"/>
    <w:rsid w:val="0094088F"/>
    <w:rsid w:val="009421AD"/>
    <w:rsid w:val="0094265C"/>
    <w:rsid w:val="00946D28"/>
    <w:rsid w:val="0095016C"/>
    <w:rsid w:val="0095066D"/>
    <w:rsid w:val="00952738"/>
    <w:rsid w:val="00954587"/>
    <w:rsid w:val="00955481"/>
    <w:rsid w:val="00955D3C"/>
    <w:rsid w:val="00957AE1"/>
    <w:rsid w:val="00957B86"/>
    <w:rsid w:val="00957BE0"/>
    <w:rsid w:val="00964844"/>
    <w:rsid w:val="00964DAB"/>
    <w:rsid w:val="009677BE"/>
    <w:rsid w:val="00972146"/>
    <w:rsid w:val="009746F8"/>
    <w:rsid w:val="00981003"/>
    <w:rsid w:val="00981C6C"/>
    <w:rsid w:val="009836F7"/>
    <w:rsid w:val="00984A62"/>
    <w:rsid w:val="0099132D"/>
    <w:rsid w:val="00991DB2"/>
    <w:rsid w:val="009926D8"/>
    <w:rsid w:val="0099444B"/>
    <w:rsid w:val="009A077E"/>
    <w:rsid w:val="009A1C1C"/>
    <w:rsid w:val="009A4C2D"/>
    <w:rsid w:val="009A7F6B"/>
    <w:rsid w:val="009B010A"/>
    <w:rsid w:val="009B2C11"/>
    <w:rsid w:val="009B3167"/>
    <w:rsid w:val="009B467F"/>
    <w:rsid w:val="009B4C81"/>
    <w:rsid w:val="009B6084"/>
    <w:rsid w:val="009C00DE"/>
    <w:rsid w:val="009C1502"/>
    <w:rsid w:val="009C271C"/>
    <w:rsid w:val="009C2A51"/>
    <w:rsid w:val="009C3C39"/>
    <w:rsid w:val="009C4156"/>
    <w:rsid w:val="009D1E89"/>
    <w:rsid w:val="009D21B4"/>
    <w:rsid w:val="009D23C9"/>
    <w:rsid w:val="009D27C2"/>
    <w:rsid w:val="009D2ACA"/>
    <w:rsid w:val="009D3276"/>
    <w:rsid w:val="009D32B5"/>
    <w:rsid w:val="009D3939"/>
    <w:rsid w:val="009D5CD5"/>
    <w:rsid w:val="009E0EF6"/>
    <w:rsid w:val="009E20FB"/>
    <w:rsid w:val="009E4CD9"/>
    <w:rsid w:val="009E4E81"/>
    <w:rsid w:val="009E6659"/>
    <w:rsid w:val="009E77E5"/>
    <w:rsid w:val="009E7BFC"/>
    <w:rsid w:val="009E7E60"/>
    <w:rsid w:val="009F1C78"/>
    <w:rsid w:val="009F42F8"/>
    <w:rsid w:val="009F71CC"/>
    <w:rsid w:val="00A01CCC"/>
    <w:rsid w:val="00A05324"/>
    <w:rsid w:val="00A06052"/>
    <w:rsid w:val="00A10CB6"/>
    <w:rsid w:val="00A12EB8"/>
    <w:rsid w:val="00A14A72"/>
    <w:rsid w:val="00A16EDA"/>
    <w:rsid w:val="00A22091"/>
    <w:rsid w:val="00A22532"/>
    <w:rsid w:val="00A253CA"/>
    <w:rsid w:val="00A25722"/>
    <w:rsid w:val="00A25A6D"/>
    <w:rsid w:val="00A266E1"/>
    <w:rsid w:val="00A301E9"/>
    <w:rsid w:val="00A32D3D"/>
    <w:rsid w:val="00A35326"/>
    <w:rsid w:val="00A35389"/>
    <w:rsid w:val="00A353A9"/>
    <w:rsid w:val="00A35E32"/>
    <w:rsid w:val="00A405A6"/>
    <w:rsid w:val="00A40BBD"/>
    <w:rsid w:val="00A41B9F"/>
    <w:rsid w:val="00A440C1"/>
    <w:rsid w:val="00A45631"/>
    <w:rsid w:val="00A46BD4"/>
    <w:rsid w:val="00A47334"/>
    <w:rsid w:val="00A52AA0"/>
    <w:rsid w:val="00A5354F"/>
    <w:rsid w:val="00A540A2"/>
    <w:rsid w:val="00A54DAB"/>
    <w:rsid w:val="00A55B84"/>
    <w:rsid w:val="00A55C2F"/>
    <w:rsid w:val="00A56200"/>
    <w:rsid w:val="00A5735C"/>
    <w:rsid w:val="00A6300A"/>
    <w:rsid w:val="00A6475D"/>
    <w:rsid w:val="00A64C51"/>
    <w:rsid w:val="00A7428E"/>
    <w:rsid w:val="00A76CDC"/>
    <w:rsid w:val="00A77C49"/>
    <w:rsid w:val="00A80A87"/>
    <w:rsid w:val="00A82A1A"/>
    <w:rsid w:val="00A832FD"/>
    <w:rsid w:val="00A83B33"/>
    <w:rsid w:val="00A8704B"/>
    <w:rsid w:val="00A96668"/>
    <w:rsid w:val="00A96C69"/>
    <w:rsid w:val="00A974DD"/>
    <w:rsid w:val="00AA2AB2"/>
    <w:rsid w:val="00AA4A9C"/>
    <w:rsid w:val="00AA7F69"/>
    <w:rsid w:val="00AB0BC0"/>
    <w:rsid w:val="00AC17BD"/>
    <w:rsid w:val="00AC1B35"/>
    <w:rsid w:val="00AC3879"/>
    <w:rsid w:val="00AC5E7D"/>
    <w:rsid w:val="00AC5F24"/>
    <w:rsid w:val="00AD0035"/>
    <w:rsid w:val="00AD2726"/>
    <w:rsid w:val="00AD35B9"/>
    <w:rsid w:val="00AD4265"/>
    <w:rsid w:val="00AD6551"/>
    <w:rsid w:val="00AE04E6"/>
    <w:rsid w:val="00AE2B62"/>
    <w:rsid w:val="00AE430B"/>
    <w:rsid w:val="00AE617E"/>
    <w:rsid w:val="00AE735C"/>
    <w:rsid w:val="00AF0424"/>
    <w:rsid w:val="00AF0A79"/>
    <w:rsid w:val="00AF1900"/>
    <w:rsid w:val="00AF2561"/>
    <w:rsid w:val="00AF5DD3"/>
    <w:rsid w:val="00AF61BD"/>
    <w:rsid w:val="00AF6963"/>
    <w:rsid w:val="00B02811"/>
    <w:rsid w:val="00B02DFE"/>
    <w:rsid w:val="00B03962"/>
    <w:rsid w:val="00B045E4"/>
    <w:rsid w:val="00B057EE"/>
    <w:rsid w:val="00B07F76"/>
    <w:rsid w:val="00B11080"/>
    <w:rsid w:val="00B11B09"/>
    <w:rsid w:val="00B11DD1"/>
    <w:rsid w:val="00B12733"/>
    <w:rsid w:val="00B13599"/>
    <w:rsid w:val="00B1390A"/>
    <w:rsid w:val="00B170B4"/>
    <w:rsid w:val="00B20682"/>
    <w:rsid w:val="00B21C0C"/>
    <w:rsid w:val="00B21F37"/>
    <w:rsid w:val="00B24092"/>
    <w:rsid w:val="00B3011E"/>
    <w:rsid w:val="00B3240D"/>
    <w:rsid w:val="00B3251A"/>
    <w:rsid w:val="00B345B4"/>
    <w:rsid w:val="00B34E10"/>
    <w:rsid w:val="00B37BD5"/>
    <w:rsid w:val="00B37C9F"/>
    <w:rsid w:val="00B405C1"/>
    <w:rsid w:val="00B409D2"/>
    <w:rsid w:val="00B4143A"/>
    <w:rsid w:val="00B421C9"/>
    <w:rsid w:val="00B4288C"/>
    <w:rsid w:val="00B45233"/>
    <w:rsid w:val="00B50211"/>
    <w:rsid w:val="00B5141E"/>
    <w:rsid w:val="00B53569"/>
    <w:rsid w:val="00B542D3"/>
    <w:rsid w:val="00B54775"/>
    <w:rsid w:val="00B56029"/>
    <w:rsid w:val="00B5610B"/>
    <w:rsid w:val="00B65097"/>
    <w:rsid w:val="00B65A83"/>
    <w:rsid w:val="00B6682D"/>
    <w:rsid w:val="00B706E8"/>
    <w:rsid w:val="00B70B4C"/>
    <w:rsid w:val="00B71E87"/>
    <w:rsid w:val="00B72269"/>
    <w:rsid w:val="00B72FF4"/>
    <w:rsid w:val="00B758E2"/>
    <w:rsid w:val="00B773C4"/>
    <w:rsid w:val="00B82150"/>
    <w:rsid w:val="00B82CA4"/>
    <w:rsid w:val="00B83666"/>
    <w:rsid w:val="00B8386E"/>
    <w:rsid w:val="00B8625E"/>
    <w:rsid w:val="00B90A18"/>
    <w:rsid w:val="00B9191C"/>
    <w:rsid w:val="00B922D6"/>
    <w:rsid w:val="00B923F2"/>
    <w:rsid w:val="00B9263F"/>
    <w:rsid w:val="00B938E7"/>
    <w:rsid w:val="00B96D5B"/>
    <w:rsid w:val="00B96F10"/>
    <w:rsid w:val="00BA0D64"/>
    <w:rsid w:val="00BA4B02"/>
    <w:rsid w:val="00BA5DDA"/>
    <w:rsid w:val="00BA62D0"/>
    <w:rsid w:val="00BA67EE"/>
    <w:rsid w:val="00BB0988"/>
    <w:rsid w:val="00BB0B81"/>
    <w:rsid w:val="00BB2EC5"/>
    <w:rsid w:val="00BB3146"/>
    <w:rsid w:val="00BB35B5"/>
    <w:rsid w:val="00BB5E94"/>
    <w:rsid w:val="00BC0E85"/>
    <w:rsid w:val="00BC3464"/>
    <w:rsid w:val="00BC390B"/>
    <w:rsid w:val="00BD15EE"/>
    <w:rsid w:val="00BD26B0"/>
    <w:rsid w:val="00BD326D"/>
    <w:rsid w:val="00BD397C"/>
    <w:rsid w:val="00BD41EF"/>
    <w:rsid w:val="00BD5FBB"/>
    <w:rsid w:val="00BD6E44"/>
    <w:rsid w:val="00BD761D"/>
    <w:rsid w:val="00BD7FC6"/>
    <w:rsid w:val="00BE49B5"/>
    <w:rsid w:val="00BF24BF"/>
    <w:rsid w:val="00BF32F1"/>
    <w:rsid w:val="00C00013"/>
    <w:rsid w:val="00C048AB"/>
    <w:rsid w:val="00C0494C"/>
    <w:rsid w:val="00C063C0"/>
    <w:rsid w:val="00C079B2"/>
    <w:rsid w:val="00C12B3C"/>
    <w:rsid w:val="00C17B17"/>
    <w:rsid w:val="00C24512"/>
    <w:rsid w:val="00C30783"/>
    <w:rsid w:val="00C32D62"/>
    <w:rsid w:val="00C34014"/>
    <w:rsid w:val="00C3446F"/>
    <w:rsid w:val="00C34576"/>
    <w:rsid w:val="00C34594"/>
    <w:rsid w:val="00C37E14"/>
    <w:rsid w:val="00C418D9"/>
    <w:rsid w:val="00C449CC"/>
    <w:rsid w:val="00C44FF2"/>
    <w:rsid w:val="00C453EC"/>
    <w:rsid w:val="00C46B16"/>
    <w:rsid w:val="00C5201B"/>
    <w:rsid w:val="00C526FA"/>
    <w:rsid w:val="00C544E7"/>
    <w:rsid w:val="00C549E1"/>
    <w:rsid w:val="00C62466"/>
    <w:rsid w:val="00C64B3E"/>
    <w:rsid w:val="00C67224"/>
    <w:rsid w:val="00C67FCD"/>
    <w:rsid w:val="00C70081"/>
    <w:rsid w:val="00C714DA"/>
    <w:rsid w:val="00C73346"/>
    <w:rsid w:val="00C73530"/>
    <w:rsid w:val="00C74D59"/>
    <w:rsid w:val="00C775E6"/>
    <w:rsid w:val="00C81DC8"/>
    <w:rsid w:val="00C826FB"/>
    <w:rsid w:val="00C87091"/>
    <w:rsid w:val="00C9252A"/>
    <w:rsid w:val="00C944AA"/>
    <w:rsid w:val="00C95685"/>
    <w:rsid w:val="00C96673"/>
    <w:rsid w:val="00C97587"/>
    <w:rsid w:val="00CA0AC9"/>
    <w:rsid w:val="00CA20DE"/>
    <w:rsid w:val="00CA55CE"/>
    <w:rsid w:val="00CA597E"/>
    <w:rsid w:val="00CA5A05"/>
    <w:rsid w:val="00CA7EFC"/>
    <w:rsid w:val="00CB0775"/>
    <w:rsid w:val="00CB3676"/>
    <w:rsid w:val="00CB56D7"/>
    <w:rsid w:val="00CB62F6"/>
    <w:rsid w:val="00CB7112"/>
    <w:rsid w:val="00CB7E30"/>
    <w:rsid w:val="00CC2522"/>
    <w:rsid w:val="00CC2ADE"/>
    <w:rsid w:val="00CC54DB"/>
    <w:rsid w:val="00CD206A"/>
    <w:rsid w:val="00CD53D7"/>
    <w:rsid w:val="00CD66D3"/>
    <w:rsid w:val="00CD7204"/>
    <w:rsid w:val="00CD7382"/>
    <w:rsid w:val="00CE627D"/>
    <w:rsid w:val="00CF4F52"/>
    <w:rsid w:val="00CF5531"/>
    <w:rsid w:val="00CF798D"/>
    <w:rsid w:val="00CF7B41"/>
    <w:rsid w:val="00CF7F25"/>
    <w:rsid w:val="00D01AA1"/>
    <w:rsid w:val="00D0614E"/>
    <w:rsid w:val="00D12077"/>
    <w:rsid w:val="00D12C6D"/>
    <w:rsid w:val="00D131F9"/>
    <w:rsid w:val="00D218B7"/>
    <w:rsid w:val="00D21E0D"/>
    <w:rsid w:val="00D22AA7"/>
    <w:rsid w:val="00D25ADB"/>
    <w:rsid w:val="00D2684A"/>
    <w:rsid w:val="00D30795"/>
    <w:rsid w:val="00D30E2A"/>
    <w:rsid w:val="00D33EDD"/>
    <w:rsid w:val="00D34E04"/>
    <w:rsid w:val="00D373EA"/>
    <w:rsid w:val="00D4019D"/>
    <w:rsid w:val="00D40DC5"/>
    <w:rsid w:val="00D42A62"/>
    <w:rsid w:val="00D44F86"/>
    <w:rsid w:val="00D45095"/>
    <w:rsid w:val="00D52825"/>
    <w:rsid w:val="00D53158"/>
    <w:rsid w:val="00D53233"/>
    <w:rsid w:val="00D60835"/>
    <w:rsid w:val="00D6214C"/>
    <w:rsid w:val="00D64A58"/>
    <w:rsid w:val="00D713C7"/>
    <w:rsid w:val="00D72940"/>
    <w:rsid w:val="00D72C2D"/>
    <w:rsid w:val="00D72FCC"/>
    <w:rsid w:val="00D75184"/>
    <w:rsid w:val="00D7655E"/>
    <w:rsid w:val="00D8094D"/>
    <w:rsid w:val="00D81456"/>
    <w:rsid w:val="00D8337A"/>
    <w:rsid w:val="00D85D87"/>
    <w:rsid w:val="00D85DD2"/>
    <w:rsid w:val="00D91D99"/>
    <w:rsid w:val="00D93B7B"/>
    <w:rsid w:val="00D95499"/>
    <w:rsid w:val="00DA027A"/>
    <w:rsid w:val="00DA1598"/>
    <w:rsid w:val="00DA64B8"/>
    <w:rsid w:val="00DB0E4A"/>
    <w:rsid w:val="00DB3E97"/>
    <w:rsid w:val="00DB4664"/>
    <w:rsid w:val="00DC0443"/>
    <w:rsid w:val="00DC3356"/>
    <w:rsid w:val="00DC48B1"/>
    <w:rsid w:val="00DC54FC"/>
    <w:rsid w:val="00DC5D66"/>
    <w:rsid w:val="00DC6694"/>
    <w:rsid w:val="00DD54CE"/>
    <w:rsid w:val="00DD5DFD"/>
    <w:rsid w:val="00DD6214"/>
    <w:rsid w:val="00DD7D50"/>
    <w:rsid w:val="00DE0B18"/>
    <w:rsid w:val="00DE112B"/>
    <w:rsid w:val="00DE23D4"/>
    <w:rsid w:val="00DE3DB0"/>
    <w:rsid w:val="00DE3DE3"/>
    <w:rsid w:val="00DE4DCC"/>
    <w:rsid w:val="00DE54CB"/>
    <w:rsid w:val="00DE6886"/>
    <w:rsid w:val="00DF1CC9"/>
    <w:rsid w:val="00DF3740"/>
    <w:rsid w:val="00DF44D2"/>
    <w:rsid w:val="00E063D8"/>
    <w:rsid w:val="00E06DE8"/>
    <w:rsid w:val="00E10E03"/>
    <w:rsid w:val="00E1252B"/>
    <w:rsid w:val="00E15040"/>
    <w:rsid w:val="00E15D03"/>
    <w:rsid w:val="00E201A4"/>
    <w:rsid w:val="00E204BE"/>
    <w:rsid w:val="00E209BF"/>
    <w:rsid w:val="00E21E5D"/>
    <w:rsid w:val="00E246FD"/>
    <w:rsid w:val="00E25C3B"/>
    <w:rsid w:val="00E273FB"/>
    <w:rsid w:val="00E3016B"/>
    <w:rsid w:val="00E3047F"/>
    <w:rsid w:val="00E33697"/>
    <w:rsid w:val="00E459A5"/>
    <w:rsid w:val="00E52129"/>
    <w:rsid w:val="00E530BB"/>
    <w:rsid w:val="00E578AE"/>
    <w:rsid w:val="00E622DB"/>
    <w:rsid w:val="00E64D91"/>
    <w:rsid w:val="00E67FD0"/>
    <w:rsid w:val="00E71D3D"/>
    <w:rsid w:val="00E72B00"/>
    <w:rsid w:val="00E757AB"/>
    <w:rsid w:val="00E76476"/>
    <w:rsid w:val="00E8427C"/>
    <w:rsid w:val="00E92233"/>
    <w:rsid w:val="00E930D3"/>
    <w:rsid w:val="00E94450"/>
    <w:rsid w:val="00E949EC"/>
    <w:rsid w:val="00E965AD"/>
    <w:rsid w:val="00E97E8A"/>
    <w:rsid w:val="00EA2A1F"/>
    <w:rsid w:val="00EB1359"/>
    <w:rsid w:val="00EB2BDA"/>
    <w:rsid w:val="00EB2EF0"/>
    <w:rsid w:val="00EB3E77"/>
    <w:rsid w:val="00EB5A26"/>
    <w:rsid w:val="00EC19BC"/>
    <w:rsid w:val="00EC1AB2"/>
    <w:rsid w:val="00EC3DDA"/>
    <w:rsid w:val="00EC6C9A"/>
    <w:rsid w:val="00EE2294"/>
    <w:rsid w:val="00EE3869"/>
    <w:rsid w:val="00EE48FD"/>
    <w:rsid w:val="00EE4A7B"/>
    <w:rsid w:val="00EE54A4"/>
    <w:rsid w:val="00EF4A40"/>
    <w:rsid w:val="00EF7F9D"/>
    <w:rsid w:val="00F005D6"/>
    <w:rsid w:val="00F00A80"/>
    <w:rsid w:val="00F029B8"/>
    <w:rsid w:val="00F04A6F"/>
    <w:rsid w:val="00F06D58"/>
    <w:rsid w:val="00F10336"/>
    <w:rsid w:val="00F15363"/>
    <w:rsid w:val="00F1539A"/>
    <w:rsid w:val="00F15CB1"/>
    <w:rsid w:val="00F163BC"/>
    <w:rsid w:val="00F16A24"/>
    <w:rsid w:val="00F2047D"/>
    <w:rsid w:val="00F20AB6"/>
    <w:rsid w:val="00F26199"/>
    <w:rsid w:val="00F27749"/>
    <w:rsid w:val="00F31799"/>
    <w:rsid w:val="00F31966"/>
    <w:rsid w:val="00F33024"/>
    <w:rsid w:val="00F33B69"/>
    <w:rsid w:val="00F40BB5"/>
    <w:rsid w:val="00F41ED9"/>
    <w:rsid w:val="00F47224"/>
    <w:rsid w:val="00F50E77"/>
    <w:rsid w:val="00F51110"/>
    <w:rsid w:val="00F55389"/>
    <w:rsid w:val="00F557DF"/>
    <w:rsid w:val="00F5582A"/>
    <w:rsid w:val="00F707EB"/>
    <w:rsid w:val="00F7333D"/>
    <w:rsid w:val="00F738D0"/>
    <w:rsid w:val="00F740F0"/>
    <w:rsid w:val="00F77531"/>
    <w:rsid w:val="00F830EE"/>
    <w:rsid w:val="00F841AF"/>
    <w:rsid w:val="00F842C1"/>
    <w:rsid w:val="00F87BA5"/>
    <w:rsid w:val="00F906F4"/>
    <w:rsid w:val="00FA0B5B"/>
    <w:rsid w:val="00FA0C24"/>
    <w:rsid w:val="00FA46B5"/>
    <w:rsid w:val="00FA5959"/>
    <w:rsid w:val="00FA6DBD"/>
    <w:rsid w:val="00FB2865"/>
    <w:rsid w:val="00FB2D4B"/>
    <w:rsid w:val="00FB2D8C"/>
    <w:rsid w:val="00FB7225"/>
    <w:rsid w:val="00FC0F88"/>
    <w:rsid w:val="00FC1154"/>
    <w:rsid w:val="00FC1FCA"/>
    <w:rsid w:val="00FC2748"/>
    <w:rsid w:val="00FC3450"/>
    <w:rsid w:val="00FD0A9B"/>
    <w:rsid w:val="00FD18B2"/>
    <w:rsid w:val="00FD25B0"/>
    <w:rsid w:val="00FD26FA"/>
    <w:rsid w:val="00FD3410"/>
    <w:rsid w:val="00FD66A1"/>
    <w:rsid w:val="00FD68F0"/>
    <w:rsid w:val="00FE2497"/>
    <w:rsid w:val="00FE4CF7"/>
    <w:rsid w:val="00FE5683"/>
    <w:rsid w:val="00FE7A03"/>
    <w:rsid w:val="00FF332E"/>
    <w:rsid w:val="00FF3E27"/>
    <w:rsid w:val="00FF588F"/>
    <w:rsid w:val="00FF7134"/>
    <w:rsid w:val="00FF74A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AF8BDD"/>
  <w15:docId w15:val="{A3FC1540-82DD-4ED2-83D2-F8542B18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ISans" w:eastAsia="BISans" w:hAnsi="BISans" w:cs="Angsana New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254BB1"/>
    <w:pPr>
      <w:spacing w:line="283" w:lineRule="atLeast"/>
    </w:pPr>
    <w:rPr>
      <w:szCs w:val="22"/>
      <w:lang w:val="de-DE" w:eastAsia="en-US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eastAsia="SimHei" w:cs="Times New Roman"/>
      <w:b/>
      <w:bCs/>
      <w:color w:val="003366"/>
      <w:sz w:val="36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4C88"/>
    <w:pPr>
      <w:keepNext/>
      <w:keepLines/>
      <w:spacing w:before="200"/>
      <w:outlineLvl w:val="1"/>
    </w:pPr>
    <w:rPr>
      <w:rFonts w:eastAsia="SimHei" w:cs="Times New Roman"/>
      <w:b/>
      <w:bCs/>
      <w:color w:val="00336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semiHidden/>
    <w:rsid w:val="002B4C88"/>
    <w:rPr>
      <w:rFonts w:ascii="BISans" w:eastAsia="SimHei" w:hAnsi="BISans" w:cs="Angsana New"/>
      <w:b/>
      <w:bCs/>
      <w:color w:val="003366"/>
      <w:sz w:val="36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743"/>
  </w:style>
  <w:style w:type="paragraph" w:styleId="Pidipagina">
    <w:name w:val="footer"/>
    <w:basedOn w:val="Normale"/>
    <w:link w:val="PidipaginaCarattere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74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F1C"/>
    <w:pPr>
      <w:spacing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qFormat/>
    <w:rsid w:val="00C62466"/>
    <w:pPr>
      <w:numPr>
        <w:ilvl w:val="1"/>
      </w:numPr>
      <w:spacing w:line="240" w:lineRule="auto"/>
    </w:pPr>
    <w:rPr>
      <w:rFonts w:eastAsia="SimHei" w:cs="Times New Roman"/>
      <w:b/>
      <w:iCs/>
      <w:color w:val="FF0000"/>
      <w:sz w:val="26"/>
      <w:szCs w:val="24"/>
      <w:lang w:val="x-none" w:eastAsia="x-none"/>
    </w:rPr>
  </w:style>
  <w:style w:type="character" w:customStyle="1" w:styleId="SottotitoloCarattere">
    <w:name w:val="Sottotitolo Carattere"/>
    <w:link w:val="Sottotitolo"/>
    <w:uiPriority w:val="11"/>
    <w:semiHidden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rFonts w:cs="Times New Roman"/>
      <w:color w:val="003366"/>
      <w:szCs w:val="20"/>
      <w:lang w:val="x-none" w:eastAsia="x-none"/>
    </w:rPr>
  </w:style>
  <w:style w:type="paragraph" w:customStyle="1" w:styleId="Einleitung">
    <w:name w:val="Einleitung"/>
    <w:basedOn w:val="Normale"/>
    <w:uiPriority w:val="3"/>
    <w:qFormat/>
    <w:rsid w:val="002B4C88"/>
    <w:rPr>
      <w:color w:val="003366"/>
    </w:rPr>
  </w:style>
  <w:style w:type="character" w:customStyle="1" w:styleId="Titolo2Carattere">
    <w:name w:val="Titolo 2 Carattere"/>
    <w:link w:val="Titolo2"/>
    <w:uiPriority w:val="9"/>
    <w:rsid w:val="002B4C88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Testosegnaposto">
    <w:name w:val="Placeholder Text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itolo1"/>
    <w:next w:val="Normale"/>
    <w:link w:val="HauptberschriftZchn"/>
    <w:uiPriority w:val="1"/>
    <w:qFormat/>
    <w:rsid w:val="002B4C88"/>
    <w:rPr>
      <w:b w:val="0"/>
      <w:bCs w:val="0"/>
    </w:rPr>
  </w:style>
  <w:style w:type="character" w:customStyle="1" w:styleId="HauptberschriftZchn">
    <w:name w:val="Hauptüberschrift Zchn"/>
    <w:link w:val="Hauptberschrift"/>
    <w:uiPriority w:val="1"/>
    <w:rsid w:val="00331E6E"/>
    <w:rPr>
      <w:rFonts w:ascii="BISans" w:eastAsia="SimHei" w:hAnsi="BISans" w:cs="Angsana New"/>
      <w:b w:val="0"/>
      <w:bCs w:val="0"/>
      <w:color w:val="003366"/>
      <w:sz w:val="36"/>
      <w:szCs w:val="28"/>
    </w:rPr>
  </w:style>
  <w:style w:type="paragraph" w:customStyle="1" w:styleId="Kapitelberschrift">
    <w:name w:val="Kapitelüberschrift"/>
    <w:basedOn w:val="Titolo2"/>
    <w:next w:val="Normale"/>
    <w:link w:val="KapitelberschriftZchn"/>
    <w:uiPriority w:val="1"/>
    <w:qFormat/>
    <w:rsid w:val="00B9191C"/>
    <w:pPr>
      <w:spacing w:before="0"/>
    </w:pPr>
    <w:rPr>
      <w:b w:val="0"/>
      <w:bCs w:val="0"/>
    </w:rPr>
  </w:style>
  <w:style w:type="character" w:customStyle="1" w:styleId="KapitelberschriftZchn">
    <w:name w:val="Kapitelüberschrift Zchn"/>
    <w:link w:val="Kapitelberschrift"/>
    <w:uiPriority w:val="1"/>
    <w:rsid w:val="00B9191C"/>
    <w:rPr>
      <w:rFonts w:ascii="BISans" w:eastAsia="SimHei" w:hAnsi="BISans" w:cs="Angsana New"/>
      <w:b w:val="0"/>
      <w:bCs w:val="0"/>
      <w:color w:val="003366"/>
      <w:sz w:val="20"/>
      <w:szCs w:val="26"/>
    </w:rPr>
  </w:style>
  <w:style w:type="character" w:styleId="Collegamentoipertestuale">
    <w:name w:val="Hyperlink"/>
    <w:uiPriority w:val="99"/>
    <w:semiHidden/>
    <w:rsid w:val="00086A3C"/>
    <w:rPr>
      <w:color w:val="auto"/>
      <w:u w:val="none"/>
    </w:rPr>
  </w:style>
  <w:style w:type="table" w:styleId="Grigliatabella">
    <w:name w:val="Table Grid"/>
    <w:basedOn w:val="Tabellanormale"/>
    <w:uiPriority w:val="59"/>
    <w:rsid w:val="00B6682D"/>
    <w:pPr>
      <w:jc w:val="center"/>
    </w:p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/>
      </w:rPr>
    </w:tblStylePr>
    <w:tblStylePr w:type="lastRow">
      <w:rPr>
        <w:b/>
      </w:rPr>
    </w:tblStylePr>
    <w:tblStylePr w:type="band2Vert">
      <w:tblPr/>
      <w:tcPr>
        <w:shd w:val="clear" w:color="auto" w:fill="FFC166"/>
      </w:tcPr>
    </w:tblStylePr>
    <w:tblStylePr w:type="band1Horz">
      <w:tblPr/>
      <w:tcPr>
        <w:shd w:val="clear" w:color="auto" w:fill="FFC166"/>
      </w:tcPr>
    </w:tblStylePr>
  </w:style>
  <w:style w:type="paragraph" w:customStyle="1" w:styleId="Ergnzungberschrift">
    <w:name w:val="Ergänzung Überschrift"/>
    <w:basedOn w:val="Sottotitolo"/>
    <w:next w:val="Hauptberschrift"/>
    <w:link w:val="ErgnzungberschriftZchn"/>
    <w:uiPriority w:val="2"/>
    <w:qFormat/>
    <w:rsid w:val="00331E6E"/>
    <w:rPr>
      <w:b w:val="0"/>
      <w:iCs w:val="0"/>
    </w:rPr>
  </w:style>
  <w:style w:type="character" w:customStyle="1" w:styleId="ErgnzungberschriftZchn">
    <w:name w:val="Ergänzung Überschrift Zchn"/>
    <w:link w:val="Ergnzungberschrift"/>
    <w:uiPriority w:val="2"/>
    <w:rsid w:val="00331E6E"/>
    <w:rPr>
      <w:rFonts w:ascii="BISans" w:eastAsia="SimHei" w:hAnsi="BISans" w:cs="Angsana New"/>
      <w:b w:val="0"/>
      <w:iCs w:val="0"/>
      <w:color w:val="FF0000"/>
      <w:sz w:val="26"/>
      <w:szCs w:val="24"/>
    </w:rPr>
  </w:style>
  <w:style w:type="paragraph" w:customStyle="1" w:styleId="Nummerierung">
    <w:name w:val="Nummerierung"/>
    <w:basedOn w:val="Paragrafoelenco"/>
    <w:uiPriority w:val="20"/>
    <w:qFormat/>
    <w:rsid w:val="00254BB1"/>
    <w:pPr>
      <w:numPr>
        <w:numId w:val="2"/>
      </w:numPr>
      <w:ind w:left="227" w:hanging="227"/>
    </w:pPr>
    <w:rPr>
      <w:color w:val="auto"/>
    </w:rPr>
  </w:style>
  <w:style w:type="paragraph" w:customStyle="1" w:styleId="PRH2">
    <w:name w:val="PR_H2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e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="BISans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val="en-GB" w:eastAsia="en-GB"/>
    </w:rPr>
  </w:style>
  <w:style w:type="character" w:customStyle="1" w:styleId="TestonotadichiusuraCarattere">
    <w:name w:val="Testo nota di chiusura Carattere"/>
    <w:link w:val="Testonotadichiusura"/>
    <w:uiPriority w:val="99"/>
    <w:rsid w:val="00644CC7"/>
    <w:rPr>
      <w:rFonts w:ascii="Times New Roman" w:hAnsi="Times New Roman" w:cs="Times New Roman"/>
      <w:sz w:val="20"/>
      <w:szCs w:val="20"/>
      <w:lang w:val="en-GB" w:eastAsia="en-GB"/>
    </w:rPr>
  </w:style>
  <w:style w:type="character" w:styleId="Rimandonotadichiusura">
    <w:name w:val="endnote reference"/>
    <w:uiPriority w:val="99"/>
    <w:unhideWhenUsed/>
    <w:rsid w:val="00644CC7"/>
    <w:rPr>
      <w:vertAlign w:val="superscript"/>
    </w:rPr>
  </w:style>
  <w:style w:type="character" w:styleId="Rimandocommento">
    <w:name w:val="annotation reference"/>
    <w:unhideWhenUsed/>
    <w:rsid w:val="00644C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44CC7"/>
    <w:pPr>
      <w:spacing w:line="240" w:lineRule="auto"/>
    </w:pPr>
    <w:rPr>
      <w:rFonts w:ascii="Arial" w:eastAsia="MS Mincho" w:hAnsi="Arial" w:cs="Times New Roman"/>
      <w:szCs w:val="20"/>
      <w:lang w:val="en-GB" w:eastAsia="en-GB"/>
    </w:rPr>
  </w:style>
  <w:style w:type="character" w:customStyle="1" w:styleId="TestocommentoCarattere">
    <w:name w:val="Testo commento Carattere"/>
    <w:link w:val="Testocommento"/>
    <w:uiPriority w:val="99"/>
    <w:rsid w:val="00644CC7"/>
    <w:rPr>
      <w:rFonts w:ascii="Arial" w:eastAsia="MS Mincho" w:hAnsi="Arial" w:cs="Arial"/>
      <w:sz w:val="20"/>
      <w:szCs w:val="20"/>
      <w:lang w:val="en-GB" w:eastAsia="en-GB"/>
    </w:rPr>
  </w:style>
  <w:style w:type="paragraph" w:styleId="Nessunaspaziatura">
    <w:name w:val="No Spacing"/>
    <w:uiPriority w:val="1"/>
    <w:qFormat/>
    <w:rsid w:val="000F3211"/>
    <w:rPr>
      <w:rFonts w:ascii="Times New Roman" w:eastAsia="Times New Roman" w:hAnsi="Times New Roman" w:cs="Times New Roman"/>
      <w:lang w:val="de-DE" w:eastAsia="en-US"/>
    </w:rPr>
  </w:style>
  <w:style w:type="paragraph" w:customStyle="1" w:styleId="Default">
    <w:name w:val="Default"/>
    <w:rsid w:val="000F3211"/>
    <w:pPr>
      <w:widowControl w:val="0"/>
      <w:autoSpaceDE w:val="0"/>
      <w:autoSpaceDN w:val="0"/>
      <w:adjustRightInd w:val="0"/>
    </w:pPr>
    <w:rPr>
      <w:rFonts w:eastAsia="Times New Roman" w:cs="BISans"/>
      <w:color w:val="000000"/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unhideWhenUsed/>
    <w:rsid w:val="000F3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ParagrafoelencoCarattere">
    <w:name w:val="Paragrafo elenco Carattere"/>
    <w:link w:val="Paragrafoelenco"/>
    <w:uiPriority w:val="34"/>
    <w:locked/>
    <w:rsid w:val="000F3211"/>
    <w:rPr>
      <w:color w:val="003366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33B6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33B69"/>
    <w:rPr>
      <w:rFonts w:ascii="Arial" w:eastAsia="MS Mincho" w:hAnsi="Arial" w:cs="Arial"/>
      <w:b/>
      <w:bCs/>
      <w:sz w:val="20"/>
      <w:szCs w:val="20"/>
      <w:lang w:val="en-GB" w:eastAsia="en-GB"/>
    </w:rPr>
  </w:style>
  <w:style w:type="character" w:customStyle="1" w:styleId="A17">
    <w:name w:val="A17"/>
    <w:uiPriority w:val="99"/>
    <w:rsid w:val="009E6659"/>
    <w:rPr>
      <w:rFonts w:ascii="HelveticaNeueLT Std" w:hAnsi="HelveticaNeueLT Std" w:cs="HelveticaNeueLT Std" w:hint="default"/>
      <w:color w:val="57585A"/>
      <w:sz w:val="14"/>
      <w:szCs w:val="14"/>
    </w:rPr>
  </w:style>
  <w:style w:type="character" w:customStyle="1" w:styleId="A18">
    <w:name w:val="A18"/>
    <w:uiPriority w:val="99"/>
    <w:rsid w:val="009E6659"/>
    <w:rPr>
      <w:rFonts w:ascii="HelveticaNeueLT Std" w:hAnsi="HelveticaNeueLT Std" w:cs="HelveticaNeueLT Std" w:hint="default"/>
      <w:color w:val="57585A"/>
      <w:sz w:val="8"/>
      <w:szCs w:val="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49EC"/>
    <w:pPr>
      <w:spacing w:line="240" w:lineRule="auto"/>
    </w:pPr>
    <w:rPr>
      <w:rFonts w:cs="Times New Roman"/>
      <w:szCs w:val="20"/>
      <w:lang w:val="x-non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E949EC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49EC"/>
    <w:rPr>
      <w:vertAlign w:val="superscript"/>
    </w:rPr>
  </w:style>
  <w:style w:type="character" w:customStyle="1" w:styleId="apple-converted-space">
    <w:name w:val="apple-converted-space"/>
    <w:basedOn w:val="Carpredefinitoparagrafo"/>
    <w:rsid w:val="00E949EC"/>
  </w:style>
  <w:style w:type="character" w:customStyle="1" w:styleId="slug-pub-date3">
    <w:name w:val="slug-pub-date3"/>
    <w:rsid w:val="000B1A2B"/>
    <w:rPr>
      <w:b/>
      <w:bCs/>
    </w:rPr>
  </w:style>
  <w:style w:type="character" w:customStyle="1" w:styleId="slug-vol2">
    <w:name w:val="slug-vol2"/>
    <w:basedOn w:val="Carpredefinitoparagrafo"/>
    <w:rsid w:val="000B1A2B"/>
  </w:style>
  <w:style w:type="character" w:customStyle="1" w:styleId="slug-pages3">
    <w:name w:val="slug-pages3"/>
    <w:rsid w:val="000B1A2B"/>
    <w:rPr>
      <w:b/>
      <w:bCs/>
    </w:rPr>
  </w:style>
  <w:style w:type="paragraph" w:customStyle="1" w:styleId="Pa2">
    <w:name w:val="Pa2"/>
    <w:basedOn w:val="Normale"/>
    <w:next w:val="Normale"/>
    <w:uiPriority w:val="99"/>
    <w:rsid w:val="000B1A2B"/>
    <w:pPr>
      <w:autoSpaceDE w:val="0"/>
      <w:autoSpaceDN w:val="0"/>
      <w:adjustRightInd w:val="0"/>
      <w:spacing w:line="241" w:lineRule="atLeast"/>
    </w:pPr>
    <w:rPr>
      <w:rFonts w:ascii="HelveticaNeueLT Std" w:hAnsi="HelveticaNeueLT Std" w:cs="Tahoma"/>
      <w:sz w:val="24"/>
      <w:szCs w:val="24"/>
      <w:lang w:val="en-GB" w:eastAsia="en-GB"/>
    </w:rPr>
  </w:style>
  <w:style w:type="paragraph" w:styleId="Corpodeltesto2">
    <w:name w:val="Body Text 2"/>
    <w:basedOn w:val="Normale"/>
    <w:link w:val="Corpodeltesto2Carattere"/>
    <w:semiHidden/>
    <w:unhideWhenUsed/>
    <w:rsid w:val="000229E8"/>
    <w:pPr>
      <w:spacing w:line="240" w:lineRule="auto"/>
      <w:ind w:right="567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Corpodeltesto2Carattere">
    <w:name w:val="Corpo del testo 2 Carattere"/>
    <w:link w:val="Corpodeltesto2"/>
    <w:semiHidden/>
    <w:rsid w:val="000229E8"/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character" w:customStyle="1" w:styleId="number">
    <w:name w:val="number"/>
    <w:basedOn w:val="Carpredefinitoparagrafo"/>
    <w:rsid w:val="00141D29"/>
  </w:style>
  <w:style w:type="character" w:customStyle="1" w:styleId="Header1">
    <w:name w:val="Header1"/>
    <w:basedOn w:val="Carpredefinitoparagrafo"/>
    <w:rsid w:val="00141D29"/>
  </w:style>
  <w:style w:type="paragraph" w:customStyle="1" w:styleId="name">
    <w:name w:val="name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ddress">
    <w:name w:val="address"/>
    <w:basedOn w:val="Normale"/>
    <w:rsid w:val="00141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corsivo">
    <w:name w:val="Emphasis"/>
    <w:uiPriority w:val="20"/>
    <w:qFormat/>
    <w:rsid w:val="00897A4D"/>
    <w:rPr>
      <w:i/>
      <w:iCs/>
    </w:rPr>
  </w:style>
  <w:style w:type="character" w:styleId="Enfasigrassetto">
    <w:name w:val="Strong"/>
    <w:uiPriority w:val="22"/>
    <w:qFormat/>
    <w:rsid w:val="002A2CC8"/>
    <w:rPr>
      <w:b/>
      <w:bCs/>
    </w:rPr>
  </w:style>
  <w:style w:type="paragraph" w:styleId="Revisione">
    <w:name w:val="Revision"/>
    <w:hidden/>
    <w:uiPriority w:val="99"/>
    <w:semiHidden/>
    <w:rsid w:val="00AD6551"/>
    <w:rPr>
      <w:szCs w:val="22"/>
      <w:lang w:val="de-DE" w:eastAsia="en-US"/>
    </w:rPr>
  </w:style>
  <w:style w:type="character" w:customStyle="1" w:styleId="ColorfulList-Accent1Char">
    <w:name w:val="Colorful List - Accent 1 Char"/>
    <w:link w:val="Elencoacolori-Colore1"/>
    <w:uiPriority w:val="34"/>
    <w:locked/>
    <w:rsid w:val="009E0EF6"/>
    <w:rPr>
      <w:color w:val="003366"/>
      <w:szCs w:val="22"/>
    </w:rPr>
  </w:style>
  <w:style w:type="table" w:styleId="Elencoacolori-Colore1">
    <w:name w:val="Colorful List Accent 1"/>
    <w:basedOn w:val="Tabellanormale"/>
    <w:link w:val="ColorfulList-Accent1Char"/>
    <w:uiPriority w:val="34"/>
    <w:rsid w:val="009E0EF6"/>
    <w:rPr>
      <w:color w:val="003366"/>
      <w:szCs w:val="22"/>
      <w:lang w:val="x-none" w:eastAsia="x-none" w:bidi="x-none"/>
    </w:rPr>
    <w:tblPr>
      <w:tblStyleRowBandSize w:val="1"/>
      <w:tblStyleColBandSize w:val="1"/>
    </w:tblPr>
    <w:tcPr>
      <w:shd w:val="clear" w:color="auto" w:fill="FFF5E6"/>
    </w:tcPr>
    <w:tblStylePr w:type="firstRow">
      <w:tblPr/>
      <w:tcPr>
        <w:tcBorders>
          <w:bottom w:val="single" w:sz="12" w:space="0" w:color="FFFFFF"/>
        </w:tcBorders>
        <w:shd w:val="clear" w:color="auto" w:fill="CC0000"/>
      </w:tcPr>
    </w:tblStylePr>
    <w:tblStylePr w:type="lastRow">
      <w:tblPr/>
      <w:tcPr>
        <w:tcBorders>
          <w:top w:val="single" w:sz="12" w:space="0" w:color="003366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C0"/>
      </w:tcPr>
    </w:tblStylePr>
    <w:tblStylePr w:type="band1Horz">
      <w:tblPr/>
      <w:tcPr>
        <w:shd w:val="clear" w:color="auto" w:fill="FFEACC"/>
      </w:tcPr>
    </w:tblStylePr>
  </w:style>
  <w:style w:type="paragraph" w:customStyle="1" w:styleId="last">
    <w:name w:val="last"/>
    <w:basedOn w:val="Normale"/>
    <w:rsid w:val="000C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8899">
          <w:marLeft w:val="4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4923">
              <w:marLeft w:val="0"/>
              <w:marRight w:val="0"/>
              <w:marTop w:val="24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2736">
              <w:marLeft w:val="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youtube.com/user/boehringeringelhei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twitter.com/Boehringer" TargetMode="External"/><Relationship Id="rId17" Type="http://schemas.openxmlformats.org/officeDocument/2006/relationships/hyperlink" Target="mailto:ml.paleari@vrelations.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rina.guffanti@boehringer-ingelheim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loria-af.com/public/about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instagram.com/boehringer_ingelhei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interest.com/biglobal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ehringer-ingelheim.com" TargetMode="External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hyperlink" Target="mailto:marina.guffanti@boehringer-ingelheim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hyperlink" Target="http://www.boehringer-ingelheim.com" TargetMode="External"/><Relationship Id="rId4" Type="http://schemas.openxmlformats.org/officeDocument/2006/relationships/image" Target="media/image3.png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avroleon\Downloads\PressReleaseTemplate_english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EF490D8C6B540977A6A676659AC77" ma:contentTypeVersion="3" ma:contentTypeDescription="Create a new document." ma:contentTypeScope="" ma:versionID="843da56ecb5c71f2afb896273e97d831">
  <xsd:schema xmlns:xsd="http://www.w3.org/2001/XMLSchema" xmlns:xs="http://www.w3.org/2001/XMLSchema" xmlns:p="http://schemas.microsoft.com/office/2006/metadata/properties" xmlns:ns2="4b0a9e9a-f31d-4ffd-97c3-2923baa45746" targetNamespace="http://schemas.microsoft.com/office/2006/metadata/properties" ma:root="true" ma:fieldsID="f1fba6d33bb9161afffc4fc0de65723d" ns2:_="">
    <xsd:import namespace="4b0a9e9a-f31d-4ffd-97c3-2923baa45746"/>
    <xsd:element name="properties">
      <xsd:complexType>
        <xsd:sequence>
          <xsd:element name="documentManagement">
            <xsd:complexType>
              <xsd:all>
                <xsd:element ref="ns2:Document_x0020_Status"/>
                <xsd:element ref="ns2:Topic"/>
                <xsd:element ref="ns2:PR_x0020_Tool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a9e9a-f31d-4ffd-97c3-2923baa45746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8" ma:displayName="Document Status" ma:default="Draft" ma:format="Dropdown" ma:internalName="Document_x0020_Status">
      <xsd:simpleType>
        <xsd:restriction base="dms:Choice">
          <xsd:enumeration value="Draft"/>
          <xsd:enumeration value="Final"/>
        </xsd:restriction>
      </xsd:simpleType>
    </xsd:element>
    <xsd:element name="Topic" ma:index="9" ma:displayName="Category" ma:format="Dropdown" ma:internalName="Topic">
      <xsd:simpleType>
        <xsd:restriction base="dms:Choice">
          <xsd:enumeration value="Administrative (internal meetings, contact sheets, project trackers, budgets/billing, org charts, policies/procedures)"/>
          <xsd:enumeration value="Business Development and Licensing (R&amp;D Collaboration)"/>
          <xsd:enumeration value="Clinical Milestones (Data, FPI, LPI, EAP, Recruitment, HEOR)"/>
          <xsd:enumeration value="Corporate Topics"/>
          <xsd:enumeration value="Disease Awareness"/>
          <xsd:enumeration value="Issues / Rapid Response"/>
          <xsd:enumeration value="Marketing and Sales Materials (POA)"/>
          <xsd:enumeration value="News Bureau"/>
          <xsd:enumeration value="Regulatory Milestones (NDA Filing, Adcom, Approvals, Label Updates, Warning Letter, Complete Response Letter)"/>
          <xsd:enumeration value="Results Reporting &amp; Measurement (includes measurement tracker, results slides, highlights/sizzle reels)"/>
          <xsd:enumeration value="Spokespeople (includes contracts, receipts, recommendations, databases, media prep)"/>
        </xsd:restriction>
      </xsd:simpleType>
    </xsd:element>
    <xsd:element name="PR_x0020_Tool" ma:index="10" ma:displayName="Tools" ma:format="Dropdown" ma:internalName="PR_x0020_Tool">
      <xsd:simpleType>
        <xsd:restriction base="dms:Choice">
          <xsd:enumeration value="Brochure"/>
          <xsd:enumeration value="Budget tracker"/>
          <xsd:enumeration value="Communications Cascade"/>
          <xsd:enumeration value="Concept Brief"/>
          <xsd:enumeration value="Contact Sheet"/>
          <xsd:enumeration value="Contract"/>
          <xsd:enumeration value="Controlled Media (ANR/MAT release)"/>
          <xsd:enumeration value="Editorial Calendar"/>
          <xsd:enumeration value="Fact Sheet"/>
          <xsd:enumeration value="Infographic"/>
          <xsd:enumeration value="Internal communications (MyBI article )"/>
          <xsd:enumeration value="Itinerary"/>
          <xsd:enumeration value="Media and stakeholder notification (invitation)"/>
          <xsd:enumeration value="Media audit"/>
          <xsd:enumeration value="Media statement"/>
          <xsd:enumeration value="Messages"/>
          <xsd:enumeration value="Microsite/website"/>
          <xsd:enumeration value="News release"/>
          <xsd:enumeration value="Org chart"/>
          <xsd:enumeration value="Plans, presentations, timelines"/>
          <xsd:enumeration value="Policies and Procedures"/>
          <xsd:enumeration value="Pre-read/brief"/>
          <xsd:enumeration value="Profile/Bio"/>
          <xsd:enumeration value="Results Report"/>
          <xsd:enumeration value="SMT/RMT"/>
          <xsd:enumeration value="Social Media Content"/>
          <xsd:enumeration value="Survey"/>
          <xsd:enumeration value="Transcrip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4b0a9e9a-f31d-4ffd-97c3-2923baa45746">Clinical Milestones (Data, FPI, LPI, EAP, Recruitment, HEOR)</Topic>
    <Document_x0020_Status xmlns="4b0a9e9a-f31d-4ffd-97c3-2923baa45746">Draft</Document_x0020_Status>
    <PR_x0020_Tool xmlns="4b0a9e9a-f31d-4ffd-97c3-2923baa45746">News release</PR_x0020_Too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D702D-F9FC-4C55-B1AA-7359C5569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0a9e9a-f31d-4ffd-97c3-2923baa457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295EC4-8ADB-4D99-82A9-C9BFD1DDD132}">
  <ds:schemaRefs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4b0a9e9a-f31d-4ffd-97c3-2923baa45746"/>
  </ds:schemaRefs>
</ds:datastoreItem>
</file>

<file path=customXml/itemProps3.xml><?xml version="1.0" encoding="utf-8"?>
<ds:datastoreItem xmlns:ds="http://schemas.openxmlformats.org/officeDocument/2006/customXml" ds:itemID="{B4AED47D-33DB-4CF8-B4B1-8761E65A4D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B5D17F-A605-4150-BEA2-BE7A9FDB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PressReleaseTemplate_english</Template>
  <TotalTime>6</TotalTime>
  <Pages>6</Pages>
  <Words>1561</Words>
  <Characters>8898</Characters>
  <Application>Microsoft Office Word</Application>
  <DocSecurity>0</DocSecurity>
  <Lines>74</Lines>
  <Paragraphs>20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10439</CharactersWithSpaces>
  <SharedDoc>false</SharedDoc>
  <HLinks>
    <vt:vector size="48" baseType="variant">
      <vt:variant>
        <vt:i4>327766</vt:i4>
      </vt:variant>
      <vt:variant>
        <vt:i4>21</vt:i4>
      </vt:variant>
      <vt:variant>
        <vt:i4>0</vt:i4>
      </vt:variant>
      <vt:variant>
        <vt:i4>5</vt:i4>
      </vt:variant>
      <vt:variant>
        <vt:lpwstr>http://www.who.int/respiratory/copd/burden/en/index.html</vt:lpwstr>
      </vt:variant>
      <vt:variant>
        <vt:lpwstr/>
      </vt:variant>
      <vt:variant>
        <vt:i4>6029331</vt:i4>
      </vt:variant>
      <vt:variant>
        <vt:i4>18</vt:i4>
      </vt:variant>
      <vt:variant>
        <vt:i4>0</vt:i4>
      </vt:variant>
      <vt:variant>
        <vt:i4>5</vt:i4>
      </vt:variant>
      <vt:variant>
        <vt:lpwstr>http://www.who.int/gard/publications/chronic_respiratory_diseases.pdf</vt:lpwstr>
      </vt:variant>
      <vt:variant>
        <vt:lpwstr/>
      </vt:variant>
      <vt:variant>
        <vt:i4>4194305</vt:i4>
      </vt:variant>
      <vt:variant>
        <vt:i4>15</vt:i4>
      </vt:variant>
      <vt:variant>
        <vt:i4>0</vt:i4>
      </vt:variant>
      <vt:variant>
        <vt:i4>5</vt:i4>
      </vt:variant>
      <vt:variant>
        <vt:lpwstr>http://goldcopd.org/</vt:lpwstr>
      </vt:variant>
      <vt:variant>
        <vt:lpwstr/>
      </vt:variant>
      <vt:variant>
        <vt:i4>524393</vt:i4>
      </vt:variant>
      <vt:variant>
        <vt:i4>12</vt:i4>
      </vt:variant>
      <vt:variant>
        <vt:i4>0</vt:i4>
      </vt:variant>
      <vt:variant>
        <vt:i4>5</vt:i4>
      </vt:variant>
      <vt:variant>
        <vt:lpwstr>mailto:ml.paleari@vrelations.it</vt:lpwstr>
      </vt:variant>
      <vt:variant>
        <vt:lpwstr/>
      </vt:variant>
      <vt:variant>
        <vt:i4>3211269</vt:i4>
      </vt:variant>
      <vt:variant>
        <vt:i4>9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3211269</vt:i4>
      </vt:variant>
      <vt:variant>
        <vt:i4>3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Clewes</dc:creator>
  <cp:lastModifiedBy>Alessio Pappagallo</cp:lastModifiedBy>
  <cp:revision>3</cp:revision>
  <cp:lastPrinted>2016-04-04T07:46:00Z</cp:lastPrinted>
  <dcterms:created xsi:type="dcterms:W3CDTF">2016-12-05T15:53:00Z</dcterms:created>
  <dcterms:modified xsi:type="dcterms:W3CDTF">2016-12-05T15:58:00Z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ABAAVOAfoSrQoyz3nrR9gGRTy9m3lqLi+YpdXlgZEPsXRoeoCNNxoV7lSB53shsPQUbF</vt:lpwstr>
  </property>
  <property fmtid="{D5CDD505-2E9C-101B-9397-08002B2CF9AE}" pid="3" name="MAIL_MSG_ID2">
    <vt:lpwstr>1JBxmxpqhETNVsDwxVZ3OFnTX+lBuJjmhL3+fdN19ljeq0WeiuvWIRPSPs9
B4oH5HzfGm9hhGJOaDLAhJK9yE+MCpXT1vAY3PgwbxSyxq1x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MBAAjgtAP6ARDu7eSC/TEkGlN4Rs/KLteEQw4fNjpF97K5jbe4EYp8Mjo8fnpsi9F4Wz7FzSWqZcJvQ=</vt:lpwstr>
  </property>
  <property fmtid="{D5CDD505-2E9C-101B-9397-08002B2CF9AE}" pid="6" name="ContentTypeId">
    <vt:lpwstr>0x010100728EF490D8C6B540977A6A676659AC77</vt:lpwstr>
  </property>
</Properties>
</file>