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D9" w:rsidRDefault="00ED5CD9" w:rsidP="00ED5CD9">
      <w:pPr>
        <w:spacing w:before="100" w:beforeAutospacing="1" w:after="100" w:afterAutospacing="1"/>
        <w:jc w:val="center"/>
        <w:rPr>
          <w:b/>
          <w:bCs/>
        </w:rPr>
      </w:pPr>
    </w:p>
    <w:p w:rsidR="00ED5CD9" w:rsidRDefault="00ED5CD9" w:rsidP="00ED5CD9">
      <w:pPr>
        <w:spacing w:before="100" w:beforeAutospacing="1" w:after="100" w:afterAutospacing="1"/>
        <w:jc w:val="center"/>
        <w:rPr>
          <w:bCs/>
          <w:u w:val="single"/>
        </w:rPr>
      </w:pPr>
      <w:r w:rsidRPr="00ED5CD9">
        <w:rPr>
          <w:bCs/>
          <w:u w:val="single"/>
        </w:rPr>
        <w:t>COMUNICATO STAMPA</w:t>
      </w:r>
    </w:p>
    <w:p w:rsidR="00ED5CD9" w:rsidRPr="00996AAB" w:rsidRDefault="00ED5CD9" w:rsidP="00ED5CD9"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</w:p>
    <w:p w:rsidR="00ED5CD9" w:rsidRPr="00996AAB" w:rsidRDefault="00ED5CD9" w:rsidP="00ED5CD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96AAB">
        <w:rPr>
          <w:b/>
          <w:bCs/>
          <w:sz w:val="28"/>
          <w:szCs w:val="28"/>
        </w:rPr>
        <w:t>BANCO FARMACEUTICO: NEL 2015 AUMENTATO IL BISOGNO DI FARMACI (+ 6,4%), SEMPRE PIU’ ITALIANI (+1,9%) NON POSSONO ACQUISTARE I MEDICINALI</w:t>
      </w:r>
    </w:p>
    <w:p w:rsidR="00ED5CD9" w:rsidRDefault="00ED5CD9" w:rsidP="00ED5CD9">
      <w:pPr>
        <w:spacing w:before="100" w:beforeAutospacing="1" w:after="100" w:afterAutospacing="1"/>
        <w:jc w:val="center"/>
      </w:pPr>
      <w:r>
        <w:rPr>
          <w:i/>
          <w:iCs/>
        </w:rPr>
        <w:t>“RAPPORTO 2015, DONARE PER CURARE”</w:t>
      </w:r>
      <w:r w:rsidR="00A55CCA">
        <w:rPr>
          <w:i/>
          <w:iCs/>
        </w:rPr>
        <w:t xml:space="preserve"> </w:t>
      </w:r>
      <w:r>
        <w:rPr>
          <w:i/>
          <w:iCs/>
        </w:rPr>
        <w:t>A CURA DELL’OSSERVATORIO SULLA DONAZIONE DEI FARMACI</w:t>
      </w:r>
    </w:p>
    <w:p w:rsidR="00ED5CD9" w:rsidRDefault="00ED5CD9" w:rsidP="00ED5CD9">
      <w:pPr>
        <w:spacing w:before="100" w:beforeAutospacing="1" w:after="100" w:afterAutospacing="1"/>
        <w:jc w:val="center"/>
      </w:pPr>
      <w:r>
        <w:rPr>
          <w:i/>
          <w:iCs/>
        </w:rPr>
        <w:t> </w:t>
      </w:r>
    </w:p>
    <w:p w:rsidR="00ED5CD9" w:rsidRDefault="00C6116B" w:rsidP="00ED5CD9">
      <w:pPr>
        <w:spacing w:before="100" w:beforeAutospacing="1" w:after="100" w:afterAutospacing="1"/>
        <w:jc w:val="both"/>
      </w:pPr>
      <w:r w:rsidRPr="00C6116B">
        <w:rPr>
          <w:b/>
        </w:rPr>
        <w:t>Roma, 26 novembre 2015</w:t>
      </w:r>
      <w:r>
        <w:t xml:space="preserve"> - </w:t>
      </w:r>
      <w:r w:rsidR="00ED5CD9">
        <w:t xml:space="preserve">Cresce in Italia il bisogno di farmaci per i cittadini che non sono più in grado di acquistarli. </w:t>
      </w:r>
      <w:r w:rsidR="00ED5CD9">
        <w:rPr>
          <w:b/>
          <w:bCs/>
        </w:rPr>
        <w:t>Nel 2015, infatti, è aumentata del 6,4% la richiesta di farmaci da parte</w:t>
      </w:r>
      <w:r w:rsidR="00ED5CD9">
        <w:t xml:space="preserve"> degli enti caritativi sostenuti dal Banco Farmaceutico e che ogni giorno aiutano anziani, famiglie ed immigrati in difficoltà economica.</w:t>
      </w:r>
    </w:p>
    <w:p w:rsidR="00ED5CD9" w:rsidRDefault="00ED5CD9" w:rsidP="00ED5CD9">
      <w:pPr>
        <w:spacing w:before="100" w:beforeAutospacing="1" w:after="100" w:afterAutospacing="1"/>
        <w:jc w:val="both"/>
      </w:pPr>
      <w:r>
        <w:rPr>
          <w:b/>
          <w:bCs/>
        </w:rPr>
        <w:t>Rispetto allo scorso anno rimane, quindi sostanzialmente invariato il numero complessivo di persone (405.423) che non posso acquistare un farmaco, ma aumenta la domanda di medicinali.</w:t>
      </w:r>
      <w:r>
        <w:t xml:space="preserve"> Infatti, si è passati dalle </w:t>
      </w:r>
      <w:r>
        <w:rPr>
          <w:b/>
          <w:bCs/>
        </w:rPr>
        <w:t>818 mila confezioni di medicinali</w:t>
      </w:r>
      <w:r>
        <w:t xml:space="preserve"> richieste dagli enti nel </w:t>
      </w:r>
      <w:r>
        <w:rPr>
          <w:b/>
          <w:bCs/>
        </w:rPr>
        <w:t xml:space="preserve">2014 </w:t>
      </w:r>
      <w:r>
        <w:t xml:space="preserve">alle </w:t>
      </w:r>
      <w:r>
        <w:rPr>
          <w:b/>
          <w:bCs/>
        </w:rPr>
        <w:t>870.352 del 2015 (+6,4%).</w:t>
      </w:r>
      <w:r>
        <w:t xml:space="preserve"> </w:t>
      </w:r>
    </w:p>
    <w:p w:rsidR="00ED5CD9" w:rsidRDefault="00ED5CD9" w:rsidP="00ED5CD9">
      <w:pPr>
        <w:spacing w:before="100" w:beforeAutospacing="1" w:after="100" w:afterAutospacing="1"/>
        <w:jc w:val="both"/>
      </w:pPr>
      <w:r>
        <w:rPr>
          <w:b/>
          <w:bCs/>
        </w:rPr>
        <w:t>Cambia inoltre la composizione:</w:t>
      </w:r>
      <w:r>
        <w:t xml:space="preserve"> cresce, infatti, il numero di italiani in difficoltà </w:t>
      </w:r>
      <w:r>
        <w:rPr>
          <w:b/>
          <w:bCs/>
        </w:rPr>
        <w:t>182.400 contro i 179 mila dell’anno passato</w:t>
      </w:r>
      <w:r>
        <w:t xml:space="preserve"> (+1,9%), anche se gli stranieri restano maggioritari 222.982 </w:t>
      </w:r>
      <w:r>
        <w:rPr>
          <w:b/>
          <w:bCs/>
        </w:rPr>
        <w:t>(55%)</w:t>
      </w:r>
      <w:r>
        <w:t xml:space="preserve"> contro i 230 mila dell’anno passato. </w:t>
      </w:r>
      <w:r>
        <w:rPr>
          <w:b/>
          <w:bCs/>
        </w:rPr>
        <w:t>In particolare tra gli italiani</w:t>
      </w:r>
      <w:r>
        <w:t xml:space="preserve"> sono gli adulti tra i 18 e i 64 anni i maggiori beneficiari dei farmaci </w:t>
      </w:r>
      <w:r>
        <w:rPr>
          <w:b/>
          <w:bCs/>
        </w:rPr>
        <w:t>(58,2%)</w:t>
      </w:r>
      <w:r>
        <w:t xml:space="preserve">, seguiti dagli over 65 </w:t>
      </w:r>
      <w:r>
        <w:rPr>
          <w:b/>
          <w:bCs/>
        </w:rPr>
        <w:t>(23,6%)</w:t>
      </w:r>
      <w:r>
        <w:t xml:space="preserve"> e dai minori da 0 a 17 anni </w:t>
      </w:r>
      <w:r>
        <w:rPr>
          <w:b/>
          <w:bCs/>
        </w:rPr>
        <w:t>(18,2%)</w:t>
      </w:r>
      <w:r>
        <w:t>.</w:t>
      </w:r>
    </w:p>
    <w:p w:rsidR="00ED5CD9" w:rsidRDefault="00ED5CD9" w:rsidP="00ED5CD9">
      <w:pPr>
        <w:spacing w:before="100" w:beforeAutospacing="1" w:after="100" w:afterAutospacing="1"/>
        <w:jc w:val="both"/>
      </w:pPr>
      <w:r>
        <w:t xml:space="preserve">Sono questi i dati dello studio </w:t>
      </w:r>
      <w:r>
        <w:rPr>
          <w:b/>
          <w:bCs/>
        </w:rPr>
        <w:t xml:space="preserve">dell'Osservatorio sulla Donazione dei Farmaci del Banco Farmaceutico </w:t>
      </w:r>
      <w:proofErr w:type="spellStart"/>
      <w:r>
        <w:rPr>
          <w:b/>
          <w:bCs/>
        </w:rPr>
        <w:t>Onlus</w:t>
      </w:r>
      <w:proofErr w:type="spellEnd"/>
      <w:r>
        <w:t xml:space="preserve">, </w:t>
      </w:r>
      <w:r>
        <w:rPr>
          <w:b/>
          <w:bCs/>
        </w:rPr>
        <w:t>sostenuto da Mediolanum Farmaceutici</w:t>
      </w:r>
      <w:r>
        <w:t xml:space="preserve"> e svolto in collaborazione con un comitato scientifico composto da: </w:t>
      </w:r>
      <w:r>
        <w:rPr>
          <w:b/>
          <w:bCs/>
        </w:rPr>
        <w:t>ACLI, Caritas Italiana, Ufficio per la Pastorale della Salute della C.E.I. e dall'U.N.I.T.A.L.S.I.</w:t>
      </w:r>
      <w:r>
        <w:t xml:space="preserve"> (Unione Nazionale Italiana Trasporto Ammalati a Lourdes e Santuari Internazionali). </w:t>
      </w:r>
    </w:p>
    <w:p w:rsidR="00ED5CD9" w:rsidRDefault="00ED5CD9" w:rsidP="00ED5CD9">
      <w:pPr>
        <w:spacing w:before="100" w:beforeAutospacing="1" w:after="100" w:afterAutospacing="1"/>
        <w:jc w:val="both"/>
      </w:pPr>
      <w:r>
        <w:t>L’analisi, presentata quest’oggi presso l’Agenz</w:t>
      </w:r>
      <w:r w:rsidR="00996AAB">
        <w:t>ia Italiana del Farmaco (AIFA),</w:t>
      </w:r>
      <w:r>
        <w:t xml:space="preserve"> è stata elaborata a partire da un </w:t>
      </w:r>
      <w:r>
        <w:rPr>
          <w:b/>
          <w:bCs/>
        </w:rPr>
        <w:t>campione di 1.640 enti</w:t>
      </w:r>
      <w:r>
        <w:t xml:space="preserve"> convenzionati con il Banco Farmaceutico dispensatori di farmaci e selezionati in base alla completezza ed alla qualità dei dati forniti.</w:t>
      </w:r>
    </w:p>
    <w:p w:rsidR="00ED5CD9" w:rsidRDefault="00ED5CD9" w:rsidP="00ED5CD9">
      <w:pPr>
        <w:spacing w:before="100" w:beforeAutospacing="1" w:after="100" w:afterAutospacing="1"/>
        <w:jc w:val="both"/>
      </w:pPr>
      <w:r>
        <w:t xml:space="preserve">Per dare particolare rilievo ad eventuali differenze territoriali nella dispensazione dei farmaci, gli Enti sono stati aggregati in tre sottogruppi in base alla loro collocazione geografica nel </w:t>
      </w:r>
      <w:r>
        <w:rPr>
          <w:b/>
          <w:bCs/>
        </w:rPr>
        <w:t>Nord, Centro e Sud</w:t>
      </w:r>
      <w:r>
        <w:t xml:space="preserve"> (comprendente la porzione insulare) del Paese.</w:t>
      </w:r>
    </w:p>
    <w:p w:rsidR="00ED5CD9" w:rsidRDefault="00ED5CD9" w:rsidP="00ED5CD9">
      <w:pPr>
        <w:spacing w:before="100" w:beforeAutospacing="1"/>
        <w:jc w:val="both"/>
      </w:pPr>
      <w:r>
        <w:rPr>
          <w:b/>
          <w:bCs/>
        </w:rPr>
        <w:t>La</w:t>
      </w:r>
      <w:r>
        <w:t xml:space="preserve"> </w:t>
      </w:r>
      <w:r>
        <w:rPr>
          <w:b/>
          <w:bCs/>
        </w:rPr>
        <w:t>suddivisione in fasce di età dell’intera popolazione, includendo quindi anche gli immigrati,</w:t>
      </w:r>
      <w:r>
        <w:t xml:space="preserve"> mostra una situazione analoga a quella del 2014 per cui in tutte le aree geografiche gli assistiti sono prevalentemente </w:t>
      </w:r>
      <w:r>
        <w:rPr>
          <w:b/>
          <w:bCs/>
        </w:rPr>
        <w:t xml:space="preserve">adulti </w:t>
      </w:r>
      <w:r>
        <w:rPr>
          <w:b/>
          <w:bCs/>
          <w:color w:val="000000"/>
        </w:rPr>
        <w:t>(59,3%)</w:t>
      </w:r>
      <w:r>
        <w:t xml:space="preserve">, mentre sono meno numerosi i </w:t>
      </w:r>
      <w:r>
        <w:rPr>
          <w:b/>
          <w:bCs/>
        </w:rPr>
        <w:t xml:space="preserve">bambini </w:t>
      </w:r>
      <w:r>
        <w:rPr>
          <w:b/>
          <w:bCs/>
          <w:color w:val="000000"/>
        </w:rPr>
        <w:t>(22%)</w:t>
      </w:r>
      <w:r>
        <w:t xml:space="preserve"> e gli </w:t>
      </w:r>
      <w:r>
        <w:rPr>
          <w:b/>
          <w:bCs/>
        </w:rPr>
        <w:t xml:space="preserve">anziani </w:t>
      </w:r>
      <w:r>
        <w:rPr>
          <w:b/>
          <w:bCs/>
          <w:color w:val="000000"/>
        </w:rPr>
        <w:t>(18,7%)</w:t>
      </w:r>
      <w:r>
        <w:t xml:space="preserve">. </w:t>
      </w:r>
      <w:r>
        <w:rPr>
          <w:b/>
          <w:bCs/>
        </w:rPr>
        <w:t xml:space="preserve">I maschi, </w:t>
      </w:r>
      <w:r>
        <w:t>in particolare</w:t>
      </w:r>
      <w:r>
        <w:rPr>
          <w:b/>
          <w:bCs/>
        </w:rPr>
        <w:t>, rappresentano oltre il 60% del totale</w:t>
      </w:r>
      <w:r>
        <w:t>.</w:t>
      </w:r>
    </w:p>
    <w:p w:rsidR="00ED5CD9" w:rsidRDefault="00ED5CD9" w:rsidP="00ED5CD9">
      <w:pPr>
        <w:spacing w:before="100" w:beforeAutospacing="1"/>
        <w:jc w:val="both"/>
      </w:pPr>
      <w:r>
        <w:lastRenderedPageBreak/>
        <w:t> </w:t>
      </w:r>
    </w:p>
    <w:p w:rsidR="00ED5CD9" w:rsidRDefault="00ED5CD9" w:rsidP="00ED5CD9">
      <w:pPr>
        <w:spacing w:before="100" w:beforeAutospacing="1"/>
        <w:jc w:val="both"/>
      </w:pPr>
      <w:r>
        <w:t xml:space="preserve">Gli stranieri sono originari soprattutto del </w:t>
      </w:r>
      <w:r>
        <w:rPr>
          <w:b/>
          <w:bCs/>
        </w:rPr>
        <w:t>Maghreb (26%)</w:t>
      </w:r>
      <w:r>
        <w:t xml:space="preserve"> e dell’</w:t>
      </w:r>
      <w:r>
        <w:rPr>
          <w:b/>
          <w:bCs/>
        </w:rPr>
        <w:t xml:space="preserve">Europa Orientale (24,4%). </w:t>
      </w:r>
      <w:r>
        <w:t xml:space="preserve">Percentuali inferiori sono rappresentate da: Africa Sub-Sahariana </w:t>
      </w:r>
      <w:r>
        <w:rPr>
          <w:b/>
          <w:bCs/>
        </w:rPr>
        <w:t>(13,2%)</w:t>
      </w:r>
      <w:r>
        <w:t xml:space="preserve">, America Centrale e Meridionale </w:t>
      </w:r>
      <w:r>
        <w:rPr>
          <w:b/>
          <w:bCs/>
        </w:rPr>
        <w:t>(7,8%)</w:t>
      </w:r>
      <w:r>
        <w:t xml:space="preserve">, Asia Centro-Orientale e Medio Oriente </w:t>
      </w:r>
      <w:r>
        <w:rPr>
          <w:b/>
          <w:bCs/>
        </w:rPr>
        <w:t>(7,2%)</w:t>
      </w:r>
      <w:r>
        <w:t xml:space="preserve">, Medio Oriente </w:t>
      </w:r>
      <w:r>
        <w:rPr>
          <w:b/>
          <w:bCs/>
        </w:rPr>
        <w:t>(2,7%)</w:t>
      </w:r>
      <w:r>
        <w:t xml:space="preserve">, altra provenienza </w:t>
      </w:r>
      <w:r>
        <w:rPr>
          <w:b/>
          <w:bCs/>
        </w:rPr>
        <w:t>(3,7%)</w:t>
      </w:r>
      <w:r>
        <w:t>.</w:t>
      </w:r>
    </w:p>
    <w:p w:rsidR="00ED5CD9" w:rsidRDefault="00ED5CD9" w:rsidP="00ED5CD9">
      <w:pPr>
        <w:spacing w:before="100" w:beforeAutospacing="1"/>
        <w:jc w:val="both"/>
      </w:pPr>
      <w:r>
        <w:t xml:space="preserve">È possibile analizzare il </w:t>
      </w:r>
      <w:r>
        <w:rPr>
          <w:b/>
          <w:bCs/>
        </w:rPr>
        <w:t>profilo farmaco-epidemiologico</w:t>
      </w:r>
      <w:r>
        <w:t xml:space="preserve"> della popolazione assistita dalla rete Banco Farmaceutico su una intera annualità (2014) osservando le </w:t>
      </w:r>
      <w:r>
        <w:rPr>
          <w:b/>
          <w:bCs/>
        </w:rPr>
        <w:t>1.276 dosi giornaliere di farmaci</w:t>
      </w:r>
      <w:r>
        <w:t xml:space="preserve"> (DDD) dispensate dagli enti.</w:t>
      </w:r>
    </w:p>
    <w:p w:rsidR="00ED5CD9" w:rsidRDefault="00ED5CD9" w:rsidP="00A55CCA">
      <w:pPr>
        <w:spacing w:before="100" w:beforeAutospacing="1"/>
        <w:jc w:val="both"/>
      </w:pPr>
      <w:r>
        <w:t xml:space="preserve">Le </w:t>
      </w:r>
      <w:r>
        <w:rPr>
          <w:b/>
          <w:bCs/>
        </w:rPr>
        <w:t>malattie respiratorie si confermano come le più frequentemente dichiarate dagli enti</w:t>
      </w:r>
      <w:r>
        <w:t xml:space="preserve"> e presentano il maggior numero di dosi giornaliere dispensate (12,2 DDD/1000 pazienti/die). Seguono le </w:t>
      </w:r>
      <w:r>
        <w:rPr>
          <w:b/>
          <w:bCs/>
        </w:rPr>
        <w:t>malattie cardiovascolari</w:t>
      </w:r>
      <w:r>
        <w:t xml:space="preserve"> (11 DDD) e </w:t>
      </w:r>
      <w:r>
        <w:rPr>
          <w:b/>
          <w:bCs/>
        </w:rPr>
        <w:t>gastrointestinali</w:t>
      </w:r>
      <w:r>
        <w:t xml:space="preserve"> (8,7 DDD). Gli indigenti presentano dunque un profilo epidemiologico differente rispetto alla media della popolazione, dove la massima diffusione è delle patologie cardiovascolari. </w:t>
      </w:r>
    </w:p>
    <w:p w:rsidR="00ED5CD9" w:rsidRDefault="00ED5CD9" w:rsidP="00A55CCA">
      <w:pPr>
        <w:spacing w:before="100" w:beforeAutospacing="1"/>
        <w:jc w:val="both"/>
      </w:pPr>
      <w:r>
        <w:rPr>
          <w:b/>
          <w:bCs/>
        </w:rPr>
        <w:t>C’è una geografia della salute dei poveri:</w:t>
      </w:r>
      <w:r>
        <w:t xml:space="preserve"> al Nord prevalgono i farmaci per l’apparato respiratorio, al Centro quelli cardiovascolari, al Sud quelli gastrointestinali. Al Sud c’è la più elevata incidenza di malattie croniche.</w:t>
      </w:r>
    </w:p>
    <w:p w:rsidR="00ED5CD9" w:rsidRDefault="00ED5CD9" w:rsidP="00A55CCA">
      <w:pPr>
        <w:spacing w:before="100" w:beforeAutospacing="1"/>
        <w:jc w:val="both"/>
      </w:pPr>
      <w:r>
        <w:t> </w:t>
      </w:r>
      <w:r>
        <w:rPr>
          <w:b/>
          <w:bCs/>
        </w:rPr>
        <w:t>Andando ad analizzare il bisogno di farmaci su base Regionale</w:t>
      </w:r>
      <w:r>
        <w:t>, si riscontra la maggior richiesta di medicinali in Lombardia</w:t>
      </w:r>
      <w:r>
        <w:rPr>
          <w:b/>
          <w:bCs/>
        </w:rPr>
        <w:t xml:space="preserve"> (18,9%), </w:t>
      </w:r>
      <w:r>
        <w:t>Veneto</w:t>
      </w:r>
      <w:r>
        <w:rPr>
          <w:b/>
          <w:bCs/>
        </w:rPr>
        <w:t xml:space="preserve"> (11,1%)</w:t>
      </w:r>
      <w:r>
        <w:t>, Emilia Romagna</w:t>
      </w:r>
      <w:r>
        <w:rPr>
          <w:b/>
          <w:bCs/>
        </w:rPr>
        <w:t xml:space="preserve"> (11,1%)</w:t>
      </w:r>
      <w:r>
        <w:t xml:space="preserve">, Sicilia </w:t>
      </w:r>
      <w:r>
        <w:rPr>
          <w:b/>
          <w:bCs/>
        </w:rPr>
        <w:t>(9,1%)</w:t>
      </w:r>
      <w:r>
        <w:t xml:space="preserve"> e Lazio</w:t>
      </w:r>
      <w:r>
        <w:rPr>
          <w:b/>
          <w:bCs/>
        </w:rPr>
        <w:t xml:space="preserve"> (8,4%).</w:t>
      </w:r>
      <w:r>
        <w:t xml:space="preserve"> </w:t>
      </w:r>
    </w:p>
    <w:p w:rsidR="00ED5CD9" w:rsidRDefault="00ED5CD9" w:rsidP="00A55CCA">
      <w:pPr>
        <w:spacing w:before="100" w:beforeAutospacing="1" w:after="100" w:afterAutospacing="1"/>
        <w:jc w:val="both"/>
      </w:pPr>
      <w:r>
        <w:rPr>
          <w:b/>
          <w:bCs/>
        </w:rPr>
        <w:t>Circa la raccolta dei farmaci</w:t>
      </w:r>
      <w:r>
        <w:t xml:space="preserve"> da parte del Banco Farmaceutico si riscontra anche quest’anno un forte aumento delle donazioni</w:t>
      </w:r>
      <w:r>
        <w:rPr>
          <w:b/>
          <w:bCs/>
        </w:rPr>
        <w:t>: quasi 1,4 milioni di confezioni nel solo I semestre 2015 (erano 915mila lo scorso anno)</w:t>
      </w:r>
      <w:r>
        <w:t xml:space="preserve">. </w:t>
      </w:r>
    </w:p>
    <w:p w:rsidR="00ED5CD9" w:rsidRDefault="00ED5CD9" w:rsidP="00A55CCA">
      <w:pPr>
        <w:ind w:right="-1"/>
        <w:jc w:val="both"/>
      </w:pPr>
      <w:r>
        <w:t xml:space="preserve">Ma non tutti i canali di approvvigionamento funzionano allo stesso modo: </w:t>
      </w:r>
      <w:r>
        <w:rPr>
          <w:b/>
          <w:bCs/>
        </w:rPr>
        <w:t>s</w:t>
      </w:r>
      <w:r>
        <w:t xml:space="preserve">i </w:t>
      </w:r>
      <w:r>
        <w:rPr>
          <w:b/>
          <w:bCs/>
        </w:rPr>
        <w:t>ferma la crescita della Giornata di Raccolta del Farmaco (GRF) con quasi 6.000 confezioni in meno</w:t>
      </w:r>
      <w:r>
        <w:t xml:space="preserve">, ma che nel 2015 ha raccolto comunque oltre </w:t>
      </w:r>
      <w:r>
        <w:rPr>
          <w:b/>
          <w:bCs/>
        </w:rPr>
        <w:t>360 mila farmaci</w:t>
      </w:r>
      <w:r>
        <w:t>. La GRF è lo storico evento promosso ogni anno dal Banco Farmaceutico il secondo Sabato di Febbraio durante la quale i cittadini possono acquistare un farmaco di automedicazione nelle oltre tremilaseicento farmacie aderenti e donarlo al Banco Farmaceutico.</w:t>
      </w:r>
      <w:r>
        <w:rPr>
          <w:sz w:val="22"/>
          <w:szCs w:val="22"/>
        </w:rPr>
        <w:t> </w:t>
      </w:r>
    </w:p>
    <w:p w:rsidR="00ED5CD9" w:rsidRDefault="00ED5CD9" w:rsidP="00A55CCA">
      <w:pPr>
        <w:spacing w:before="100" w:beforeAutospacing="1" w:after="100" w:afterAutospacing="1"/>
        <w:jc w:val="both"/>
      </w:pPr>
      <w:r>
        <w:rPr>
          <w:b/>
          <w:bCs/>
        </w:rPr>
        <w:t>Cresce ancora in modo robusto la donazione da parte delle aziende farmaceutiche:</w:t>
      </w:r>
      <w:r>
        <w:t xml:space="preserve"> nel I semestre 2015 sono state donate quasi 860mila confezioni. Erano 540mila nel I semestre 2014.</w:t>
      </w:r>
    </w:p>
    <w:p w:rsidR="00ED5CD9" w:rsidRDefault="00ED5CD9" w:rsidP="00A55CCA">
      <w:pPr>
        <w:spacing w:before="100" w:beforeAutospacing="1"/>
        <w:jc w:val="both"/>
      </w:pPr>
      <w:r>
        <w:rPr>
          <w:b/>
          <w:bCs/>
        </w:rPr>
        <w:t>Diventa più robusto anche il canale del recupero farmaci validi</w:t>
      </w:r>
      <w:r>
        <w:t xml:space="preserve">, che raggiunge il </w:t>
      </w:r>
      <w:r>
        <w:rPr>
          <w:b/>
          <w:bCs/>
        </w:rPr>
        <w:t>4% del totale</w:t>
      </w:r>
      <w:r>
        <w:t xml:space="preserve"> del raccolto dal Banco Farmaceutico. Se nel </w:t>
      </w:r>
      <w:r>
        <w:rPr>
          <w:b/>
          <w:bCs/>
        </w:rPr>
        <w:t>I semestre 2014</w:t>
      </w:r>
      <w:r>
        <w:t xml:space="preserve"> erano state donate </w:t>
      </w:r>
      <w:r>
        <w:rPr>
          <w:b/>
          <w:bCs/>
        </w:rPr>
        <w:t>15mila confezioni</w:t>
      </w:r>
      <w:r>
        <w:t xml:space="preserve">, nel </w:t>
      </w:r>
      <w:r>
        <w:rPr>
          <w:b/>
          <w:bCs/>
        </w:rPr>
        <w:t>2015</w:t>
      </w:r>
      <w:r>
        <w:t xml:space="preserve"> si è già superata la quota di </w:t>
      </w:r>
      <w:r>
        <w:rPr>
          <w:b/>
          <w:bCs/>
        </w:rPr>
        <w:t>49mila confezioni</w:t>
      </w:r>
      <w:r>
        <w:t xml:space="preserve">. Il progetto Farmaci Validi non scaduti è attivo nelle città di </w:t>
      </w:r>
      <w:r>
        <w:rPr>
          <w:b/>
          <w:bCs/>
        </w:rPr>
        <w:t>Milano, Roma, Varese, Torino,</w:t>
      </w:r>
      <w:r>
        <w:t xml:space="preserve"> </w:t>
      </w:r>
      <w:r>
        <w:rPr>
          <w:b/>
          <w:bCs/>
        </w:rPr>
        <w:t xml:space="preserve">Monza e Brianza, Rimini, Mantova e Macerata </w:t>
      </w:r>
      <w:r>
        <w:t>e permette ai cittadini di donare i farmaci non utilizzati in corso di validità nelle farmacie che aderiscono al progetto.</w:t>
      </w:r>
    </w:p>
    <w:p w:rsidR="00ED5CD9" w:rsidRDefault="00ED5CD9" w:rsidP="00A55CCA">
      <w:pPr>
        <w:spacing w:before="100" w:beforeAutospacing="1"/>
        <w:jc w:val="both"/>
      </w:pPr>
      <w:r>
        <w:rPr>
          <w:b/>
          <w:bCs/>
        </w:rPr>
        <w:t xml:space="preserve">Per sensibilizzare i cittadini sul tema della povertà sanitaria il Banco Farmaceutico ha realizzato una </w:t>
      </w:r>
      <w:proofErr w:type="spellStart"/>
      <w:r>
        <w:rPr>
          <w:b/>
          <w:bCs/>
        </w:rPr>
        <w:t>candid</w:t>
      </w:r>
      <w:proofErr w:type="spellEnd"/>
      <w:r>
        <w:rPr>
          <w:b/>
          <w:bCs/>
        </w:rPr>
        <w:t xml:space="preserve"> camera</w:t>
      </w:r>
      <w:r>
        <w:t xml:space="preserve"> per cogliere le reazioni della gente comune nel vivere lo shock di chi non può permettersi l’acquisto di farmaci.</w:t>
      </w:r>
    </w:p>
    <w:p w:rsidR="00A55CCA" w:rsidRDefault="00A55CCA" w:rsidP="00ED5CD9">
      <w:pPr>
        <w:spacing w:before="100" w:beforeAutospacing="1"/>
        <w:jc w:val="both"/>
      </w:pPr>
    </w:p>
    <w:p w:rsidR="00ED5CD9" w:rsidRDefault="00ED5CD9" w:rsidP="00ED5CD9">
      <w:pPr>
        <w:spacing w:before="100" w:beforeAutospacing="1"/>
        <w:jc w:val="both"/>
      </w:pPr>
      <w:r>
        <w:t xml:space="preserve">Il video, realizzato dagli studenti del </w:t>
      </w:r>
      <w:r>
        <w:rPr>
          <w:b/>
          <w:bCs/>
        </w:rPr>
        <w:t>Centro Sperimentale di Cinematografia - sede Lombardia,</w:t>
      </w:r>
      <w:r>
        <w:t xml:space="preserve"> è visibile su </w:t>
      </w:r>
      <w:proofErr w:type="spellStart"/>
      <w:r>
        <w:t>YouTube</w:t>
      </w:r>
      <w:proofErr w:type="spellEnd"/>
      <w:r>
        <w:t xml:space="preserve"> all'indirizzo: </w:t>
      </w:r>
      <w:hyperlink r:id="rId7" w:history="1">
        <w:r>
          <w:rPr>
            <w:rStyle w:val="Collegamentoipertestuale"/>
          </w:rPr>
          <w:t>https://www.youtube.com/watch?v=QHQ0vahTWDA</w:t>
        </w:r>
      </w:hyperlink>
    </w:p>
    <w:p w:rsidR="00ED5CD9" w:rsidRDefault="00ED5CD9" w:rsidP="00ED5CD9"/>
    <w:p w:rsidR="00ED5CD9" w:rsidRDefault="00ED5CD9" w:rsidP="00ED5CD9">
      <w:pPr>
        <w:spacing w:before="100" w:beforeAutospacing="1" w:after="100" w:afterAutospacing="1"/>
        <w:jc w:val="center"/>
      </w:pPr>
    </w:p>
    <w:p w:rsidR="00A55CCA" w:rsidRPr="00A55CCA" w:rsidRDefault="00A55CCA" w:rsidP="00A55CCA">
      <w:pPr>
        <w:rPr>
          <w:b/>
        </w:rPr>
      </w:pPr>
      <w:r w:rsidRPr="00A55CCA">
        <w:rPr>
          <w:b/>
        </w:rPr>
        <w:t>Ufficio stampa Mediolanum Farmaceutici</w:t>
      </w:r>
      <w:r>
        <w:rPr>
          <w:b/>
        </w:rPr>
        <w:t>:</w:t>
      </w:r>
    </w:p>
    <w:p w:rsidR="00A55CCA" w:rsidRPr="00A55CCA" w:rsidRDefault="00A55CCA" w:rsidP="00A55CCA">
      <w:pPr>
        <w:rPr>
          <w:b/>
        </w:rPr>
      </w:pPr>
    </w:p>
    <w:p w:rsidR="00A55CCA" w:rsidRPr="00A55CCA" w:rsidRDefault="00A55CCA" w:rsidP="00A55CCA">
      <w:pPr>
        <w:rPr>
          <w:b/>
        </w:rPr>
      </w:pPr>
      <w:r w:rsidRPr="00A55CCA">
        <w:rPr>
          <w:b/>
        </w:rPr>
        <w:t>Value Relations</w:t>
      </w:r>
    </w:p>
    <w:p w:rsidR="00A55CCA" w:rsidRDefault="00A55CCA" w:rsidP="00A55CCA">
      <w:pPr>
        <w:rPr>
          <w:color w:val="1F497D"/>
          <w:sz w:val="22"/>
          <w:szCs w:val="22"/>
          <w:lang w:val="en-US" w:eastAsia="en-US"/>
        </w:rPr>
      </w:pPr>
      <w:r>
        <w:rPr>
          <w:noProof/>
        </w:rPr>
        <w:drawing>
          <wp:inline distT="0" distB="0" distL="0" distR="0">
            <wp:extent cx="1066800" cy="390525"/>
            <wp:effectExtent l="0" t="0" r="0" b="9525"/>
            <wp:docPr id="2" name="Immagine 2" descr="cid:image007.jpg@01D12160.05A85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7.jpg@01D12160.05A855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CCA" w:rsidRDefault="00A55CCA" w:rsidP="00A55CCA">
      <w:pPr>
        <w:rPr>
          <w:color w:val="1F497D"/>
          <w:sz w:val="22"/>
          <w:szCs w:val="22"/>
          <w:lang w:val="en-US" w:eastAsia="en-US"/>
        </w:rPr>
      </w:pPr>
    </w:p>
    <w:p w:rsidR="00A55CCA" w:rsidRDefault="00A55CCA" w:rsidP="00A55CCA">
      <w:pPr>
        <w:pStyle w:val="Nessunaspaziatura"/>
        <w:rPr>
          <w:lang w:val="fr-FR"/>
        </w:rPr>
      </w:pPr>
      <w:r>
        <w:rPr>
          <w:b/>
          <w:bCs/>
        </w:rPr>
        <w:t>Marco Giorgetti</w:t>
      </w:r>
      <w:r>
        <w:rPr>
          <w:b/>
          <w:bCs/>
        </w:rPr>
        <w:br/>
      </w:r>
      <w:hyperlink r:id="rId10" w:history="1">
        <w:r>
          <w:rPr>
            <w:rStyle w:val="Collegamentoipertestuale"/>
            <w:lang w:val="fr-FR"/>
          </w:rPr>
          <w:t>m.giorgetti@vrelations.it</w:t>
        </w:r>
      </w:hyperlink>
      <w:r>
        <w:rPr>
          <w:lang w:val="fr-FR"/>
        </w:rPr>
        <w:t xml:space="preserve">   </w:t>
      </w:r>
    </w:p>
    <w:p w:rsidR="00A55CCA" w:rsidRDefault="00A55CCA" w:rsidP="00A55CCA">
      <w:pPr>
        <w:pStyle w:val="Nessunaspaziatura"/>
        <w:rPr>
          <w:lang w:val="fr-FR"/>
        </w:rPr>
      </w:pPr>
      <w:r>
        <w:rPr>
          <w:lang w:val="fr-FR"/>
        </w:rPr>
        <w:t xml:space="preserve">+39.335.277223 </w:t>
      </w:r>
    </w:p>
    <w:p w:rsidR="00A55CCA" w:rsidRDefault="00A55CCA" w:rsidP="00A55CCA">
      <w:pPr>
        <w:pStyle w:val="Nessunaspaziatura"/>
        <w:spacing w:after="240"/>
        <w:rPr>
          <w:i/>
          <w:iCs/>
        </w:rPr>
      </w:pPr>
      <w:r>
        <w:t xml:space="preserve">+39. 02.20.424.939  </w:t>
      </w:r>
    </w:p>
    <w:p w:rsidR="00A55CCA" w:rsidRDefault="00A55CCA" w:rsidP="00A55CCA">
      <w:pPr>
        <w:pStyle w:val="Nessunaspaziatura"/>
        <w:rPr>
          <w:b/>
          <w:bCs/>
        </w:rPr>
      </w:pPr>
      <w:r>
        <w:rPr>
          <w:b/>
          <w:bCs/>
        </w:rPr>
        <w:t>Chiara Longhi</w:t>
      </w:r>
    </w:p>
    <w:p w:rsidR="00A55CCA" w:rsidRDefault="00A55CCA" w:rsidP="00A55CCA">
      <w:pPr>
        <w:pStyle w:val="Nessunaspaziatura"/>
        <w:rPr>
          <w:rStyle w:val="Collegamentoipertestuale"/>
          <w:lang w:val="fr-FR"/>
        </w:rPr>
      </w:pPr>
      <w:hyperlink r:id="rId11" w:history="1">
        <w:r>
          <w:rPr>
            <w:rStyle w:val="Collegamentoipertestuale"/>
            <w:lang w:val="fr-FR"/>
          </w:rPr>
          <w:t>c.longhi@vrelations.it</w:t>
        </w:r>
      </w:hyperlink>
    </w:p>
    <w:p w:rsidR="00A55CCA" w:rsidRDefault="00A55CCA" w:rsidP="00A55CCA">
      <w:pPr>
        <w:pStyle w:val="Nessunaspaziatura"/>
      </w:pPr>
      <w:r>
        <w:t>+39. 02.20.424.938</w:t>
      </w:r>
    </w:p>
    <w:p w:rsidR="00900BD6" w:rsidRDefault="00900BD6"/>
    <w:sectPr w:rsidR="00900BD6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CCA" w:rsidRDefault="00A55CCA" w:rsidP="00A55CCA">
      <w:r>
        <w:separator/>
      </w:r>
    </w:p>
  </w:endnote>
  <w:endnote w:type="continuationSeparator" w:id="0">
    <w:p w:rsidR="00A55CCA" w:rsidRDefault="00A55CCA" w:rsidP="00A5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CCA" w:rsidRDefault="00A55CCA" w:rsidP="00A55CCA">
      <w:r>
        <w:separator/>
      </w:r>
    </w:p>
  </w:footnote>
  <w:footnote w:type="continuationSeparator" w:id="0">
    <w:p w:rsidR="00A55CCA" w:rsidRDefault="00A55CCA" w:rsidP="00A55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CCA" w:rsidRPr="00A55CCA" w:rsidRDefault="00A55CCA" w:rsidP="00A55CCA">
    <w:pPr>
      <w:pStyle w:val="Intestazione"/>
      <w:jc w:val="center"/>
    </w:pPr>
    <w:r w:rsidRPr="00A55CCA">
      <w:rPr>
        <w:noProof/>
      </w:rPr>
      <w:drawing>
        <wp:inline distT="0" distB="0" distL="0" distR="0">
          <wp:extent cx="2000250" cy="785506"/>
          <wp:effectExtent l="0" t="0" r="0" b="0"/>
          <wp:docPr id="1" name="Immagine 1" descr="C:\Users\CLonghi\AppData\Local\Microsoft\Windows\Temporary Internet Files\Content.Outlook\79ZB2DIB\logo Mediolan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onghi\AppData\Local\Microsoft\Windows\Temporary Internet Files\Content.Outlook\79ZB2DIB\logo Mediolanu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530" cy="795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D9"/>
    <w:rsid w:val="00133E87"/>
    <w:rsid w:val="00190810"/>
    <w:rsid w:val="00900BD6"/>
    <w:rsid w:val="00996AAB"/>
    <w:rsid w:val="00A55CCA"/>
    <w:rsid w:val="00B23146"/>
    <w:rsid w:val="00C6116B"/>
    <w:rsid w:val="00E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94818-0E86-4605-8119-95592101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5C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D5CD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55C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CCA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5C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CCA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Nessunaspaziatura">
    <w:name w:val="No Spacing"/>
    <w:basedOn w:val="Normale"/>
    <w:uiPriority w:val="1"/>
    <w:qFormat/>
    <w:rsid w:val="00A55CCA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HQ0vahTWD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.longhi@vrelations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giorgetti@vrelations.it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7.jpg@01D12160.05A8553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B09AC-BC6F-4572-8046-85C02AFF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Longhi</dc:creator>
  <cp:keywords/>
  <dc:description/>
  <cp:lastModifiedBy>Chiara Longhi</cp:lastModifiedBy>
  <cp:revision>9</cp:revision>
  <dcterms:created xsi:type="dcterms:W3CDTF">2015-11-26T10:12:00Z</dcterms:created>
  <dcterms:modified xsi:type="dcterms:W3CDTF">2015-11-26T10:47:00Z</dcterms:modified>
</cp:coreProperties>
</file>