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65" w:rsidRPr="00F71465" w:rsidRDefault="00F71465" w:rsidP="00F71465">
      <w:pPr>
        <w:ind w:left="360"/>
        <w:jc w:val="center"/>
        <w:textAlignment w:val="baseline"/>
        <w:rPr>
          <w:rFonts w:asciiTheme="minorHAnsi" w:hAnsiTheme="minorHAnsi"/>
          <w:color w:val="000000"/>
        </w:rPr>
      </w:pPr>
      <w:bookmarkStart w:id="0" w:name="_GoBack"/>
      <w:bookmarkEnd w:id="0"/>
      <w:r w:rsidRPr="00F71465">
        <w:rPr>
          <w:rFonts w:asciiTheme="minorHAnsi" w:hAnsiTheme="minorHAnsi"/>
          <w:noProof/>
          <w:color w:val="000000"/>
          <w:lang w:eastAsia="it-IT"/>
        </w:rPr>
        <w:drawing>
          <wp:inline distT="0" distB="0" distL="0" distR="0">
            <wp:extent cx="1785956" cy="892880"/>
            <wp:effectExtent l="0" t="0" r="0" b="0"/>
            <wp:docPr id="1" name="Immagine 1" descr="Y:\COMUNICAZIONE\LOGHI ONDA\LOGO ONDA\Logo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UNICAZIONE\LOGHI ONDA\LOGO ONDA\LogoOn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78" w:rsidRPr="004D7878" w:rsidRDefault="004D7878" w:rsidP="00F71465">
      <w:pPr>
        <w:spacing w:after="120" w:line="276" w:lineRule="auto"/>
        <w:jc w:val="center"/>
        <w:rPr>
          <w:rFonts w:asciiTheme="minorHAnsi" w:eastAsiaTheme="minorEastAsia" w:hAnsiTheme="minorHAnsi" w:cstheme="minorBidi"/>
          <w:sz w:val="2"/>
          <w:u w:val="single"/>
          <w:lang w:eastAsia="it-IT"/>
        </w:rPr>
      </w:pPr>
    </w:p>
    <w:p w:rsidR="00F71465" w:rsidRPr="00F71465" w:rsidRDefault="00F71465" w:rsidP="00F71465">
      <w:pPr>
        <w:spacing w:after="120" w:line="276" w:lineRule="auto"/>
        <w:jc w:val="center"/>
        <w:rPr>
          <w:rFonts w:asciiTheme="minorHAnsi" w:eastAsiaTheme="minorEastAsia" w:hAnsiTheme="minorHAnsi" w:cstheme="minorBidi"/>
          <w:u w:val="single"/>
          <w:lang w:eastAsia="it-IT"/>
        </w:rPr>
      </w:pPr>
      <w:r w:rsidRPr="00F71465">
        <w:rPr>
          <w:rFonts w:asciiTheme="minorHAnsi" w:eastAsiaTheme="minorEastAsia" w:hAnsiTheme="minorHAnsi" w:cstheme="minorBidi"/>
          <w:u w:val="single"/>
          <w:lang w:eastAsia="it-IT"/>
        </w:rPr>
        <w:t>Comunicato stampa</w:t>
      </w:r>
    </w:p>
    <w:p w:rsidR="005A7FBC" w:rsidRDefault="005A7FBC" w:rsidP="0097286C">
      <w:pPr>
        <w:jc w:val="center"/>
        <w:textAlignment w:val="baseline"/>
        <w:rPr>
          <w:rFonts w:asciiTheme="minorHAnsi" w:hAnsiTheme="minorHAnsi"/>
          <w:b/>
          <w:color w:val="000000"/>
          <w:sz w:val="28"/>
          <w:szCs w:val="28"/>
        </w:rPr>
      </w:pPr>
      <w:r w:rsidRPr="00173332">
        <w:rPr>
          <w:rFonts w:asciiTheme="minorHAnsi" w:hAnsiTheme="minorHAnsi"/>
          <w:b/>
          <w:color w:val="000000"/>
          <w:sz w:val="28"/>
          <w:szCs w:val="28"/>
        </w:rPr>
        <w:t>Ad</w:t>
      </w:r>
      <w:r w:rsidR="00173332" w:rsidRPr="00173332">
        <w:rPr>
          <w:rFonts w:asciiTheme="minorHAnsi" w:hAnsiTheme="minorHAnsi"/>
          <w:b/>
          <w:color w:val="000000"/>
          <w:sz w:val="28"/>
          <w:szCs w:val="28"/>
        </w:rPr>
        <w:t>erenza alla terapia: diminuisce</w:t>
      </w:r>
      <w:r w:rsidRPr="00173332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173332" w:rsidRPr="00173332">
        <w:rPr>
          <w:rFonts w:asciiTheme="minorHAnsi" w:hAnsiTheme="minorHAnsi"/>
          <w:b/>
          <w:color w:val="000000"/>
          <w:sz w:val="28"/>
          <w:szCs w:val="28"/>
        </w:rPr>
        <w:t>del 28</w:t>
      </w:r>
      <w:r w:rsidRPr="00173332">
        <w:rPr>
          <w:rFonts w:asciiTheme="minorHAnsi" w:hAnsiTheme="minorHAnsi"/>
          <w:b/>
          <w:color w:val="000000"/>
          <w:sz w:val="28"/>
          <w:szCs w:val="28"/>
        </w:rPr>
        <w:t xml:space="preserve">% </w:t>
      </w:r>
      <w:r w:rsidR="007B1421" w:rsidRPr="00173332">
        <w:rPr>
          <w:rFonts w:asciiTheme="minorHAnsi" w:hAnsiTheme="minorHAnsi"/>
          <w:b/>
          <w:color w:val="000000"/>
          <w:sz w:val="28"/>
          <w:szCs w:val="28"/>
        </w:rPr>
        <w:t xml:space="preserve">se </w:t>
      </w:r>
      <w:r w:rsidR="00D823A8" w:rsidRPr="00173332">
        <w:rPr>
          <w:rFonts w:asciiTheme="minorHAnsi" w:hAnsiTheme="minorHAnsi"/>
          <w:b/>
          <w:color w:val="000000"/>
          <w:sz w:val="28"/>
          <w:szCs w:val="28"/>
        </w:rPr>
        <w:t xml:space="preserve">metà delle prescrizioni di </w:t>
      </w:r>
      <w:r w:rsidR="00A90F75" w:rsidRPr="00173332">
        <w:rPr>
          <w:rFonts w:asciiTheme="minorHAnsi" w:hAnsiTheme="minorHAnsi"/>
          <w:b/>
          <w:color w:val="000000"/>
          <w:sz w:val="28"/>
          <w:szCs w:val="28"/>
        </w:rPr>
        <w:t xml:space="preserve">farmaci </w:t>
      </w:r>
      <w:r w:rsidR="00D823A8" w:rsidRPr="00173332">
        <w:rPr>
          <w:rFonts w:asciiTheme="minorHAnsi" w:hAnsiTheme="minorHAnsi"/>
          <w:b/>
          <w:color w:val="000000"/>
          <w:sz w:val="28"/>
          <w:szCs w:val="28"/>
        </w:rPr>
        <w:t xml:space="preserve">generici </w:t>
      </w:r>
      <w:r w:rsidR="007B1421" w:rsidRPr="00173332">
        <w:rPr>
          <w:rFonts w:asciiTheme="minorHAnsi" w:hAnsiTheme="minorHAnsi"/>
          <w:b/>
          <w:color w:val="000000"/>
          <w:sz w:val="28"/>
          <w:szCs w:val="28"/>
        </w:rPr>
        <w:t>viene sostituita con un altro equivalente</w:t>
      </w:r>
    </w:p>
    <w:p w:rsidR="000821A6" w:rsidRDefault="000821A6" w:rsidP="00A46ED1">
      <w:pPr>
        <w:jc w:val="center"/>
        <w:textAlignment w:val="baseline"/>
        <w:rPr>
          <w:rFonts w:asciiTheme="minorHAnsi" w:hAnsiTheme="minorHAnsi"/>
          <w:i/>
          <w:color w:val="000000"/>
          <w:sz w:val="24"/>
          <w:szCs w:val="24"/>
        </w:rPr>
      </w:pPr>
    </w:p>
    <w:p w:rsidR="003B2636" w:rsidRDefault="00701366" w:rsidP="005C525E">
      <w:pPr>
        <w:jc w:val="both"/>
        <w:textAlignment w:val="baseline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i/>
          <w:color w:val="000000"/>
        </w:rPr>
        <w:t>Maggiore è</w:t>
      </w:r>
      <w:r w:rsidRPr="00701366">
        <w:rPr>
          <w:rFonts w:asciiTheme="minorHAnsi" w:hAnsiTheme="minorHAnsi"/>
          <w:i/>
          <w:color w:val="000000"/>
        </w:rPr>
        <w:t xml:space="preserve"> il numero</w:t>
      </w:r>
      <w:r>
        <w:rPr>
          <w:rFonts w:asciiTheme="minorHAnsi" w:hAnsiTheme="minorHAnsi"/>
          <w:i/>
          <w:color w:val="000000"/>
        </w:rPr>
        <w:t xml:space="preserve"> delle sostit</w:t>
      </w:r>
      <w:r w:rsidR="007D257E">
        <w:rPr>
          <w:rFonts w:asciiTheme="minorHAnsi" w:hAnsiTheme="minorHAnsi"/>
          <w:i/>
          <w:color w:val="000000"/>
        </w:rPr>
        <w:t>uzioni di medicinali generici</w:t>
      </w:r>
      <w:r>
        <w:rPr>
          <w:rFonts w:asciiTheme="minorHAnsi" w:hAnsiTheme="minorHAnsi"/>
          <w:i/>
          <w:color w:val="000000"/>
        </w:rPr>
        <w:t xml:space="preserve">, minore è la compliance. Presentati i risultati </w:t>
      </w:r>
      <w:r w:rsidR="00D74F06" w:rsidRPr="00173332">
        <w:rPr>
          <w:rFonts w:asciiTheme="minorHAnsi" w:hAnsiTheme="minorHAnsi"/>
          <w:i/>
          <w:color w:val="000000"/>
        </w:rPr>
        <w:t xml:space="preserve">preliminari </w:t>
      </w:r>
      <w:r w:rsidRPr="00173332">
        <w:rPr>
          <w:rFonts w:asciiTheme="minorHAnsi" w:hAnsiTheme="minorHAnsi"/>
          <w:i/>
          <w:color w:val="000000"/>
        </w:rPr>
        <w:t>di</w:t>
      </w:r>
      <w:r>
        <w:rPr>
          <w:rFonts w:asciiTheme="minorHAnsi" w:hAnsiTheme="minorHAnsi"/>
          <w:i/>
          <w:color w:val="000000"/>
        </w:rPr>
        <w:t xml:space="preserve"> uno studio su oltre  14.500 pazienti dell’ASL di Bergamo e Pavia, volto a indagar</w:t>
      </w:r>
      <w:r w:rsidR="0096733D">
        <w:rPr>
          <w:rFonts w:asciiTheme="minorHAnsi" w:hAnsiTheme="minorHAnsi"/>
          <w:i/>
          <w:color w:val="000000"/>
        </w:rPr>
        <w:t>e la relazione esis</w:t>
      </w:r>
      <w:r w:rsidR="007D257E">
        <w:rPr>
          <w:rFonts w:asciiTheme="minorHAnsi" w:hAnsiTheme="minorHAnsi"/>
          <w:i/>
          <w:color w:val="000000"/>
        </w:rPr>
        <w:t xml:space="preserve">tente tra lo switch tra farmaci equivalenti </w:t>
      </w:r>
      <w:r w:rsidR="00CF7DBF">
        <w:rPr>
          <w:rFonts w:asciiTheme="minorHAnsi" w:hAnsiTheme="minorHAnsi"/>
          <w:i/>
          <w:color w:val="000000"/>
        </w:rPr>
        <w:t>e aderenza</w:t>
      </w:r>
      <w:r w:rsidR="006A32E1">
        <w:rPr>
          <w:rFonts w:asciiTheme="minorHAnsi" w:hAnsiTheme="minorHAnsi"/>
          <w:i/>
          <w:color w:val="000000"/>
        </w:rPr>
        <w:t xml:space="preserve"> alla prescrizione del medico</w:t>
      </w:r>
      <w:r w:rsidR="00CF7DBF">
        <w:rPr>
          <w:rFonts w:asciiTheme="minorHAnsi" w:hAnsiTheme="minorHAnsi"/>
          <w:i/>
          <w:color w:val="000000"/>
        </w:rPr>
        <w:t xml:space="preserve">. </w:t>
      </w:r>
      <w:r w:rsidR="006A32E1">
        <w:rPr>
          <w:rFonts w:asciiTheme="minorHAnsi" w:hAnsiTheme="minorHAnsi"/>
          <w:i/>
          <w:color w:val="000000"/>
        </w:rPr>
        <w:t xml:space="preserve">Sei le aree terapeutiche/patologie prese in esame: </w:t>
      </w:r>
      <w:r w:rsidR="0096733D" w:rsidRPr="0096733D">
        <w:rPr>
          <w:rFonts w:asciiTheme="minorHAnsi" w:hAnsiTheme="minorHAnsi"/>
          <w:i/>
          <w:color w:val="000000"/>
        </w:rPr>
        <w:t>diabetologia, cardiologia, dislipidemia, reumatologia, psichiatria e ipertensione</w:t>
      </w:r>
      <w:r w:rsidR="0096733D">
        <w:rPr>
          <w:rFonts w:asciiTheme="minorHAnsi" w:hAnsiTheme="minorHAnsi"/>
          <w:i/>
          <w:color w:val="000000"/>
        </w:rPr>
        <w:t>.</w:t>
      </w:r>
    </w:p>
    <w:p w:rsidR="00701366" w:rsidRPr="00A46ED1" w:rsidRDefault="00701366" w:rsidP="005C525E">
      <w:pPr>
        <w:jc w:val="both"/>
        <w:textAlignment w:val="baseline"/>
        <w:rPr>
          <w:rFonts w:asciiTheme="minorHAnsi" w:hAnsiTheme="minorHAnsi"/>
          <w:b/>
          <w:color w:val="000000"/>
        </w:rPr>
      </w:pPr>
    </w:p>
    <w:p w:rsidR="006B6205" w:rsidRDefault="00A46ED1" w:rsidP="009B2815">
      <w:pPr>
        <w:spacing w:line="276" w:lineRule="auto"/>
        <w:jc w:val="both"/>
        <w:textAlignment w:val="baseline"/>
        <w:rPr>
          <w:rFonts w:asciiTheme="minorHAnsi" w:hAnsiTheme="minorHAnsi"/>
          <w:color w:val="000000"/>
        </w:rPr>
      </w:pPr>
      <w:r w:rsidRPr="00A46ED1">
        <w:rPr>
          <w:rFonts w:asciiTheme="minorHAnsi" w:hAnsiTheme="minorHAnsi"/>
          <w:b/>
          <w:color w:val="000000"/>
        </w:rPr>
        <w:t>Milano, 18 novembre 201</w:t>
      </w:r>
      <w:r w:rsidR="000B669A">
        <w:rPr>
          <w:rFonts w:asciiTheme="minorHAnsi" w:hAnsiTheme="minorHAnsi"/>
          <w:b/>
          <w:color w:val="000000"/>
        </w:rPr>
        <w:t>5</w:t>
      </w:r>
      <w:r>
        <w:rPr>
          <w:rFonts w:asciiTheme="minorHAnsi" w:hAnsiTheme="minorHAnsi"/>
          <w:color w:val="000000"/>
        </w:rPr>
        <w:t xml:space="preserve"> –</w:t>
      </w:r>
      <w:r w:rsidR="009B2815">
        <w:rPr>
          <w:rFonts w:asciiTheme="minorHAnsi" w:hAnsiTheme="minorHAnsi"/>
          <w:color w:val="000000"/>
        </w:rPr>
        <w:t xml:space="preserve"> </w:t>
      </w:r>
      <w:r w:rsidR="00FF0EA2">
        <w:rPr>
          <w:rFonts w:asciiTheme="minorHAnsi" w:hAnsiTheme="minorHAnsi"/>
          <w:color w:val="000000"/>
        </w:rPr>
        <w:t>L’</w:t>
      </w:r>
      <w:r w:rsidR="00FF0EA2" w:rsidRPr="00A41BCF">
        <w:rPr>
          <w:rFonts w:asciiTheme="minorHAnsi" w:hAnsiTheme="minorHAnsi"/>
          <w:b/>
          <w:color w:val="000000"/>
        </w:rPr>
        <w:t xml:space="preserve">aderenza alla terapia </w:t>
      </w:r>
      <w:r w:rsidR="00FF0EA2">
        <w:rPr>
          <w:rFonts w:asciiTheme="minorHAnsi" w:hAnsiTheme="minorHAnsi"/>
          <w:color w:val="000000"/>
        </w:rPr>
        <w:t xml:space="preserve">e </w:t>
      </w:r>
      <w:r w:rsidR="009D5135">
        <w:rPr>
          <w:rFonts w:asciiTheme="minorHAnsi" w:hAnsiTheme="minorHAnsi"/>
          <w:color w:val="000000"/>
        </w:rPr>
        <w:t xml:space="preserve">la </w:t>
      </w:r>
      <w:r w:rsidR="00FF0EA2" w:rsidRPr="00A41BCF">
        <w:rPr>
          <w:rFonts w:asciiTheme="minorHAnsi" w:hAnsiTheme="minorHAnsi"/>
          <w:b/>
          <w:color w:val="000000"/>
        </w:rPr>
        <w:t xml:space="preserve">sostituzione </w:t>
      </w:r>
      <w:r w:rsidR="00CC46AB" w:rsidRPr="00A41BCF">
        <w:rPr>
          <w:rFonts w:asciiTheme="minorHAnsi" w:hAnsiTheme="minorHAnsi"/>
          <w:b/>
          <w:color w:val="000000"/>
        </w:rPr>
        <w:t xml:space="preserve">orizzontale </w:t>
      </w:r>
      <w:r w:rsidR="000821A6" w:rsidRPr="00A41BCF">
        <w:rPr>
          <w:rFonts w:asciiTheme="minorHAnsi" w:hAnsiTheme="minorHAnsi"/>
          <w:b/>
          <w:color w:val="000000"/>
        </w:rPr>
        <w:t>dei</w:t>
      </w:r>
      <w:r w:rsidR="00B9739F" w:rsidRPr="00A41BCF">
        <w:rPr>
          <w:rFonts w:asciiTheme="minorHAnsi" w:hAnsiTheme="minorHAnsi"/>
          <w:b/>
          <w:color w:val="000000"/>
        </w:rPr>
        <w:t xml:space="preserve"> medicinali equivalenti</w:t>
      </w:r>
      <w:r w:rsidR="00B9739F">
        <w:rPr>
          <w:rFonts w:asciiTheme="minorHAnsi" w:hAnsiTheme="minorHAnsi"/>
          <w:color w:val="000000"/>
        </w:rPr>
        <w:t xml:space="preserve"> sono</w:t>
      </w:r>
      <w:r w:rsidR="00FF0EA2">
        <w:rPr>
          <w:rFonts w:asciiTheme="minorHAnsi" w:hAnsiTheme="minorHAnsi"/>
          <w:color w:val="000000"/>
        </w:rPr>
        <w:t xml:space="preserve"> </w:t>
      </w:r>
      <w:r w:rsidR="00FF0EA2" w:rsidRPr="00A41BCF">
        <w:rPr>
          <w:rFonts w:asciiTheme="minorHAnsi" w:hAnsiTheme="minorHAnsi"/>
          <w:b/>
          <w:color w:val="000000"/>
        </w:rPr>
        <w:t>inversamente proporzional</w:t>
      </w:r>
      <w:r w:rsidR="00B9739F" w:rsidRPr="00A41BCF">
        <w:rPr>
          <w:rFonts w:asciiTheme="minorHAnsi" w:hAnsiTheme="minorHAnsi"/>
          <w:b/>
          <w:color w:val="000000"/>
        </w:rPr>
        <w:t>i</w:t>
      </w:r>
      <w:r w:rsidR="00FF0EA2">
        <w:rPr>
          <w:rFonts w:asciiTheme="minorHAnsi" w:hAnsiTheme="minorHAnsi"/>
          <w:color w:val="000000"/>
        </w:rPr>
        <w:t xml:space="preserve">: </w:t>
      </w:r>
      <w:r w:rsidR="009D5135" w:rsidRPr="00A41BCF">
        <w:rPr>
          <w:rFonts w:asciiTheme="minorHAnsi" w:hAnsiTheme="minorHAnsi"/>
          <w:color w:val="000000"/>
        </w:rPr>
        <w:t>all’aumentare dello switch</w:t>
      </w:r>
      <w:r w:rsidR="009D5135">
        <w:rPr>
          <w:rFonts w:asciiTheme="minorHAnsi" w:hAnsiTheme="minorHAnsi"/>
          <w:color w:val="000000"/>
        </w:rPr>
        <w:t xml:space="preserve"> da un generico a un altro della stessa molecola</w:t>
      </w:r>
      <w:r w:rsidR="001227BC">
        <w:rPr>
          <w:rFonts w:asciiTheme="minorHAnsi" w:hAnsiTheme="minorHAnsi"/>
          <w:color w:val="000000"/>
        </w:rPr>
        <w:t xml:space="preserve">, </w:t>
      </w:r>
      <w:r w:rsidR="00297F92">
        <w:rPr>
          <w:rFonts w:asciiTheme="minorHAnsi" w:hAnsiTheme="minorHAnsi"/>
          <w:color w:val="000000"/>
        </w:rPr>
        <w:t xml:space="preserve">infatti, </w:t>
      </w:r>
      <w:r w:rsidR="00C20493">
        <w:rPr>
          <w:rFonts w:asciiTheme="minorHAnsi" w:hAnsiTheme="minorHAnsi"/>
          <w:color w:val="000000"/>
        </w:rPr>
        <w:t>l’</w:t>
      </w:r>
      <w:r w:rsidR="00C20493" w:rsidRPr="00173332">
        <w:rPr>
          <w:rFonts w:asciiTheme="minorHAnsi" w:hAnsiTheme="minorHAnsi"/>
          <w:b/>
          <w:color w:val="000000"/>
        </w:rPr>
        <w:t>adesione</w:t>
      </w:r>
      <w:r w:rsidR="009D5135">
        <w:rPr>
          <w:rFonts w:asciiTheme="minorHAnsi" w:hAnsiTheme="minorHAnsi"/>
          <w:color w:val="000000"/>
        </w:rPr>
        <w:t xml:space="preserve"> del paziente alla pres</w:t>
      </w:r>
      <w:r w:rsidR="005C6C92">
        <w:rPr>
          <w:rFonts w:asciiTheme="minorHAnsi" w:hAnsiTheme="minorHAnsi"/>
          <w:color w:val="000000"/>
        </w:rPr>
        <w:t>crizione terapeutica</w:t>
      </w:r>
      <w:r w:rsidR="001227BC">
        <w:rPr>
          <w:rFonts w:asciiTheme="minorHAnsi" w:hAnsiTheme="minorHAnsi"/>
          <w:color w:val="000000"/>
        </w:rPr>
        <w:t xml:space="preserve"> </w:t>
      </w:r>
      <w:r w:rsidR="001227BC" w:rsidRPr="00173332">
        <w:rPr>
          <w:rFonts w:asciiTheme="minorHAnsi" w:hAnsiTheme="minorHAnsi"/>
          <w:b/>
          <w:color w:val="000000"/>
        </w:rPr>
        <w:t>diminuisce</w:t>
      </w:r>
      <w:r w:rsidR="00C75630" w:rsidRPr="00173332">
        <w:rPr>
          <w:rFonts w:asciiTheme="minorHAnsi" w:hAnsiTheme="minorHAnsi"/>
          <w:b/>
          <w:color w:val="000000"/>
        </w:rPr>
        <w:t>, con un valore pari</w:t>
      </w:r>
      <w:r w:rsidR="00C75630">
        <w:rPr>
          <w:rFonts w:asciiTheme="minorHAnsi" w:hAnsiTheme="minorHAnsi"/>
          <w:color w:val="000000"/>
        </w:rPr>
        <w:t xml:space="preserve"> </w:t>
      </w:r>
      <w:r w:rsidR="00173332" w:rsidRPr="00173332">
        <w:rPr>
          <w:rFonts w:asciiTheme="minorHAnsi" w:hAnsiTheme="minorHAnsi"/>
          <w:b/>
          <w:color w:val="000000"/>
        </w:rPr>
        <w:t>allo 28</w:t>
      </w:r>
      <w:r w:rsidR="00C75630" w:rsidRPr="00173332">
        <w:rPr>
          <w:rFonts w:asciiTheme="minorHAnsi" w:hAnsiTheme="minorHAnsi"/>
          <w:b/>
          <w:color w:val="000000"/>
        </w:rPr>
        <w:t>%</w:t>
      </w:r>
      <w:r w:rsidR="00C75630" w:rsidRPr="00173332">
        <w:rPr>
          <w:rFonts w:asciiTheme="minorHAnsi" w:hAnsiTheme="minorHAnsi"/>
          <w:color w:val="000000"/>
        </w:rPr>
        <w:t xml:space="preserve"> </w:t>
      </w:r>
      <w:r w:rsidR="00C75630" w:rsidRPr="00A93CB1">
        <w:rPr>
          <w:rFonts w:asciiTheme="minorHAnsi" w:hAnsiTheme="minorHAnsi"/>
          <w:b/>
          <w:color w:val="000000"/>
        </w:rPr>
        <w:t>se la sostituzione interessa metà delle prescrizioni</w:t>
      </w:r>
      <w:r w:rsidR="00C75630" w:rsidRPr="00173332">
        <w:rPr>
          <w:rFonts w:asciiTheme="minorHAnsi" w:hAnsiTheme="minorHAnsi"/>
          <w:color w:val="000000"/>
        </w:rPr>
        <w:t>.</w:t>
      </w:r>
      <w:r w:rsidR="00C75630">
        <w:rPr>
          <w:rFonts w:asciiTheme="minorHAnsi" w:hAnsiTheme="minorHAnsi"/>
          <w:color w:val="000000"/>
        </w:rPr>
        <w:t xml:space="preserve"> </w:t>
      </w:r>
    </w:p>
    <w:p w:rsidR="00096E99" w:rsidRPr="00D74F06" w:rsidRDefault="00E92451" w:rsidP="009B2815">
      <w:pPr>
        <w:spacing w:line="276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Questi</w:t>
      </w:r>
      <w:r w:rsidR="009D5135">
        <w:rPr>
          <w:rFonts w:asciiTheme="minorHAnsi" w:hAnsiTheme="minorHAnsi"/>
          <w:color w:val="000000"/>
        </w:rPr>
        <w:t xml:space="preserve"> in estrema </w:t>
      </w:r>
      <w:r w:rsidR="009D5135" w:rsidRPr="00173332">
        <w:rPr>
          <w:rFonts w:asciiTheme="minorHAnsi" w:hAnsiTheme="minorHAnsi"/>
          <w:color w:val="000000"/>
        </w:rPr>
        <w:t xml:space="preserve">sintesi </w:t>
      </w:r>
      <w:r w:rsidR="00DA07DA" w:rsidRPr="00173332">
        <w:rPr>
          <w:rFonts w:asciiTheme="minorHAnsi" w:hAnsiTheme="minorHAnsi"/>
          <w:color w:val="000000"/>
        </w:rPr>
        <w:t xml:space="preserve">i </w:t>
      </w:r>
      <w:r w:rsidR="00D74F06" w:rsidRPr="00173332">
        <w:rPr>
          <w:rFonts w:asciiTheme="minorHAnsi" w:hAnsiTheme="minorHAnsi"/>
          <w:color w:val="000000"/>
        </w:rPr>
        <w:t>risultati</w:t>
      </w:r>
      <w:r w:rsidR="00D74F06">
        <w:rPr>
          <w:rFonts w:asciiTheme="minorHAnsi" w:hAnsiTheme="minorHAnsi"/>
          <w:color w:val="000000"/>
        </w:rPr>
        <w:t xml:space="preserve"> </w:t>
      </w:r>
      <w:r w:rsidR="00D74F06" w:rsidRPr="00173332">
        <w:rPr>
          <w:rFonts w:asciiTheme="minorHAnsi" w:hAnsiTheme="minorHAnsi"/>
          <w:color w:val="000000"/>
        </w:rPr>
        <w:t>di uno studio osservazionale retrospettivo condotto</w:t>
      </w:r>
      <w:r w:rsidR="00D74F06" w:rsidRPr="00DF63E0">
        <w:rPr>
          <w:rFonts w:asciiTheme="minorHAnsi" w:hAnsiTheme="minorHAnsi"/>
          <w:color w:val="943634" w:themeColor="accent2" w:themeShade="BF"/>
        </w:rPr>
        <w:t xml:space="preserve"> </w:t>
      </w:r>
      <w:r w:rsidR="00D74F06" w:rsidRPr="00DF63E0">
        <w:rPr>
          <w:rFonts w:asciiTheme="minorHAnsi" w:hAnsiTheme="minorHAnsi"/>
          <w:color w:val="000000"/>
        </w:rPr>
        <w:t>i</w:t>
      </w:r>
      <w:r w:rsidR="00DA07DA" w:rsidRPr="00DF63E0">
        <w:rPr>
          <w:rFonts w:asciiTheme="minorHAnsi" w:hAnsiTheme="minorHAnsi"/>
          <w:color w:val="000000"/>
        </w:rPr>
        <w:t>n</w:t>
      </w:r>
      <w:r w:rsidR="00DA07DA" w:rsidRPr="005B6253">
        <w:rPr>
          <w:rFonts w:asciiTheme="minorHAnsi" w:hAnsiTheme="minorHAnsi"/>
          <w:b/>
          <w:color w:val="000000"/>
        </w:rPr>
        <w:t xml:space="preserve"> 2 ASL lombarde</w:t>
      </w:r>
      <w:r w:rsidR="00DA07DA">
        <w:rPr>
          <w:rFonts w:asciiTheme="minorHAnsi" w:hAnsiTheme="minorHAnsi"/>
          <w:color w:val="000000"/>
        </w:rPr>
        <w:t xml:space="preserve">, a </w:t>
      </w:r>
      <w:r w:rsidR="00DA07DA" w:rsidRPr="005B6253">
        <w:rPr>
          <w:rFonts w:asciiTheme="minorHAnsi" w:hAnsiTheme="minorHAnsi"/>
          <w:b/>
          <w:color w:val="000000"/>
        </w:rPr>
        <w:t>Pavia</w:t>
      </w:r>
      <w:r w:rsidR="00DA07DA">
        <w:rPr>
          <w:rFonts w:asciiTheme="minorHAnsi" w:hAnsiTheme="minorHAnsi"/>
          <w:color w:val="000000"/>
        </w:rPr>
        <w:t xml:space="preserve"> e </w:t>
      </w:r>
      <w:r w:rsidR="00DA07DA" w:rsidRPr="005B6253">
        <w:rPr>
          <w:rFonts w:asciiTheme="minorHAnsi" w:hAnsiTheme="minorHAnsi"/>
          <w:b/>
          <w:color w:val="000000"/>
        </w:rPr>
        <w:t>Bergamo</w:t>
      </w:r>
      <w:r w:rsidR="00DA07DA">
        <w:rPr>
          <w:rFonts w:asciiTheme="minorHAnsi" w:hAnsiTheme="minorHAnsi"/>
          <w:color w:val="000000"/>
        </w:rPr>
        <w:t xml:space="preserve">, </w:t>
      </w:r>
      <w:r w:rsidR="00096E99" w:rsidRPr="00096E99">
        <w:rPr>
          <w:rFonts w:asciiTheme="minorHAnsi" w:hAnsiTheme="minorHAnsi"/>
          <w:color w:val="000000"/>
        </w:rPr>
        <w:t xml:space="preserve">presentati oggi in una </w:t>
      </w:r>
      <w:r w:rsidR="00096E99" w:rsidRPr="005B6253">
        <w:rPr>
          <w:rFonts w:asciiTheme="minorHAnsi" w:hAnsiTheme="minorHAnsi"/>
          <w:b/>
          <w:color w:val="000000"/>
        </w:rPr>
        <w:t>conferenza stampa</w:t>
      </w:r>
      <w:r w:rsidR="00096E99" w:rsidRPr="00096E99">
        <w:rPr>
          <w:rFonts w:asciiTheme="minorHAnsi" w:hAnsiTheme="minorHAnsi"/>
          <w:color w:val="000000"/>
        </w:rPr>
        <w:t xml:space="preserve"> a Milano, </w:t>
      </w:r>
      <w:r w:rsidR="00096E99" w:rsidRPr="005B6253">
        <w:rPr>
          <w:rFonts w:asciiTheme="minorHAnsi" w:hAnsiTheme="minorHAnsi"/>
          <w:b/>
          <w:color w:val="000000"/>
        </w:rPr>
        <w:t xml:space="preserve">organizzata </w:t>
      </w:r>
      <w:r w:rsidR="00096E99" w:rsidRPr="00096E99">
        <w:rPr>
          <w:rFonts w:asciiTheme="minorHAnsi" w:hAnsiTheme="minorHAnsi"/>
          <w:color w:val="000000"/>
        </w:rPr>
        <w:t>dall’Osservatorio nazionale sulla salute della donna (</w:t>
      </w:r>
      <w:r w:rsidR="00096E99" w:rsidRPr="006B6205">
        <w:rPr>
          <w:rFonts w:asciiTheme="minorHAnsi" w:hAnsiTheme="minorHAnsi"/>
          <w:b/>
          <w:color w:val="000000"/>
        </w:rPr>
        <w:t>Onda</w:t>
      </w:r>
      <w:r w:rsidR="00096E99" w:rsidRPr="006B6205">
        <w:rPr>
          <w:rFonts w:asciiTheme="minorHAnsi" w:hAnsiTheme="minorHAnsi"/>
          <w:color w:val="000000"/>
        </w:rPr>
        <w:t xml:space="preserve">), </w:t>
      </w:r>
      <w:r w:rsidR="00096E99" w:rsidRPr="006B6205">
        <w:rPr>
          <w:rFonts w:asciiTheme="minorHAnsi" w:hAnsiTheme="minorHAnsi"/>
          <w:b/>
          <w:color w:val="000000"/>
        </w:rPr>
        <w:t>in collaborazione con DOC Generici</w:t>
      </w:r>
      <w:r w:rsidR="00096E99" w:rsidRPr="006B6205">
        <w:rPr>
          <w:rFonts w:asciiTheme="minorHAnsi" w:hAnsiTheme="minorHAnsi"/>
          <w:color w:val="000000"/>
        </w:rPr>
        <w:t>.</w:t>
      </w:r>
      <w:r w:rsidR="00B10935">
        <w:rPr>
          <w:rFonts w:asciiTheme="minorHAnsi" w:hAnsiTheme="minorHAnsi"/>
          <w:color w:val="000000"/>
        </w:rPr>
        <w:t xml:space="preserve"> </w:t>
      </w:r>
      <w:r w:rsidR="00B10935" w:rsidRPr="00DF63E0">
        <w:rPr>
          <w:rFonts w:asciiTheme="minorHAnsi" w:hAnsiTheme="minorHAnsi"/>
          <w:color w:val="000000"/>
        </w:rPr>
        <w:t xml:space="preserve">Questi dati fanno seguito a un precedente studio pubblicato su </w:t>
      </w:r>
      <w:r w:rsidR="00B10935" w:rsidRPr="00DF63E0">
        <w:rPr>
          <w:rFonts w:asciiTheme="minorHAnsi" w:hAnsiTheme="minorHAnsi"/>
          <w:i/>
          <w:color w:val="000000"/>
        </w:rPr>
        <w:t>PlosOne</w:t>
      </w:r>
      <w:r w:rsidR="00B10935" w:rsidRPr="00DF63E0">
        <w:rPr>
          <w:rFonts w:asciiTheme="minorHAnsi" w:hAnsiTheme="minorHAnsi"/>
          <w:color w:val="000000"/>
        </w:rPr>
        <w:t xml:space="preserve"> nel 2013 che metteva a confronto medicinali generici e branded a brevetto scaduto</w:t>
      </w:r>
      <w:r w:rsidR="00763710">
        <w:rPr>
          <w:rFonts w:asciiTheme="minorHAnsi" w:hAnsiTheme="minorHAnsi"/>
          <w:color w:val="000000"/>
        </w:rPr>
        <w:t>,</w:t>
      </w:r>
      <w:r w:rsidR="00B10935" w:rsidRPr="00DF63E0">
        <w:rPr>
          <w:rFonts w:asciiTheme="minorHAnsi" w:hAnsiTheme="minorHAnsi"/>
          <w:color w:val="000000"/>
        </w:rPr>
        <w:t xml:space="preserve"> da cui era </w:t>
      </w:r>
      <w:r w:rsidR="00B10935" w:rsidRPr="00DF63E0">
        <w:rPr>
          <w:rFonts w:asciiTheme="minorHAnsi" w:hAnsiTheme="minorHAnsi"/>
        </w:rPr>
        <w:t xml:space="preserve">emersa </w:t>
      </w:r>
      <w:r w:rsidR="00DF63E0">
        <w:t>l’</w:t>
      </w:r>
      <w:r w:rsidR="00B10935" w:rsidRPr="00DF63E0">
        <w:t>equivalenza</w:t>
      </w:r>
      <w:r w:rsidR="00763710">
        <w:t xml:space="preserve"> clinica tra brand e generico e</w:t>
      </w:r>
      <w:r w:rsidR="00B10935" w:rsidRPr="00DF63E0">
        <w:t xml:space="preserve"> in cui persistenza e compliance</w:t>
      </w:r>
      <w:r w:rsidR="00DF63E0">
        <w:t xml:space="preserve"> erano superiori per il farmaco equivalente</w:t>
      </w:r>
      <w:r w:rsidR="00B10935" w:rsidRPr="00DF63E0">
        <w:t>.</w:t>
      </w:r>
      <w:r w:rsidR="00B10935" w:rsidRPr="00D74F06">
        <w:t xml:space="preserve"> </w:t>
      </w:r>
      <w:r w:rsidR="00B10935" w:rsidRPr="00D74F06">
        <w:rPr>
          <w:rFonts w:asciiTheme="minorHAnsi" w:hAnsiTheme="minorHAnsi"/>
        </w:rPr>
        <w:t xml:space="preserve">  </w:t>
      </w:r>
    </w:p>
    <w:p w:rsidR="009B2815" w:rsidRDefault="00DF63E0" w:rsidP="009B2815">
      <w:pPr>
        <w:spacing w:line="276" w:lineRule="auto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L’analisi</w:t>
      </w:r>
      <w:r w:rsidR="00943F8C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condotta</w:t>
      </w:r>
      <w:r w:rsidR="008A54EC">
        <w:rPr>
          <w:rFonts w:asciiTheme="minorHAnsi" w:hAnsiTheme="minorHAnsi"/>
          <w:color w:val="000000"/>
        </w:rPr>
        <w:t xml:space="preserve"> su un cam</w:t>
      </w:r>
      <w:r w:rsidR="00943F8C">
        <w:rPr>
          <w:rFonts w:asciiTheme="minorHAnsi" w:hAnsiTheme="minorHAnsi"/>
          <w:color w:val="000000"/>
        </w:rPr>
        <w:t xml:space="preserve">pione di oltre </w:t>
      </w:r>
      <w:r w:rsidR="00943F8C" w:rsidRPr="005B6253">
        <w:rPr>
          <w:rFonts w:asciiTheme="minorHAnsi" w:hAnsiTheme="minorHAnsi"/>
          <w:b/>
          <w:color w:val="000000"/>
        </w:rPr>
        <w:t>14.500 pazi</w:t>
      </w:r>
      <w:r w:rsidR="00F720DE" w:rsidRPr="005B6253">
        <w:rPr>
          <w:rFonts w:asciiTheme="minorHAnsi" w:hAnsiTheme="minorHAnsi"/>
          <w:b/>
          <w:color w:val="000000"/>
        </w:rPr>
        <w:t>enti</w:t>
      </w:r>
      <w:r w:rsidR="00F720DE">
        <w:rPr>
          <w:rFonts w:asciiTheme="minorHAnsi" w:hAnsiTheme="minorHAnsi"/>
          <w:color w:val="000000"/>
        </w:rPr>
        <w:t xml:space="preserve">, ha analizzato </w:t>
      </w:r>
      <w:r w:rsidR="00F720DE" w:rsidRPr="005B6253">
        <w:rPr>
          <w:rFonts w:asciiTheme="minorHAnsi" w:hAnsiTheme="minorHAnsi"/>
          <w:b/>
          <w:color w:val="000000"/>
        </w:rPr>
        <w:t xml:space="preserve">6 </w:t>
      </w:r>
      <w:r w:rsidR="004117D4" w:rsidRPr="005B6253">
        <w:rPr>
          <w:rFonts w:asciiTheme="minorHAnsi" w:hAnsiTheme="minorHAnsi"/>
          <w:b/>
          <w:color w:val="000000"/>
        </w:rPr>
        <w:t>patologie/</w:t>
      </w:r>
      <w:r w:rsidR="00943F8C" w:rsidRPr="005B6253">
        <w:rPr>
          <w:rFonts w:asciiTheme="minorHAnsi" w:hAnsiTheme="minorHAnsi"/>
          <w:b/>
          <w:color w:val="000000"/>
        </w:rPr>
        <w:t>aree terapeutiche</w:t>
      </w:r>
      <w:r w:rsidR="00943F8C">
        <w:rPr>
          <w:rFonts w:asciiTheme="minorHAnsi" w:hAnsiTheme="minorHAnsi"/>
          <w:color w:val="000000"/>
        </w:rPr>
        <w:t xml:space="preserve">, </w:t>
      </w:r>
      <w:r w:rsidR="00FB3FD2">
        <w:rPr>
          <w:rFonts w:asciiTheme="minorHAnsi" w:hAnsiTheme="minorHAnsi"/>
          <w:color w:val="000000"/>
        </w:rPr>
        <w:t xml:space="preserve">quali </w:t>
      </w:r>
      <w:r w:rsidR="00FB3FD2" w:rsidRPr="005B6253">
        <w:rPr>
          <w:rFonts w:asciiTheme="minorHAnsi" w:hAnsiTheme="minorHAnsi"/>
          <w:b/>
          <w:color w:val="000000"/>
        </w:rPr>
        <w:t>diabetologia</w:t>
      </w:r>
      <w:r w:rsidR="00943F8C" w:rsidRPr="00943F8C">
        <w:rPr>
          <w:rFonts w:asciiTheme="minorHAnsi" w:hAnsiTheme="minorHAnsi"/>
          <w:color w:val="000000"/>
        </w:rPr>
        <w:t xml:space="preserve">, </w:t>
      </w:r>
      <w:r w:rsidR="00943F8C" w:rsidRPr="005B6253">
        <w:rPr>
          <w:rFonts w:asciiTheme="minorHAnsi" w:hAnsiTheme="minorHAnsi"/>
          <w:b/>
          <w:color w:val="000000"/>
        </w:rPr>
        <w:t>cardiologia</w:t>
      </w:r>
      <w:r w:rsidR="00943F8C" w:rsidRPr="00943F8C">
        <w:rPr>
          <w:rFonts w:asciiTheme="minorHAnsi" w:hAnsiTheme="minorHAnsi"/>
          <w:color w:val="000000"/>
        </w:rPr>
        <w:t xml:space="preserve">, </w:t>
      </w:r>
      <w:r w:rsidR="00943F8C" w:rsidRPr="005B6253">
        <w:rPr>
          <w:rFonts w:asciiTheme="minorHAnsi" w:hAnsiTheme="minorHAnsi"/>
          <w:b/>
          <w:color w:val="000000"/>
        </w:rPr>
        <w:t>dislipidemia</w:t>
      </w:r>
      <w:r w:rsidR="00943F8C" w:rsidRPr="00943F8C">
        <w:rPr>
          <w:rFonts w:asciiTheme="minorHAnsi" w:hAnsiTheme="minorHAnsi"/>
          <w:color w:val="000000"/>
        </w:rPr>
        <w:t xml:space="preserve">, </w:t>
      </w:r>
      <w:r w:rsidR="00943F8C" w:rsidRPr="005B6253">
        <w:rPr>
          <w:rFonts w:asciiTheme="minorHAnsi" w:hAnsiTheme="minorHAnsi"/>
          <w:b/>
          <w:color w:val="000000"/>
        </w:rPr>
        <w:t>reumatologia</w:t>
      </w:r>
      <w:r w:rsidR="00943F8C" w:rsidRPr="00943F8C">
        <w:rPr>
          <w:rFonts w:asciiTheme="minorHAnsi" w:hAnsiTheme="minorHAnsi"/>
          <w:color w:val="000000"/>
        </w:rPr>
        <w:t xml:space="preserve">, </w:t>
      </w:r>
      <w:r w:rsidR="00943F8C" w:rsidRPr="005B6253">
        <w:rPr>
          <w:rFonts w:asciiTheme="minorHAnsi" w:hAnsiTheme="minorHAnsi"/>
          <w:b/>
          <w:color w:val="000000"/>
        </w:rPr>
        <w:t>psichiatria</w:t>
      </w:r>
      <w:r w:rsidR="00943F8C" w:rsidRPr="00943F8C">
        <w:rPr>
          <w:rFonts w:asciiTheme="minorHAnsi" w:hAnsiTheme="minorHAnsi"/>
          <w:color w:val="000000"/>
        </w:rPr>
        <w:t xml:space="preserve"> e </w:t>
      </w:r>
      <w:r w:rsidR="00943F8C" w:rsidRPr="005B6253">
        <w:rPr>
          <w:rFonts w:asciiTheme="minorHAnsi" w:hAnsiTheme="minorHAnsi"/>
          <w:b/>
          <w:color w:val="000000"/>
        </w:rPr>
        <w:t>ipertensione</w:t>
      </w:r>
      <w:r w:rsidR="00943F8C">
        <w:rPr>
          <w:rFonts w:asciiTheme="minorHAnsi" w:hAnsiTheme="minorHAnsi"/>
          <w:color w:val="000000"/>
        </w:rPr>
        <w:t xml:space="preserve">, con </w:t>
      </w:r>
      <w:r w:rsidR="00621170">
        <w:rPr>
          <w:rFonts w:asciiTheme="minorHAnsi" w:hAnsiTheme="minorHAnsi"/>
          <w:color w:val="000000"/>
        </w:rPr>
        <w:t>l’obiettivo di studiare gli effetti della sostituzione da p</w:t>
      </w:r>
      <w:r w:rsidR="003B127D">
        <w:rPr>
          <w:rFonts w:asciiTheme="minorHAnsi" w:hAnsiTheme="minorHAnsi"/>
          <w:color w:val="000000"/>
        </w:rPr>
        <w:t>arte del farmacista di un medicinale</w:t>
      </w:r>
      <w:r w:rsidR="00621170">
        <w:rPr>
          <w:rFonts w:asciiTheme="minorHAnsi" w:hAnsiTheme="minorHAnsi"/>
          <w:color w:val="000000"/>
        </w:rPr>
        <w:t xml:space="preserve"> generico con un altro equivalent</w:t>
      </w:r>
      <w:r w:rsidR="00201DAB">
        <w:rPr>
          <w:rFonts w:asciiTheme="minorHAnsi" w:hAnsiTheme="minorHAnsi"/>
          <w:color w:val="000000"/>
        </w:rPr>
        <w:t>e</w:t>
      </w:r>
      <w:r w:rsidR="002A22BE">
        <w:rPr>
          <w:rFonts w:asciiTheme="minorHAnsi" w:hAnsiTheme="minorHAnsi"/>
          <w:color w:val="000000"/>
        </w:rPr>
        <w:t xml:space="preserve"> in termini di aderenza e persistenza al trattamento</w:t>
      </w:r>
      <w:r w:rsidR="008A54EC">
        <w:rPr>
          <w:rFonts w:asciiTheme="minorHAnsi" w:hAnsiTheme="minorHAnsi"/>
          <w:color w:val="000000"/>
        </w:rPr>
        <w:t xml:space="preserve"> terapeutico in atto.</w:t>
      </w:r>
    </w:p>
    <w:p w:rsidR="00F71465" w:rsidRDefault="00FB3FD2" w:rsidP="00FB3FD2">
      <w:pPr>
        <w:spacing w:line="276" w:lineRule="auto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 tutt</w:t>
      </w:r>
      <w:r w:rsidR="0090491B">
        <w:rPr>
          <w:rFonts w:asciiTheme="minorHAnsi" w:hAnsiTheme="minorHAnsi"/>
          <w:color w:val="000000"/>
        </w:rPr>
        <w:t xml:space="preserve">e e 6 le aree </w:t>
      </w:r>
      <w:r>
        <w:rPr>
          <w:rFonts w:asciiTheme="minorHAnsi" w:hAnsiTheme="minorHAnsi"/>
          <w:color w:val="000000"/>
        </w:rPr>
        <w:t xml:space="preserve">prese in esame si è riscontrato un </w:t>
      </w:r>
      <w:r w:rsidR="000920DC" w:rsidRPr="00B84CF0">
        <w:rPr>
          <w:rFonts w:asciiTheme="minorHAnsi" w:hAnsiTheme="minorHAnsi"/>
          <w:b/>
          <w:color w:val="000000"/>
        </w:rPr>
        <w:t xml:space="preserve">progressivo trend di </w:t>
      </w:r>
      <w:r w:rsidR="00F546B3" w:rsidRPr="00B84CF0">
        <w:rPr>
          <w:rFonts w:asciiTheme="minorHAnsi" w:hAnsiTheme="minorHAnsi"/>
          <w:b/>
          <w:color w:val="000000"/>
        </w:rPr>
        <w:t xml:space="preserve">riduzione della compliance </w:t>
      </w:r>
      <w:r w:rsidR="000920DC" w:rsidRPr="00B84CF0">
        <w:rPr>
          <w:rFonts w:asciiTheme="minorHAnsi" w:hAnsiTheme="minorHAnsi"/>
          <w:b/>
          <w:color w:val="000000"/>
        </w:rPr>
        <w:t>a seguito di un cambi</w:t>
      </w:r>
      <w:r w:rsidRPr="00B84CF0">
        <w:rPr>
          <w:rFonts w:asciiTheme="minorHAnsi" w:hAnsiTheme="minorHAnsi"/>
          <w:b/>
          <w:color w:val="000000"/>
        </w:rPr>
        <w:t>o di farmaco</w:t>
      </w:r>
      <w:r>
        <w:rPr>
          <w:rFonts w:asciiTheme="minorHAnsi" w:hAnsiTheme="minorHAnsi"/>
          <w:color w:val="000000"/>
        </w:rPr>
        <w:t>:</w:t>
      </w:r>
      <w:r w:rsidR="0097286C">
        <w:rPr>
          <w:rFonts w:asciiTheme="minorHAnsi" w:hAnsiTheme="minorHAnsi"/>
          <w:color w:val="000000"/>
        </w:rPr>
        <w:t xml:space="preserve"> </w:t>
      </w:r>
      <w:r w:rsidR="0097286C" w:rsidRPr="004041F7">
        <w:rPr>
          <w:rFonts w:asciiTheme="minorHAnsi" w:hAnsiTheme="minorHAnsi"/>
          <w:b/>
          <w:color w:val="000000"/>
        </w:rPr>
        <w:t>in media</w:t>
      </w:r>
      <w:r w:rsidR="0097286C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 </w:t>
      </w:r>
      <w:r w:rsidR="0097286C" w:rsidRPr="004041F7">
        <w:rPr>
          <w:rFonts w:asciiTheme="minorHAnsi" w:hAnsiTheme="minorHAnsi"/>
          <w:b/>
          <w:color w:val="000000"/>
        </w:rPr>
        <w:t>se una prescrizione di generico su due viene sostit</w:t>
      </w:r>
      <w:r w:rsidR="006E2961" w:rsidRPr="004041F7">
        <w:rPr>
          <w:rFonts w:asciiTheme="minorHAnsi" w:hAnsiTheme="minorHAnsi"/>
          <w:b/>
          <w:color w:val="000000"/>
        </w:rPr>
        <w:t>uita</w:t>
      </w:r>
      <w:r w:rsidR="0097286C" w:rsidRPr="004041F7">
        <w:rPr>
          <w:rFonts w:asciiTheme="minorHAnsi" w:hAnsiTheme="minorHAnsi"/>
          <w:b/>
          <w:color w:val="000000"/>
        </w:rPr>
        <w:t xml:space="preserve"> con un altro equivalente</w:t>
      </w:r>
      <w:r w:rsidR="0097286C">
        <w:rPr>
          <w:rFonts w:asciiTheme="minorHAnsi" w:hAnsiTheme="minorHAnsi"/>
          <w:color w:val="000000"/>
        </w:rPr>
        <w:t xml:space="preserve">, </w:t>
      </w:r>
      <w:r w:rsidR="00EF6FBD">
        <w:rPr>
          <w:rFonts w:asciiTheme="minorHAnsi" w:hAnsiTheme="minorHAnsi"/>
          <w:color w:val="000000"/>
        </w:rPr>
        <w:t xml:space="preserve">per </w:t>
      </w:r>
      <w:r w:rsidR="0097286C">
        <w:rPr>
          <w:rFonts w:asciiTheme="minorHAnsi" w:hAnsiTheme="minorHAnsi"/>
          <w:color w:val="000000"/>
        </w:rPr>
        <w:t>l</w:t>
      </w:r>
      <w:r>
        <w:rPr>
          <w:rFonts w:asciiTheme="minorHAnsi" w:hAnsiTheme="minorHAnsi"/>
          <w:color w:val="000000"/>
        </w:rPr>
        <w:t xml:space="preserve">a dislipidemia e </w:t>
      </w:r>
      <w:r w:rsidR="0097286C">
        <w:rPr>
          <w:rFonts w:asciiTheme="minorHAnsi" w:hAnsiTheme="minorHAnsi"/>
          <w:color w:val="000000"/>
        </w:rPr>
        <w:t>il diabete</w:t>
      </w:r>
      <w:r w:rsidR="006E2961">
        <w:rPr>
          <w:rFonts w:asciiTheme="minorHAnsi" w:hAnsiTheme="minorHAnsi"/>
          <w:color w:val="000000"/>
        </w:rPr>
        <w:t xml:space="preserve"> </w:t>
      </w:r>
      <w:r w:rsidR="00EF6FBD">
        <w:rPr>
          <w:rFonts w:asciiTheme="minorHAnsi" w:hAnsiTheme="minorHAnsi"/>
          <w:color w:val="000000"/>
        </w:rPr>
        <w:t>si registra</w:t>
      </w:r>
      <w:r>
        <w:rPr>
          <w:rFonts w:asciiTheme="minorHAnsi" w:hAnsiTheme="minorHAnsi"/>
          <w:color w:val="000000"/>
        </w:rPr>
        <w:t xml:space="preserve"> la percentuale più alta</w:t>
      </w:r>
      <w:r w:rsidR="006E2961">
        <w:rPr>
          <w:rFonts w:asciiTheme="minorHAnsi" w:hAnsiTheme="minorHAnsi"/>
          <w:color w:val="000000"/>
        </w:rPr>
        <w:t xml:space="preserve"> di diminuzione dell’aderenza</w:t>
      </w:r>
      <w:r>
        <w:rPr>
          <w:rFonts w:asciiTheme="minorHAnsi" w:hAnsiTheme="minorHAnsi"/>
          <w:color w:val="000000"/>
        </w:rPr>
        <w:t xml:space="preserve"> (rispettivamente il </w:t>
      </w:r>
      <w:r w:rsidRPr="00B84CF0">
        <w:rPr>
          <w:rFonts w:asciiTheme="minorHAnsi" w:hAnsiTheme="minorHAnsi"/>
          <w:b/>
          <w:color w:val="000000"/>
        </w:rPr>
        <w:t>48%</w:t>
      </w:r>
      <w:r>
        <w:rPr>
          <w:rFonts w:asciiTheme="minorHAnsi" w:hAnsiTheme="minorHAnsi"/>
          <w:color w:val="000000"/>
        </w:rPr>
        <w:t xml:space="preserve"> e il </w:t>
      </w:r>
      <w:r w:rsidRPr="00B84CF0">
        <w:rPr>
          <w:rFonts w:asciiTheme="minorHAnsi" w:hAnsiTheme="minorHAnsi"/>
          <w:b/>
          <w:color w:val="000000"/>
        </w:rPr>
        <w:t>36%</w:t>
      </w:r>
      <w:r>
        <w:rPr>
          <w:rFonts w:asciiTheme="minorHAnsi" w:hAnsiTheme="minorHAnsi"/>
          <w:color w:val="000000"/>
        </w:rPr>
        <w:t xml:space="preserve">), </w:t>
      </w:r>
      <w:r w:rsidR="00EF6FBD">
        <w:rPr>
          <w:rFonts w:asciiTheme="minorHAnsi" w:hAnsiTheme="minorHAnsi"/>
          <w:color w:val="000000"/>
        </w:rPr>
        <w:t>seguita</w:t>
      </w:r>
      <w:r w:rsidR="0090491B">
        <w:rPr>
          <w:rFonts w:asciiTheme="minorHAnsi" w:hAnsiTheme="minorHAnsi"/>
          <w:color w:val="000000"/>
        </w:rPr>
        <w:t xml:space="preserve"> dall’area della </w:t>
      </w:r>
      <w:r w:rsidR="00F720DE">
        <w:rPr>
          <w:rFonts w:asciiTheme="minorHAnsi" w:hAnsiTheme="minorHAnsi"/>
          <w:color w:val="000000"/>
        </w:rPr>
        <w:t>reumatologia (</w:t>
      </w:r>
      <w:r w:rsidR="00F720DE" w:rsidRPr="00B84CF0">
        <w:rPr>
          <w:rFonts w:asciiTheme="minorHAnsi" w:hAnsiTheme="minorHAnsi"/>
          <w:b/>
          <w:color w:val="000000"/>
        </w:rPr>
        <w:t>21%</w:t>
      </w:r>
      <w:r w:rsidR="0090491B">
        <w:rPr>
          <w:rFonts w:asciiTheme="minorHAnsi" w:hAnsiTheme="minorHAnsi"/>
          <w:color w:val="000000"/>
        </w:rPr>
        <w:t xml:space="preserve">) e </w:t>
      </w:r>
      <w:r w:rsidR="00F720DE">
        <w:rPr>
          <w:rFonts w:asciiTheme="minorHAnsi" w:hAnsiTheme="minorHAnsi"/>
          <w:color w:val="000000"/>
        </w:rPr>
        <w:t>della psichiatria (</w:t>
      </w:r>
      <w:r w:rsidR="00F720DE" w:rsidRPr="00B84CF0">
        <w:rPr>
          <w:rFonts w:asciiTheme="minorHAnsi" w:hAnsiTheme="minorHAnsi"/>
          <w:b/>
          <w:color w:val="000000"/>
        </w:rPr>
        <w:t>19%</w:t>
      </w:r>
      <w:r w:rsidR="00F720DE">
        <w:rPr>
          <w:rFonts w:asciiTheme="minorHAnsi" w:hAnsiTheme="minorHAnsi"/>
          <w:color w:val="000000"/>
        </w:rPr>
        <w:t xml:space="preserve">) e </w:t>
      </w:r>
      <w:r w:rsidR="00F720DE" w:rsidRPr="006B6205">
        <w:rPr>
          <w:rFonts w:asciiTheme="minorHAnsi" w:hAnsiTheme="minorHAnsi"/>
          <w:color w:val="000000"/>
        </w:rPr>
        <w:t>dall’ipertensione (</w:t>
      </w:r>
      <w:r w:rsidR="00F720DE" w:rsidRPr="006B6205">
        <w:rPr>
          <w:rFonts w:asciiTheme="minorHAnsi" w:hAnsiTheme="minorHAnsi"/>
          <w:b/>
          <w:color w:val="000000"/>
        </w:rPr>
        <w:t>10%</w:t>
      </w:r>
      <w:r w:rsidR="00F720DE" w:rsidRPr="006B6205">
        <w:rPr>
          <w:rFonts w:asciiTheme="minorHAnsi" w:hAnsiTheme="minorHAnsi"/>
          <w:color w:val="000000"/>
        </w:rPr>
        <w:t>)</w:t>
      </w:r>
      <w:r w:rsidR="00286C29">
        <w:rPr>
          <w:rStyle w:val="Rimandonotaapidipagina"/>
          <w:rFonts w:asciiTheme="minorHAnsi" w:hAnsiTheme="minorHAnsi"/>
          <w:color w:val="000000"/>
        </w:rPr>
        <w:footnoteReference w:id="1"/>
      </w:r>
      <w:r w:rsidR="006B6205" w:rsidRPr="006B6205">
        <w:rPr>
          <w:rFonts w:asciiTheme="minorHAnsi" w:hAnsiTheme="minorHAnsi"/>
          <w:color w:val="000000"/>
        </w:rPr>
        <w:t>.</w:t>
      </w:r>
      <w:r w:rsidR="00D93F08" w:rsidRPr="006B6205">
        <w:rPr>
          <w:rFonts w:asciiTheme="minorHAnsi" w:hAnsiTheme="minorHAnsi"/>
          <w:color w:val="000000"/>
        </w:rPr>
        <w:t xml:space="preserve"> </w:t>
      </w:r>
    </w:p>
    <w:p w:rsidR="0002142E" w:rsidRPr="00BB5F43" w:rsidRDefault="006E2961" w:rsidP="00FB3FD2">
      <w:pPr>
        <w:spacing w:line="276" w:lineRule="auto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Questo calo</w:t>
      </w:r>
      <w:r w:rsidR="00BB5F43">
        <w:rPr>
          <w:rFonts w:asciiTheme="minorHAnsi" w:hAnsiTheme="minorHAnsi"/>
          <w:color w:val="000000"/>
        </w:rPr>
        <w:t xml:space="preserve"> dell’aderenza alla prescrizione farmacologica implica una minore efficacia e sicurezza dei trattamenti terapeutici, con conseguente aumento del rischio di complicanze e di un peggioramento delle condizioni di salute dei pazienti.</w:t>
      </w:r>
    </w:p>
    <w:p w:rsidR="00666127" w:rsidRDefault="00666127" w:rsidP="00FB3FD2">
      <w:pPr>
        <w:spacing w:line="276" w:lineRule="auto"/>
        <w:jc w:val="both"/>
        <w:textAlignment w:val="baseline"/>
        <w:rPr>
          <w:rFonts w:asciiTheme="minorHAnsi" w:hAnsiTheme="minorHAnsi"/>
          <w:color w:val="000000"/>
          <w:highlight w:val="yellow"/>
        </w:rPr>
      </w:pPr>
    </w:p>
    <w:p w:rsidR="00DE126C" w:rsidRPr="00DE126C" w:rsidRDefault="00A46ED1" w:rsidP="00DE126C">
      <w:pPr>
        <w:spacing w:after="200" w:line="276" w:lineRule="auto"/>
        <w:jc w:val="both"/>
        <w:rPr>
          <w:rFonts w:eastAsia="Calibri"/>
        </w:rPr>
      </w:pPr>
      <w:r w:rsidRPr="00A46ED1">
        <w:rPr>
          <w:rFonts w:eastAsia="Calibri"/>
        </w:rPr>
        <w:t>“</w:t>
      </w:r>
      <w:r w:rsidRPr="00A46ED1">
        <w:rPr>
          <w:rFonts w:eastAsia="Calibri"/>
          <w:i/>
        </w:rPr>
        <w:t>Con piacere presentiamo i dati di questa importante ricerca che verte su un tema estremamente attuale e su cui ci giungono numerose richieste di chiarimento da parte delle donne</w:t>
      </w:r>
      <w:r w:rsidRPr="00A46ED1">
        <w:rPr>
          <w:rFonts w:eastAsia="Calibri"/>
        </w:rPr>
        <w:t>”</w:t>
      </w:r>
      <w:r w:rsidR="009B6537">
        <w:rPr>
          <w:rFonts w:eastAsia="Calibri"/>
        </w:rPr>
        <w:t>,</w:t>
      </w:r>
      <w:r w:rsidRPr="00A46ED1">
        <w:rPr>
          <w:rFonts w:eastAsia="Calibri"/>
        </w:rPr>
        <w:t xml:space="preserve"> afferma </w:t>
      </w:r>
      <w:r w:rsidRPr="00A46ED1">
        <w:rPr>
          <w:rFonts w:eastAsia="Calibri"/>
          <w:b/>
        </w:rPr>
        <w:t>Nicoletta Orthmann</w:t>
      </w:r>
      <w:r w:rsidRPr="00A46ED1">
        <w:rPr>
          <w:rFonts w:eastAsia="Calibri"/>
        </w:rPr>
        <w:t>, Referente medico-scientifico di Onda</w:t>
      </w:r>
      <w:r w:rsidR="00B56F56">
        <w:rPr>
          <w:rFonts w:eastAsia="Calibri"/>
        </w:rPr>
        <w:t>.</w:t>
      </w:r>
      <w:r w:rsidRPr="00A46ED1">
        <w:rPr>
          <w:rFonts w:eastAsia="Calibri"/>
        </w:rPr>
        <w:t xml:space="preserve"> “</w:t>
      </w:r>
      <w:r w:rsidRPr="00A46ED1">
        <w:rPr>
          <w:rFonts w:eastAsia="Calibri"/>
          <w:i/>
        </w:rPr>
        <w:t>Lo sco</w:t>
      </w:r>
      <w:r w:rsidR="00EA39BF">
        <w:rPr>
          <w:rFonts w:eastAsia="Calibri"/>
          <w:i/>
        </w:rPr>
        <w:t>rso febbraio abbiamo presentato</w:t>
      </w:r>
      <w:r w:rsidRPr="00A46ED1">
        <w:rPr>
          <w:rFonts w:eastAsia="Calibri"/>
          <w:i/>
        </w:rPr>
        <w:t xml:space="preserve"> i dati di una</w:t>
      </w:r>
      <w:r w:rsidR="009B6537">
        <w:rPr>
          <w:rFonts w:eastAsia="Calibri"/>
          <w:i/>
        </w:rPr>
        <w:t xml:space="preserve"> nostra  survey</w:t>
      </w:r>
      <w:r w:rsidRPr="00A46ED1">
        <w:rPr>
          <w:rFonts w:eastAsia="Calibri"/>
          <w:i/>
        </w:rPr>
        <w:t>, condotta su un campione di 445 donne, con l’obiettivo di esplorare le modalità d</w:t>
      </w:r>
      <w:r w:rsidR="009B6537">
        <w:rPr>
          <w:rFonts w:eastAsia="Calibri"/>
          <w:i/>
        </w:rPr>
        <w:t>i approccio al farmaco generico e</w:t>
      </w:r>
      <w:r w:rsidRPr="00A46ED1">
        <w:rPr>
          <w:rFonts w:eastAsia="Calibri"/>
          <w:i/>
        </w:rPr>
        <w:t xml:space="preserve"> il grado di soddisfazione</w:t>
      </w:r>
      <w:r w:rsidR="00EA39BF">
        <w:rPr>
          <w:rFonts w:eastAsia="Calibri"/>
          <w:i/>
        </w:rPr>
        <w:t>,</w:t>
      </w:r>
      <w:r w:rsidRPr="00A46ED1">
        <w:rPr>
          <w:rFonts w:eastAsia="Calibri"/>
          <w:i/>
        </w:rPr>
        <w:t xml:space="preserve"> con particolare riferimento alle conseguenze di un eventuale switch da un farmaco a un altro sulla pros</w:t>
      </w:r>
      <w:r w:rsidR="00B52B7F">
        <w:rPr>
          <w:rFonts w:eastAsia="Calibri"/>
          <w:i/>
        </w:rPr>
        <w:t>ecuzione della terapia. Tre donne su quattro</w:t>
      </w:r>
      <w:r w:rsidRPr="00A46ED1">
        <w:rPr>
          <w:rFonts w:eastAsia="Calibri"/>
          <w:i/>
        </w:rPr>
        <w:t xml:space="preserve"> avevano riferito che la sostituzione di un generico con un altro rappresentava un problema, che nel 19% dei casi si traduceva in una minor aderenza alla terapia (errori di assunzione, sospensione</w:t>
      </w:r>
      <w:r w:rsidR="00EA39BF">
        <w:rPr>
          <w:rFonts w:eastAsia="Calibri"/>
          <w:i/>
        </w:rPr>
        <w:t xml:space="preserve"> o </w:t>
      </w:r>
      <w:r w:rsidRPr="00A46ED1">
        <w:rPr>
          <w:rFonts w:eastAsia="Calibri"/>
          <w:i/>
        </w:rPr>
        <w:t xml:space="preserve">interruzione). I risultati </w:t>
      </w:r>
      <w:r w:rsidR="00D74F06">
        <w:rPr>
          <w:rFonts w:eastAsia="Calibri"/>
          <w:i/>
        </w:rPr>
        <w:t xml:space="preserve">preliminari dello studio </w:t>
      </w:r>
      <w:r w:rsidRPr="00A46ED1">
        <w:rPr>
          <w:rFonts w:eastAsia="Calibri"/>
          <w:i/>
        </w:rPr>
        <w:t xml:space="preserve">che presentiamo oggi costituiscono la conferma </w:t>
      </w:r>
      <w:r w:rsidR="00EA39BF">
        <w:rPr>
          <w:rFonts w:eastAsia="Calibri"/>
          <w:i/>
        </w:rPr>
        <w:t>‘</w:t>
      </w:r>
      <w:r w:rsidRPr="00A46ED1">
        <w:rPr>
          <w:rFonts w:eastAsia="Calibri"/>
          <w:i/>
        </w:rPr>
        <w:t>evidence based</w:t>
      </w:r>
      <w:r w:rsidR="00EA39BF">
        <w:rPr>
          <w:rFonts w:eastAsia="Calibri"/>
          <w:i/>
        </w:rPr>
        <w:t>’</w:t>
      </w:r>
      <w:r w:rsidRPr="00A46ED1">
        <w:rPr>
          <w:rFonts w:eastAsia="Calibri"/>
          <w:i/>
        </w:rPr>
        <w:t xml:space="preserve"> di quanto emerso nella nostra indagine: più aumenta il numero delle sostituzioni tra generici, minore è l’aderenza al </w:t>
      </w:r>
      <w:r w:rsidR="00B56F56">
        <w:rPr>
          <w:rFonts w:eastAsia="Calibri"/>
          <w:i/>
        </w:rPr>
        <w:t>p</w:t>
      </w:r>
      <w:r w:rsidR="00EA39BF">
        <w:rPr>
          <w:rFonts w:eastAsia="Calibri"/>
          <w:i/>
        </w:rPr>
        <w:t xml:space="preserve">rogramma </w:t>
      </w:r>
      <w:r w:rsidR="00EA39BF">
        <w:rPr>
          <w:rFonts w:eastAsia="Calibri"/>
          <w:i/>
        </w:rPr>
        <w:lastRenderedPageBreak/>
        <w:t xml:space="preserve">terapeutico in atto. </w:t>
      </w:r>
      <w:r w:rsidRPr="00A46ED1">
        <w:rPr>
          <w:rFonts w:eastAsia="Calibri"/>
          <w:i/>
        </w:rPr>
        <w:t xml:space="preserve">Per patologie croniche, come quelle prese in considerazione della ricerca, risulta invece cruciale mantenere la continuità terapeutica, anche dopo il raggiungimento dei </w:t>
      </w:r>
      <w:r w:rsidRPr="006B6205">
        <w:rPr>
          <w:rFonts w:eastAsia="Calibri"/>
          <w:i/>
        </w:rPr>
        <w:t xml:space="preserve">risultati positivi, per garantire la maggior efficacia e sicurezza del trattamento e ridurre il rischio di complicanze </w:t>
      </w:r>
      <w:r w:rsidR="006B6205" w:rsidRPr="006B6205">
        <w:rPr>
          <w:rFonts w:eastAsia="Calibri"/>
          <w:i/>
        </w:rPr>
        <w:t xml:space="preserve">e </w:t>
      </w:r>
      <w:r w:rsidRPr="006B6205">
        <w:rPr>
          <w:rFonts w:eastAsia="Calibri"/>
          <w:i/>
        </w:rPr>
        <w:t>di ospedalizzazione</w:t>
      </w:r>
      <w:r w:rsidRPr="006B6205">
        <w:rPr>
          <w:rFonts w:eastAsia="Calibri"/>
        </w:rPr>
        <w:t>”.</w:t>
      </w:r>
      <w:r w:rsidRPr="00A46ED1">
        <w:rPr>
          <w:rFonts w:eastAsia="Calibri"/>
        </w:rPr>
        <w:t xml:space="preserve"> </w:t>
      </w:r>
    </w:p>
    <w:p w:rsidR="00DE126C" w:rsidRPr="00DE126C" w:rsidRDefault="00DE126C" w:rsidP="00DE126C">
      <w:pPr>
        <w:spacing w:after="200" w:line="276" w:lineRule="auto"/>
        <w:jc w:val="both"/>
        <w:rPr>
          <w:rFonts w:eastAsia="Calibri"/>
        </w:rPr>
      </w:pPr>
      <w:r w:rsidRPr="00DE126C">
        <w:rPr>
          <w:rFonts w:eastAsia="Calibri"/>
        </w:rPr>
        <w:t>“</w:t>
      </w:r>
      <w:r w:rsidR="00A62560">
        <w:rPr>
          <w:rFonts w:eastAsia="Calibri"/>
          <w:i/>
        </w:rPr>
        <w:t>L</w:t>
      </w:r>
      <w:r w:rsidRPr="00A62560">
        <w:rPr>
          <w:rFonts w:eastAsia="Calibri"/>
          <w:i/>
        </w:rPr>
        <w:t>o studio presenta vari a</w:t>
      </w:r>
      <w:r w:rsidR="00A62560">
        <w:rPr>
          <w:rFonts w:eastAsia="Calibri"/>
          <w:i/>
        </w:rPr>
        <w:t>spetti meritevoli di attenzione</w:t>
      </w:r>
      <w:r w:rsidR="00A62560">
        <w:rPr>
          <w:rFonts w:eastAsia="Calibri"/>
        </w:rPr>
        <w:t xml:space="preserve">”, dichiara il professor </w:t>
      </w:r>
      <w:r w:rsidR="00A62560" w:rsidRPr="00A62560">
        <w:rPr>
          <w:rFonts w:eastAsia="Calibri"/>
          <w:b/>
        </w:rPr>
        <w:t>Enrico Agabiti Rosei</w:t>
      </w:r>
      <w:r w:rsidR="00A62560">
        <w:rPr>
          <w:rFonts w:eastAsia="Calibri"/>
        </w:rPr>
        <w:t>, Presidente della Società Europea dell’Ipertensione.</w:t>
      </w:r>
      <w:r w:rsidRPr="00A62560">
        <w:rPr>
          <w:rFonts w:eastAsia="Calibri"/>
          <w:i/>
        </w:rPr>
        <w:t xml:space="preserve"> </w:t>
      </w:r>
      <w:r w:rsidR="00A62560">
        <w:rPr>
          <w:rFonts w:eastAsia="Calibri"/>
          <w:i/>
        </w:rPr>
        <w:t>“</w:t>
      </w:r>
      <w:r w:rsidRPr="00A62560">
        <w:rPr>
          <w:rFonts w:eastAsia="Calibri"/>
          <w:i/>
        </w:rPr>
        <w:t>Innanzitutto i dati confermano che la pratica della sostituzione di un generi</w:t>
      </w:r>
      <w:r w:rsidR="00E67115">
        <w:rPr>
          <w:rFonts w:eastAsia="Calibri"/>
          <w:i/>
        </w:rPr>
        <w:t>co con un altro farmaco equivalente</w:t>
      </w:r>
      <w:r w:rsidRPr="00A62560">
        <w:rPr>
          <w:rFonts w:eastAsia="Calibri"/>
          <w:i/>
        </w:rPr>
        <w:t xml:space="preserve"> è assai comune, interessando più della metà dei pazienti. Inoltre, lo </w:t>
      </w:r>
      <w:r w:rsidR="00E67115">
        <w:rPr>
          <w:rFonts w:eastAsia="Calibri"/>
          <w:i/>
        </w:rPr>
        <w:t>‘switch’</w:t>
      </w:r>
      <w:r w:rsidRPr="00A62560">
        <w:rPr>
          <w:rFonts w:eastAsia="Calibri"/>
          <w:i/>
        </w:rPr>
        <w:t xml:space="preserve"> spesso avviene ripetutamente, con una frequenza compresa fra</w:t>
      </w:r>
      <w:r w:rsidR="00A11C57">
        <w:rPr>
          <w:rFonts w:eastAsia="Calibri"/>
          <w:i/>
        </w:rPr>
        <w:t xml:space="preserve"> un cambio ogni 3 </w:t>
      </w:r>
      <w:r w:rsidR="00E67115">
        <w:rPr>
          <w:rFonts w:eastAsia="Calibri"/>
          <w:i/>
        </w:rPr>
        <w:t>e</w:t>
      </w:r>
      <w:r w:rsidRPr="00A62560">
        <w:rPr>
          <w:rFonts w:eastAsia="Calibri"/>
          <w:i/>
        </w:rPr>
        <w:t xml:space="preserve"> uno ogni 5 prescrizioni, in relazione alle diverse aree terapeutiche.</w:t>
      </w:r>
      <w:r w:rsidR="00E67115">
        <w:rPr>
          <w:rFonts w:eastAsia="Calibri"/>
          <w:i/>
        </w:rPr>
        <w:t xml:space="preserve"> </w:t>
      </w:r>
      <w:r w:rsidRPr="00A62560">
        <w:rPr>
          <w:rFonts w:eastAsia="Calibri"/>
          <w:i/>
        </w:rPr>
        <w:t>I risultati evidenziano anche</w:t>
      </w:r>
      <w:r w:rsidR="00B53883">
        <w:rPr>
          <w:rFonts w:eastAsia="Calibri"/>
          <w:i/>
        </w:rPr>
        <w:t xml:space="preserve"> che nei pazienti con ripetuti ‘switch’</w:t>
      </w:r>
      <w:r w:rsidRPr="00A62560">
        <w:rPr>
          <w:rFonts w:eastAsia="Calibri"/>
          <w:i/>
        </w:rPr>
        <w:t xml:space="preserve"> vi è una netta caduta della aderenza e della persistenza al trattamento, e ciò richiama l’attenzione sui possibili rischi connessi a frequenti variazioni del farmaco dispensato.</w:t>
      </w:r>
      <w:r w:rsidR="00790F98">
        <w:rPr>
          <w:rFonts w:eastAsia="Calibri"/>
          <w:i/>
        </w:rPr>
        <w:t xml:space="preserve"> </w:t>
      </w:r>
      <w:r w:rsidR="00790F98" w:rsidRPr="004117D4">
        <w:rPr>
          <w:rFonts w:eastAsia="Calibri"/>
          <w:i/>
        </w:rPr>
        <w:t>Infine</w:t>
      </w:r>
      <w:r w:rsidR="00763710">
        <w:rPr>
          <w:rFonts w:eastAsia="Calibri"/>
          <w:i/>
        </w:rPr>
        <w:t>,</w:t>
      </w:r>
      <w:r w:rsidR="00790F98" w:rsidRPr="004117D4">
        <w:rPr>
          <w:rFonts w:eastAsia="Calibri"/>
          <w:i/>
        </w:rPr>
        <w:t xml:space="preserve"> è utile rimarcare anche </w:t>
      </w:r>
      <w:r w:rsidRPr="004117D4">
        <w:rPr>
          <w:rFonts w:eastAsia="Calibri"/>
          <w:i/>
        </w:rPr>
        <w:t xml:space="preserve">che un sicuro punto di forza </w:t>
      </w:r>
      <w:r w:rsidR="00B53883" w:rsidRPr="004117D4">
        <w:rPr>
          <w:rFonts w:eastAsia="Calibri"/>
          <w:i/>
        </w:rPr>
        <w:t>dell’indagine</w:t>
      </w:r>
      <w:r w:rsidRPr="004117D4">
        <w:rPr>
          <w:rFonts w:eastAsia="Calibri"/>
          <w:i/>
        </w:rPr>
        <w:t xml:space="preserve"> è costituito dalla rappresentatività per quanto accade ogni giorno nella realtà del nostro Servizio Sanitario, essendo basat</w:t>
      </w:r>
      <w:r w:rsidR="0003015C" w:rsidRPr="004117D4">
        <w:rPr>
          <w:rFonts w:eastAsia="Calibri"/>
          <w:i/>
        </w:rPr>
        <w:t>a</w:t>
      </w:r>
      <w:r w:rsidRPr="004117D4">
        <w:rPr>
          <w:rFonts w:eastAsia="Calibri"/>
          <w:i/>
        </w:rPr>
        <w:t xml:space="preserve"> su dati relativi agli ass</w:t>
      </w:r>
      <w:r w:rsidR="004117D4" w:rsidRPr="004117D4">
        <w:rPr>
          <w:rFonts w:eastAsia="Calibri"/>
          <w:i/>
        </w:rPr>
        <w:t xml:space="preserve">istiti </w:t>
      </w:r>
      <w:r w:rsidR="0003015C" w:rsidRPr="004117D4">
        <w:rPr>
          <w:rFonts w:eastAsia="Calibri"/>
          <w:i/>
        </w:rPr>
        <w:t>della</w:t>
      </w:r>
      <w:r w:rsidRPr="004117D4">
        <w:rPr>
          <w:rFonts w:eastAsia="Calibri"/>
          <w:i/>
        </w:rPr>
        <w:t xml:space="preserve"> Regione Lombardia</w:t>
      </w:r>
      <w:r w:rsidRPr="004117D4">
        <w:rPr>
          <w:rFonts w:eastAsia="Calibri"/>
        </w:rPr>
        <w:t>.”</w:t>
      </w:r>
    </w:p>
    <w:p w:rsidR="005E765C" w:rsidRDefault="005E765C" w:rsidP="00DE126C">
      <w:pPr>
        <w:spacing w:after="200" w:line="276" w:lineRule="auto"/>
        <w:jc w:val="both"/>
        <w:rPr>
          <w:rFonts w:eastAsia="Calibri"/>
        </w:rPr>
      </w:pPr>
      <w:r w:rsidRPr="005E765C">
        <w:rPr>
          <w:rFonts w:eastAsia="Calibri"/>
        </w:rPr>
        <w:t>“</w:t>
      </w:r>
      <w:r w:rsidRPr="00CE5129">
        <w:rPr>
          <w:rFonts w:eastAsia="Calibri"/>
          <w:i/>
        </w:rPr>
        <w:t>Anche nell’area della psichiatria</w:t>
      </w:r>
      <w:r w:rsidR="00CE5129">
        <w:rPr>
          <w:rFonts w:eastAsia="Calibri"/>
          <w:i/>
        </w:rPr>
        <w:t xml:space="preserve"> </w:t>
      </w:r>
      <w:r w:rsidR="00CE5129">
        <w:rPr>
          <w:rFonts w:eastAsia="Calibri"/>
        </w:rPr>
        <w:t xml:space="preserve">- sostiene il professor </w:t>
      </w:r>
      <w:r w:rsidRPr="00CE5129">
        <w:rPr>
          <w:rFonts w:eastAsia="Calibri"/>
          <w:b/>
        </w:rPr>
        <w:t>Claudio Mencacci</w:t>
      </w:r>
      <w:r w:rsidRPr="005E765C">
        <w:rPr>
          <w:rFonts w:eastAsia="Calibri"/>
        </w:rPr>
        <w:t>, Presidente della Società Italiana di Psichiatria e Direttore del Dip</w:t>
      </w:r>
      <w:r w:rsidR="00763710">
        <w:rPr>
          <w:rFonts w:eastAsia="Calibri"/>
        </w:rPr>
        <w:t>artimento di Neuroscienze dell’Ospedale</w:t>
      </w:r>
      <w:r w:rsidRPr="005E765C">
        <w:rPr>
          <w:rFonts w:eastAsia="Calibri"/>
        </w:rPr>
        <w:t xml:space="preserve"> Fatebenefratelli di Milano </w:t>
      </w:r>
      <w:r w:rsidRPr="00CE5129">
        <w:rPr>
          <w:rFonts w:eastAsia="Calibri"/>
          <w:i/>
        </w:rPr>
        <w:t>-  lo studio in oggetto ha dimostrato che all’aumentare della sostituzione o</w:t>
      </w:r>
      <w:r w:rsidR="00AD5B7D">
        <w:rPr>
          <w:rFonts w:eastAsia="Calibri"/>
          <w:i/>
        </w:rPr>
        <w:t>rizzontale tra farmaci generici</w:t>
      </w:r>
      <w:r w:rsidRPr="00CE5129">
        <w:rPr>
          <w:rFonts w:eastAsia="Calibri"/>
          <w:i/>
        </w:rPr>
        <w:t xml:space="preserve"> diminuiscono aderenz</w:t>
      </w:r>
      <w:r w:rsidR="00763710">
        <w:rPr>
          <w:rFonts w:eastAsia="Calibri"/>
          <w:i/>
        </w:rPr>
        <w:t xml:space="preserve">a e persistenza alla terapia. È </w:t>
      </w:r>
      <w:r w:rsidRPr="00CE5129">
        <w:rPr>
          <w:rFonts w:eastAsia="Calibri"/>
          <w:i/>
        </w:rPr>
        <w:t xml:space="preserve">fondamentale, come </w:t>
      </w:r>
      <w:r w:rsidR="004117D4">
        <w:rPr>
          <w:rFonts w:eastAsia="Calibri"/>
          <w:i/>
        </w:rPr>
        <w:t>dimostrano le Linee guida AIFA d</w:t>
      </w:r>
      <w:r w:rsidRPr="00CE5129">
        <w:rPr>
          <w:rFonts w:eastAsia="Calibri"/>
          <w:i/>
        </w:rPr>
        <w:t>el 2014, che</w:t>
      </w:r>
      <w:r w:rsidR="00AD5B7D">
        <w:rPr>
          <w:rFonts w:eastAsia="Calibri"/>
          <w:i/>
        </w:rPr>
        <w:t>,</w:t>
      </w:r>
      <w:r w:rsidRPr="00CE5129">
        <w:rPr>
          <w:rFonts w:eastAsia="Calibri"/>
          <w:i/>
        </w:rPr>
        <w:t xml:space="preserve"> indipendentemente dall’antidepressivo utilizzato</w:t>
      </w:r>
      <w:r w:rsidR="00AD5B7D">
        <w:rPr>
          <w:rFonts w:eastAsia="Calibri"/>
          <w:i/>
        </w:rPr>
        <w:t>,</w:t>
      </w:r>
      <w:r w:rsidRPr="00CE5129">
        <w:rPr>
          <w:rFonts w:eastAsia="Calibri"/>
          <w:i/>
        </w:rPr>
        <w:t xml:space="preserve"> il trattamento duri almeno 6 mesi nei pazienti affetti da depressione, in virtù dell’alto rischio di recidiva</w:t>
      </w:r>
      <w:r w:rsidR="001573CF">
        <w:rPr>
          <w:rFonts w:eastAsia="Calibri"/>
          <w:i/>
        </w:rPr>
        <w:t>,</w:t>
      </w:r>
      <w:r w:rsidRPr="00CE5129">
        <w:rPr>
          <w:rFonts w:eastAsia="Calibri"/>
          <w:i/>
        </w:rPr>
        <w:t xml:space="preserve"> a cui si attribuisce gran parte dei costi econo</w:t>
      </w:r>
      <w:r w:rsidR="00AD5B7D">
        <w:rPr>
          <w:rFonts w:eastAsia="Calibri"/>
          <w:i/>
        </w:rPr>
        <w:t>mici e sociali della patologia</w:t>
      </w:r>
      <w:r w:rsidRPr="00CE5129">
        <w:rPr>
          <w:rFonts w:eastAsia="Calibri"/>
          <w:i/>
        </w:rPr>
        <w:t>. Precedenti studi osservazionali hanno dimostrato che quasi il 50% dei paz</w:t>
      </w:r>
      <w:r w:rsidR="001573CF">
        <w:rPr>
          <w:rFonts w:eastAsia="Calibri"/>
          <w:i/>
        </w:rPr>
        <w:t>ienti in terapia sospende il trattamento</w:t>
      </w:r>
      <w:r w:rsidRPr="00CE5129">
        <w:rPr>
          <w:rFonts w:eastAsia="Calibri"/>
          <w:i/>
        </w:rPr>
        <w:t xml:space="preserve"> nei primi 3 mesi ed il 70% nei primi 6 mesi. </w:t>
      </w:r>
      <w:r w:rsidR="00763710">
        <w:rPr>
          <w:rFonts w:eastAsia="Calibri"/>
          <w:i/>
        </w:rPr>
        <w:t xml:space="preserve">È </w:t>
      </w:r>
      <w:r w:rsidR="001573CF">
        <w:rPr>
          <w:rFonts w:eastAsia="Calibri"/>
          <w:i/>
        </w:rPr>
        <w:t>quindi importante</w:t>
      </w:r>
      <w:r w:rsidRPr="00CE5129">
        <w:rPr>
          <w:rFonts w:eastAsia="Calibri"/>
          <w:i/>
        </w:rPr>
        <w:t xml:space="preserve"> ridurre i fattori che possono influire sulla aderenza alle cure e anche quei fattori biologici che possono interferire con il buon esito clinico raggiunto. Si consig</w:t>
      </w:r>
      <w:r w:rsidR="001573CF">
        <w:rPr>
          <w:rFonts w:eastAsia="Calibri"/>
          <w:i/>
        </w:rPr>
        <w:t>lia, pertanto, di mantenere sempre lo stesso ‘</w:t>
      </w:r>
      <w:r w:rsidRPr="00CE5129">
        <w:rPr>
          <w:rFonts w:eastAsia="Calibri"/>
          <w:i/>
        </w:rPr>
        <w:t>brand</w:t>
      </w:r>
      <w:r w:rsidR="001573CF">
        <w:rPr>
          <w:rFonts w:eastAsia="Calibri"/>
          <w:i/>
        </w:rPr>
        <w:t xml:space="preserve"> di g</w:t>
      </w:r>
      <w:r w:rsidRPr="00CE5129">
        <w:rPr>
          <w:rFonts w:eastAsia="Calibri"/>
          <w:i/>
        </w:rPr>
        <w:t>enerico</w:t>
      </w:r>
      <w:r w:rsidR="001573CF">
        <w:rPr>
          <w:rFonts w:eastAsia="Calibri"/>
          <w:i/>
        </w:rPr>
        <w:t xml:space="preserve">’ </w:t>
      </w:r>
      <w:r w:rsidRPr="00CE5129">
        <w:rPr>
          <w:rFonts w:eastAsia="Calibri"/>
          <w:i/>
        </w:rPr>
        <w:t>con il quale si è iniziata la cura e raggiunto gli esiti positivi</w:t>
      </w:r>
      <w:r w:rsidRPr="005E765C">
        <w:rPr>
          <w:rFonts w:eastAsia="Calibri"/>
        </w:rPr>
        <w:t>”</w:t>
      </w:r>
      <w:r w:rsidR="00D07423">
        <w:rPr>
          <w:rFonts w:eastAsia="Calibri"/>
        </w:rPr>
        <w:t>.</w:t>
      </w:r>
    </w:p>
    <w:p w:rsidR="00D07423" w:rsidRDefault="00D07423" w:rsidP="00D07423">
      <w:pPr>
        <w:spacing w:after="200" w:line="276" w:lineRule="auto"/>
        <w:jc w:val="both"/>
        <w:rPr>
          <w:rFonts w:eastAsia="Calibri"/>
        </w:rPr>
      </w:pPr>
      <w:r w:rsidRPr="00D07423">
        <w:rPr>
          <w:rFonts w:eastAsia="Calibri"/>
        </w:rPr>
        <w:t>“</w:t>
      </w:r>
      <w:r w:rsidRPr="001573CF">
        <w:rPr>
          <w:rFonts w:eastAsia="Calibri"/>
          <w:i/>
        </w:rPr>
        <w:t>I farmaci bioequivalenti non presentano criticità nell’utilizzo clinico sia da parte degli specialist</w:t>
      </w:r>
      <w:r w:rsidR="001C68F0">
        <w:rPr>
          <w:rFonts w:eastAsia="Calibri"/>
          <w:i/>
        </w:rPr>
        <w:t>i che della medicina generale</w:t>
      </w:r>
      <w:r w:rsidR="002A0BF1">
        <w:rPr>
          <w:rFonts w:eastAsia="Calibri"/>
          <w:i/>
        </w:rPr>
        <w:t xml:space="preserve"> </w:t>
      </w:r>
      <w:r w:rsidR="002A0BF1">
        <w:rPr>
          <w:rFonts w:eastAsia="Calibri"/>
        </w:rPr>
        <w:t xml:space="preserve">– afferma il professor </w:t>
      </w:r>
      <w:r w:rsidR="002A0BF1" w:rsidRPr="002A0BF1">
        <w:rPr>
          <w:rFonts w:eastAsia="Calibri"/>
          <w:b/>
        </w:rPr>
        <w:t>Alberico Catapano</w:t>
      </w:r>
      <w:r w:rsidR="002A0BF1">
        <w:rPr>
          <w:rFonts w:eastAsia="Calibri"/>
        </w:rPr>
        <w:t xml:space="preserve">, Presidente della Società Europea dell’Aterosclerosi </w:t>
      </w:r>
      <w:r w:rsidR="001C68F0">
        <w:rPr>
          <w:rFonts w:eastAsia="Calibri"/>
        </w:rPr>
        <w:t>–</w:t>
      </w:r>
      <w:r w:rsidRPr="001573CF">
        <w:rPr>
          <w:rFonts w:eastAsia="Calibri"/>
          <w:i/>
        </w:rPr>
        <w:t xml:space="preserve"> dimostrandosi</w:t>
      </w:r>
      <w:r w:rsidR="001C68F0">
        <w:rPr>
          <w:rFonts w:eastAsia="Calibri"/>
          <w:i/>
        </w:rPr>
        <w:t>,</w:t>
      </w:r>
      <w:r w:rsidRPr="001573CF">
        <w:rPr>
          <w:rFonts w:eastAsia="Calibri"/>
          <w:i/>
        </w:rPr>
        <w:t xml:space="preserve"> in una ampia serie di studi</w:t>
      </w:r>
      <w:r w:rsidR="001C68F0">
        <w:rPr>
          <w:rFonts w:eastAsia="Calibri"/>
          <w:i/>
        </w:rPr>
        <w:t>,</w:t>
      </w:r>
      <w:r w:rsidRPr="001573CF">
        <w:rPr>
          <w:rFonts w:eastAsia="Calibri"/>
          <w:i/>
        </w:rPr>
        <w:t xml:space="preserve"> del t</w:t>
      </w:r>
      <w:r w:rsidR="004117D4">
        <w:rPr>
          <w:rFonts w:eastAsia="Calibri"/>
          <w:i/>
        </w:rPr>
        <w:t>utto equivalenti ai cosiddetti ‘branded’</w:t>
      </w:r>
      <w:r w:rsidRPr="001573CF">
        <w:rPr>
          <w:rFonts w:eastAsia="Calibri"/>
          <w:i/>
        </w:rPr>
        <w:t xml:space="preserve"> nella efficacia clinica</w:t>
      </w:r>
      <w:r w:rsidR="004117D4">
        <w:rPr>
          <w:rFonts w:eastAsia="Calibri"/>
          <w:i/>
        </w:rPr>
        <w:t>,</w:t>
      </w:r>
      <w:r w:rsidRPr="001573CF">
        <w:rPr>
          <w:rFonts w:eastAsia="Calibri"/>
          <w:i/>
        </w:rPr>
        <w:t xml:space="preserve"> misurabile nella popolazione trattata anche attraverso studi di utilizzo </w:t>
      </w:r>
      <w:r w:rsidR="004117D4">
        <w:rPr>
          <w:rFonts w:eastAsia="Calibri"/>
          <w:i/>
        </w:rPr>
        <w:t>‘real life’</w:t>
      </w:r>
      <w:r w:rsidRPr="001573CF">
        <w:rPr>
          <w:rFonts w:eastAsia="Calibri"/>
          <w:i/>
        </w:rPr>
        <w:t xml:space="preserve">. </w:t>
      </w:r>
      <w:r w:rsidR="004117D4">
        <w:rPr>
          <w:rFonts w:eastAsia="Calibri"/>
          <w:i/>
        </w:rPr>
        <w:t>Essi rappresentano inoltre un’</w:t>
      </w:r>
      <w:r w:rsidRPr="001573CF">
        <w:rPr>
          <w:rFonts w:eastAsia="Calibri"/>
          <w:i/>
        </w:rPr>
        <w:t xml:space="preserve">opportunità per il contenimento della spesa farmaceutica, fermo restando il concetto di libertà di scelta del cittadino. Rimangono alcune barriere </w:t>
      </w:r>
      <w:r w:rsidR="004117D4">
        <w:rPr>
          <w:rFonts w:eastAsia="Calibri"/>
          <w:i/>
        </w:rPr>
        <w:t>‘psicologiche’</w:t>
      </w:r>
      <w:r w:rsidRPr="001573CF">
        <w:rPr>
          <w:rFonts w:eastAsia="Calibri"/>
          <w:i/>
        </w:rPr>
        <w:t xml:space="preserve"> che originano dalla non completa comprensione da parte dei professionisti sanitari (medici</w:t>
      </w:r>
      <w:r w:rsidR="004117D4">
        <w:rPr>
          <w:rFonts w:eastAsia="Calibri"/>
          <w:i/>
        </w:rPr>
        <w:t>,</w:t>
      </w:r>
      <w:r w:rsidRPr="001573CF">
        <w:rPr>
          <w:rFonts w:eastAsia="Calibri"/>
          <w:i/>
        </w:rPr>
        <w:t xml:space="preserve"> farmacisti etc.) del concetto di bioequivalenza</w:t>
      </w:r>
      <w:r w:rsidR="001C68F0">
        <w:rPr>
          <w:rFonts w:eastAsia="Calibri"/>
          <w:i/>
        </w:rPr>
        <w:t>,</w:t>
      </w:r>
      <w:r w:rsidRPr="001573CF">
        <w:rPr>
          <w:rFonts w:eastAsia="Calibri"/>
          <w:i/>
        </w:rPr>
        <w:t xml:space="preserve"> in aggiunta alla non uniformità delle confezioni che, nel caso di persone anziane, può essere un problema e portare a discontinuità terapeutiche rilevanti</w:t>
      </w:r>
      <w:r w:rsidRPr="00D07423">
        <w:rPr>
          <w:rFonts w:eastAsia="Calibri"/>
        </w:rPr>
        <w:t>.”</w:t>
      </w:r>
    </w:p>
    <w:p w:rsidR="004D7878" w:rsidRPr="00763710" w:rsidRDefault="00A93CB1" w:rsidP="00D07423">
      <w:pPr>
        <w:spacing w:after="200" w:line="276" w:lineRule="auto"/>
        <w:jc w:val="both"/>
        <w:rPr>
          <w:rFonts w:eastAsia="Calibri"/>
          <w:sz w:val="20"/>
          <w:szCs w:val="20"/>
        </w:rPr>
      </w:pPr>
      <w:r w:rsidRPr="00763710">
        <w:rPr>
          <w:rFonts w:eastAsia="Calibri"/>
          <w:b/>
          <w:sz w:val="20"/>
          <w:szCs w:val="20"/>
        </w:rPr>
        <w:t xml:space="preserve">Tag consigliate: </w:t>
      </w:r>
      <w:r w:rsidR="00763710" w:rsidRPr="00763710">
        <w:rPr>
          <w:rFonts w:eastAsia="Calibri"/>
          <w:sz w:val="20"/>
          <w:szCs w:val="20"/>
        </w:rPr>
        <w:t>aderenza alla terapia, compliance, farmaci generici, farmaci equivalenti, Onda, Osservatorio nazionale sulla salute della donna, Nicoletta Orthmann, Enrico Agabiti Rosei, Claudio Mencacci, Alberico Catapano</w:t>
      </w:r>
    </w:p>
    <w:p w:rsidR="00763710" w:rsidRDefault="00763710" w:rsidP="004D7878">
      <w:pPr>
        <w:spacing w:after="60"/>
        <w:jc w:val="both"/>
        <w:rPr>
          <w:rFonts w:eastAsia="Times New Roman"/>
          <w:b/>
          <w:bCs/>
          <w:lang w:eastAsia="it-IT"/>
        </w:rPr>
      </w:pPr>
    </w:p>
    <w:p w:rsidR="004D7878" w:rsidRPr="00A76A96" w:rsidRDefault="004D7878" w:rsidP="004D7878">
      <w:pPr>
        <w:spacing w:after="60"/>
        <w:jc w:val="both"/>
        <w:rPr>
          <w:rFonts w:eastAsia="Times New Roman"/>
          <w:b/>
          <w:bCs/>
          <w:lang w:eastAsia="it-IT"/>
        </w:rPr>
      </w:pPr>
      <w:r w:rsidRPr="00A76A96">
        <w:rPr>
          <w:rFonts w:eastAsia="Times New Roman"/>
          <w:b/>
          <w:bCs/>
          <w:lang w:eastAsia="it-IT"/>
        </w:rPr>
        <w:t>Ufficio stampa Onda</w:t>
      </w:r>
    </w:p>
    <w:p w:rsidR="004D7878" w:rsidRPr="00A76A96" w:rsidRDefault="004D7878" w:rsidP="004D7878">
      <w:pPr>
        <w:spacing w:after="120"/>
        <w:jc w:val="both"/>
        <w:rPr>
          <w:rFonts w:eastAsia="Times New Roman"/>
          <w:bCs/>
          <w:i/>
          <w:lang w:eastAsia="it-IT"/>
        </w:rPr>
      </w:pPr>
      <w:r>
        <w:rPr>
          <w:rFonts w:eastAsia="Times New Roman"/>
          <w:noProof/>
          <w:lang w:eastAsia="it-IT"/>
        </w:rPr>
        <w:drawing>
          <wp:inline distT="0" distB="0" distL="0" distR="0">
            <wp:extent cx="1137285" cy="365760"/>
            <wp:effectExtent l="0" t="0" r="0" b="0"/>
            <wp:docPr id="2" name="Immagine 1" descr="Firm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1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78" w:rsidRPr="00A76A96" w:rsidRDefault="00763710" w:rsidP="004D7878">
      <w:pPr>
        <w:jc w:val="both"/>
        <w:rPr>
          <w:rFonts w:eastAsia="Times New Roman"/>
          <w:bCs/>
          <w:lang w:eastAsia="it-IT"/>
        </w:rPr>
      </w:pPr>
      <w:r>
        <w:rPr>
          <w:rFonts w:eastAsia="Times New Roman"/>
          <w:bCs/>
          <w:lang w:eastAsia="it-IT"/>
        </w:rPr>
        <w:t>Tel. 02 204249.</w:t>
      </w:r>
      <w:r w:rsidR="004D7878">
        <w:rPr>
          <w:rFonts w:eastAsia="Times New Roman"/>
          <w:bCs/>
          <w:lang w:eastAsia="it-IT"/>
        </w:rPr>
        <w:t>24</w:t>
      </w:r>
    </w:p>
    <w:p w:rsidR="00DE126C" w:rsidRPr="00A46ED1" w:rsidRDefault="004D7878" w:rsidP="00763710">
      <w:pPr>
        <w:jc w:val="both"/>
        <w:rPr>
          <w:rFonts w:eastAsia="Calibri"/>
        </w:rPr>
      </w:pPr>
      <w:r>
        <w:rPr>
          <w:rFonts w:eastAsia="Times New Roman"/>
          <w:bCs/>
          <w:lang w:eastAsia="it-IT"/>
        </w:rPr>
        <w:t xml:space="preserve">Cristina Depaoli, cell. 3479760732, </w:t>
      </w:r>
      <w:hyperlink r:id="rId10" w:history="1">
        <w:r w:rsidRPr="00887C0A">
          <w:rPr>
            <w:rStyle w:val="Collegamentoipertestuale"/>
            <w:rFonts w:eastAsia="Times New Roman"/>
            <w:bCs/>
            <w:lang w:eastAsia="it-IT"/>
          </w:rPr>
          <w:t>c.depaoli@vrelations.it</w:t>
        </w:r>
      </w:hyperlink>
    </w:p>
    <w:sectPr w:rsidR="00DE126C" w:rsidRPr="00A46ED1" w:rsidSect="0076371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B9" w:rsidRDefault="008309B9" w:rsidP="008309B9">
      <w:r>
        <w:separator/>
      </w:r>
    </w:p>
  </w:endnote>
  <w:endnote w:type="continuationSeparator" w:id="0">
    <w:p w:rsidR="008309B9" w:rsidRDefault="008309B9" w:rsidP="0083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B9" w:rsidRDefault="008309B9" w:rsidP="008309B9">
      <w:r>
        <w:separator/>
      </w:r>
    </w:p>
  </w:footnote>
  <w:footnote w:type="continuationSeparator" w:id="0">
    <w:p w:rsidR="008309B9" w:rsidRDefault="008309B9" w:rsidP="008309B9">
      <w:r>
        <w:continuationSeparator/>
      </w:r>
    </w:p>
  </w:footnote>
  <w:footnote w:id="1">
    <w:p w:rsidR="00286C29" w:rsidRDefault="00286C29">
      <w:pPr>
        <w:pStyle w:val="Testonotaapidipagina"/>
      </w:pPr>
      <w:r w:rsidRPr="00286C29">
        <w:rPr>
          <w:rStyle w:val="Rimandonotaapidipagina"/>
          <w:sz w:val="18"/>
          <w:szCs w:val="18"/>
        </w:rPr>
        <w:footnoteRef/>
      </w:r>
      <w:r>
        <w:t xml:space="preserve"> </w:t>
      </w:r>
      <w:r>
        <w:rPr>
          <w:sz w:val="18"/>
          <w:szCs w:val="18"/>
        </w:rPr>
        <w:t>Il dato di diminuzione dell’aderenza relativo all’area cardiologica non è stato riportato in quanto non rilevante dal punto di vista statistico.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61D"/>
    <w:rsid w:val="0002142E"/>
    <w:rsid w:val="0003015C"/>
    <w:rsid w:val="00053B1C"/>
    <w:rsid w:val="000821A6"/>
    <w:rsid w:val="000920DC"/>
    <w:rsid w:val="0009524F"/>
    <w:rsid w:val="000968D6"/>
    <w:rsid w:val="00096E99"/>
    <w:rsid w:val="000A5FCF"/>
    <w:rsid w:val="000B669A"/>
    <w:rsid w:val="000F3667"/>
    <w:rsid w:val="001227BC"/>
    <w:rsid w:val="001573CF"/>
    <w:rsid w:val="00173332"/>
    <w:rsid w:val="001C68F0"/>
    <w:rsid w:val="001E18F8"/>
    <w:rsid w:val="001F296C"/>
    <w:rsid w:val="00201DAB"/>
    <w:rsid w:val="002834A1"/>
    <w:rsid w:val="00286C29"/>
    <w:rsid w:val="00295F88"/>
    <w:rsid w:val="00297F92"/>
    <w:rsid w:val="002A0BF1"/>
    <w:rsid w:val="002A22BE"/>
    <w:rsid w:val="002A6516"/>
    <w:rsid w:val="002F5C59"/>
    <w:rsid w:val="003151C0"/>
    <w:rsid w:val="0032751D"/>
    <w:rsid w:val="0034461D"/>
    <w:rsid w:val="0039653B"/>
    <w:rsid w:val="003B127D"/>
    <w:rsid w:val="003B2636"/>
    <w:rsid w:val="0040055A"/>
    <w:rsid w:val="004041F7"/>
    <w:rsid w:val="004117D4"/>
    <w:rsid w:val="00477247"/>
    <w:rsid w:val="004950B3"/>
    <w:rsid w:val="004B2B6F"/>
    <w:rsid w:val="004D7878"/>
    <w:rsid w:val="00511EB5"/>
    <w:rsid w:val="005A7FBC"/>
    <w:rsid w:val="005B6253"/>
    <w:rsid w:val="005C525E"/>
    <w:rsid w:val="005C6C92"/>
    <w:rsid w:val="005E765C"/>
    <w:rsid w:val="00605597"/>
    <w:rsid w:val="00621170"/>
    <w:rsid w:val="00666127"/>
    <w:rsid w:val="006A28EB"/>
    <w:rsid w:val="006A32E1"/>
    <w:rsid w:val="006B6205"/>
    <w:rsid w:val="006C0B12"/>
    <w:rsid w:val="006E2961"/>
    <w:rsid w:val="00701366"/>
    <w:rsid w:val="00712BE3"/>
    <w:rsid w:val="00752442"/>
    <w:rsid w:val="00763710"/>
    <w:rsid w:val="00790F98"/>
    <w:rsid w:val="007B1421"/>
    <w:rsid w:val="007D257E"/>
    <w:rsid w:val="007E3D9C"/>
    <w:rsid w:val="007E578A"/>
    <w:rsid w:val="008264D7"/>
    <w:rsid w:val="008309B9"/>
    <w:rsid w:val="00841EB9"/>
    <w:rsid w:val="008A54EC"/>
    <w:rsid w:val="008D5FA5"/>
    <w:rsid w:val="0090491B"/>
    <w:rsid w:val="00915C66"/>
    <w:rsid w:val="00943F8C"/>
    <w:rsid w:val="00965189"/>
    <w:rsid w:val="0096733D"/>
    <w:rsid w:val="0097286C"/>
    <w:rsid w:val="009B2815"/>
    <w:rsid w:val="009B6537"/>
    <w:rsid w:val="009D5135"/>
    <w:rsid w:val="009F3DD0"/>
    <w:rsid w:val="00A01545"/>
    <w:rsid w:val="00A11C57"/>
    <w:rsid w:val="00A41BCF"/>
    <w:rsid w:val="00A46ED1"/>
    <w:rsid w:val="00A62560"/>
    <w:rsid w:val="00A90F75"/>
    <w:rsid w:val="00A93CB1"/>
    <w:rsid w:val="00AD5B7D"/>
    <w:rsid w:val="00AE7EBB"/>
    <w:rsid w:val="00AF16DB"/>
    <w:rsid w:val="00AF3A1C"/>
    <w:rsid w:val="00AF4D5F"/>
    <w:rsid w:val="00AF6DD5"/>
    <w:rsid w:val="00B01237"/>
    <w:rsid w:val="00B10935"/>
    <w:rsid w:val="00B33D57"/>
    <w:rsid w:val="00B52B7F"/>
    <w:rsid w:val="00B53883"/>
    <w:rsid w:val="00B56421"/>
    <w:rsid w:val="00B56F56"/>
    <w:rsid w:val="00B84CF0"/>
    <w:rsid w:val="00B9739F"/>
    <w:rsid w:val="00BB435B"/>
    <w:rsid w:val="00BB5F43"/>
    <w:rsid w:val="00BD2C1F"/>
    <w:rsid w:val="00BD41E3"/>
    <w:rsid w:val="00BD5FD3"/>
    <w:rsid w:val="00C007BD"/>
    <w:rsid w:val="00C20493"/>
    <w:rsid w:val="00C53594"/>
    <w:rsid w:val="00C54CB5"/>
    <w:rsid w:val="00C5628E"/>
    <w:rsid w:val="00C7241D"/>
    <w:rsid w:val="00C75630"/>
    <w:rsid w:val="00C86F9F"/>
    <w:rsid w:val="00CB051C"/>
    <w:rsid w:val="00CC46AB"/>
    <w:rsid w:val="00CE1066"/>
    <w:rsid w:val="00CE5129"/>
    <w:rsid w:val="00CE6F55"/>
    <w:rsid w:val="00CF2039"/>
    <w:rsid w:val="00CF3A06"/>
    <w:rsid w:val="00CF7DBF"/>
    <w:rsid w:val="00D07423"/>
    <w:rsid w:val="00D23546"/>
    <w:rsid w:val="00D71EAF"/>
    <w:rsid w:val="00D74F06"/>
    <w:rsid w:val="00D80694"/>
    <w:rsid w:val="00D823A8"/>
    <w:rsid w:val="00D93F08"/>
    <w:rsid w:val="00D96355"/>
    <w:rsid w:val="00DA07DA"/>
    <w:rsid w:val="00DA5EE2"/>
    <w:rsid w:val="00DC0B46"/>
    <w:rsid w:val="00DE126C"/>
    <w:rsid w:val="00DF63E0"/>
    <w:rsid w:val="00DF79C1"/>
    <w:rsid w:val="00E44BCB"/>
    <w:rsid w:val="00E61429"/>
    <w:rsid w:val="00E67115"/>
    <w:rsid w:val="00E851EE"/>
    <w:rsid w:val="00E92451"/>
    <w:rsid w:val="00EA39BF"/>
    <w:rsid w:val="00ED1F6E"/>
    <w:rsid w:val="00EF6FBD"/>
    <w:rsid w:val="00F51B77"/>
    <w:rsid w:val="00F546B3"/>
    <w:rsid w:val="00F71465"/>
    <w:rsid w:val="00F720DE"/>
    <w:rsid w:val="00F8068D"/>
    <w:rsid w:val="00F87BB2"/>
    <w:rsid w:val="00F905F8"/>
    <w:rsid w:val="00FA7B1C"/>
    <w:rsid w:val="00FB1A07"/>
    <w:rsid w:val="00FB3EFD"/>
    <w:rsid w:val="00FB3FD2"/>
    <w:rsid w:val="00FC435C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61D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4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46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09B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09B9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09B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D7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61D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4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46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09B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09B9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09B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D7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.depaoli@vrelations.it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03BC2.41895D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0963-7B1A-45FD-90DF-F48B5FD1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Di Donato</dc:creator>
  <cp:lastModifiedBy>Valued Acer Customer</cp:lastModifiedBy>
  <cp:revision>3</cp:revision>
  <cp:lastPrinted>2015-11-16T09:16:00Z</cp:lastPrinted>
  <dcterms:created xsi:type="dcterms:W3CDTF">2015-11-16T17:14:00Z</dcterms:created>
  <dcterms:modified xsi:type="dcterms:W3CDTF">2015-11-16T17:15:00Z</dcterms:modified>
</cp:coreProperties>
</file>