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2" w:rsidRPr="00CD2382" w:rsidRDefault="00774E26" w:rsidP="00CD2382">
      <w:pPr>
        <w:spacing w:before="60" w:after="150" w:line="360" w:lineRule="atLeast"/>
        <w:jc w:val="both"/>
        <w:outlineLvl w:val="1"/>
        <w:rPr>
          <w:rFonts w:cs="Arial"/>
          <w:b/>
          <w:noProof/>
          <w:color w:val="003366"/>
          <w:sz w:val="36"/>
          <w:szCs w:val="36"/>
          <w:lang w:eastAsia="zh-CN" w:bidi="th-TH"/>
        </w:rPr>
      </w:pPr>
      <w:r w:rsidRPr="00774E26">
        <w:rPr>
          <w:rFonts w:cs="Arial"/>
          <w:b/>
          <w:bCs/>
          <w:noProof/>
          <w:color w:val="003366"/>
          <w:sz w:val="36"/>
          <w:szCs w:val="36"/>
          <w:lang w:eastAsia="zh-CN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1.75pt;margin-top:168.65pt;width:157.5pt;height:6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TQgwIAABE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" stroked="f">
            <v:textbox>
              <w:txbxContent>
                <w:p w:rsidR="00054B03" w:rsidRDefault="00054B03" w:rsidP="0095784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97050" cy="101600"/>
                        <wp:effectExtent l="19050" t="0" r="0" b="0"/>
                        <wp:docPr id="1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45003" b="485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97050" cy="1200150"/>
                        <wp:effectExtent l="19050" t="0" r="0" b="0"/>
                        <wp:docPr id="12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4B03" w:rsidRPr="00956D7E" w:rsidRDefault="00054B03" w:rsidP="00957849">
                  <w:pPr>
                    <w:spacing w:after="0" w:line="240" w:lineRule="auto"/>
                    <w:rPr>
                      <w:b/>
                      <w:color w:val="003366"/>
                    </w:rPr>
                  </w:pPr>
                  <w:r w:rsidRPr="00956D7E">
                    <w:rPr>
                      <w:b/>
                      <w:color w:val="003366"/>
                    </w:rPr>
                    <w:t>Contatti:</w:t>
                  </w:r>
                </w:p>
                <w:p w:rsidR="00054B03" w:rsidRPr="00956D7E" w:rsidRDefault="00054B03" w:rsidP="00957849">
                  <w:pPr>
                    <w:spacing w:after="0" w:line="240" w:lineRule="auto"/>
                    <w:rPr>
                      <w:b/>
                      <w:color w:val="003366"/>
                    </w:rPr>
                  </w:pPr>
                  <w:proofErr w:type="spellStart"/>
                  <w:r w:rsidRPr="00956D7E">
                    <w:rPr>
                      <w:b/>
                      <w:color w:val="003366"/>
                    </w:rPr>
                    <w:t>Boehringer</w:t>
                  </w:r>
                  <w:proofErr w:type="spellEnd"/>
                  <w:r w:rsidRPr="00956D7E">
                    <w:rPr>
                      <w:b/>
                      <w:color w:val="003366"/>
                    </w:rPr>
                    <w:t xml:space="preserve"> </w:t>
                  </w:r>
                  <w:proofErr w:type="spellStart"/>
                  <w:r w:rsidRPr="00956D7E">
                    <w:rPr>
                      <w:b/>
                      <w:color w:val="003366"/>
                    </w:rPr>
                    <w:t>Ingelheim</w:t>
                  </w:r>
                  <w:proofErr w:type="spellEnd"/>
                </w:p>
                <w:p w:rsidR="00054B03" w:rsidRPr="00197380" w:rsidRDefault="00054B03" w:rsidP="00957849">
                  <w:pPr>
                    <w:spacing w:after="0" w:line="240" w:lineRule="auto"/>
                    <w:rPr>
                      <w:b/>
                      <w:color w:val="003366"/>
                    </w:rPr>
                  </w:pPr>
                  <w:r w:rsidRPr="00197380">
                    <w:rPr>
                      <w:b/>
                      <w:color w:val="003366"/>
                    </w:rPr>
                    <w:t>Comunicazione:</w:t>
                  </w:r>
                </w:p>
                <w:p w:rsidR="00054B03" w:rsidRPr="00956D7E" w:rsidRDefault="00054B03" w:rsidP="00957849">
                  <w:pPr>
                    <w:pStyle w:val="Intestazione"/>
                    <w:rPr>
                      <w:b/>
                      <w:color w:val="1F497D"/>
                    </w:rPr>
                  </w:pPr>
                </w:p>
                <w:p w:rsidR="00054B03" w:rsidRPr="00956D7E" w:rsidRDefault="00054B03" w:rsidP="00957849">
                  <w:pPr>
                    <w:pStyle w:val="Intestazione"/>
                    <w:jc w:val="both"/>
                  </w:pPr>
                  <w:r w:rsidRPr="00956D7E">
                    <w:t xml:space="preserve">Marina </w:t>
                  </w:r>
                  <w:proofErr w:type="spellStart"/>
                  <w:r w:rsidRPr="00956D7E">
                    <w:t>Guffanti</w:t>
                  </w:r>
                  <w:proofErr w:type="spellEnd"/>
                </w:p>
                <w:p w:rsidR="00054B03" w:rsidRPr="00956D7E" w:rsidRDefault="00054B03" w:rsidP="00957849">
                  <w:pPr>
                    <w:pStyle w:val="Intestazione"/>
                    <w:jc w:val="both"/>
                    <w:rPr>
                      <w:lang w:val="en-US"/>
                    </w:rPr>
                  </w:pPr>
                  <w:r w:rsidRPr="00956D7E">
                    <w:rPr>
                      <w:lang w:val="en-US"/>
                    </w:rPr>
                    <w:t>Phone: + 39 – 02 5355453</w:t>
                  </w:r>
                </w:p>
                <w:p w:rsidR="00054B03" w:rsidRPr="00956D7E" w:rsidRDefault="00054B03" w:rsidP="00957849">
                  <w:pPr>
                    <w:pStyle w:val="Intestazione"/>
                    <w:jc w:val="both"/>
                    <w:rPr>
                      <w:lang w:val="en-US"/>
                    </w:rPr>
                  </w:pPr>
                  <w:r w:rsidRPr="00956D7E">
                    <w:rPr>
                      <w:lang w:val="en-US"/>
                    </w:rPr>
                    <w:t>Cell. +39 348 3995284</w:t>
                  </w:r>
                </w:p>
                <w:p w:rsidR="00054B03" w:rsidRPr="00956D7E" w:rsidRDefault="00054B03" w:rsidP="00957849">
                  <w:pPr>
                    <w:pStyle w:val="Intestazione"/>
                    <w:jc w:val="both"/>
                    <w:rPr>
                      <w:lang w:val="en-US"/>
                    </w:rPr>
                  </w:pPr>
                  <w:r w:rsidRPr="00956D7E">
                    <w:rPr>
                      <w:lang w:val="en-US"/>
                    </w:rPr>
                    <w:t>e- mail:</w:t>
                  </w:r>
                </w:p>
                <w:p w:rsidR="00054B03" w:rsidRPr="00956D7E" w:rsidRDefault="00774E26" w:rsidP="00957849">
                  <w:pPr>
                    <w:spacing w:after="0" w:line="240" w:lineRule="auto"/>
                    <w:rPr>
                      <w:lang w:val="en-US"/>
                    </w:rPr>
                  </w:pPr>
                  <w:hyperlink r:id="rId10" w:history="1">
                    <w:r w:rsidR="00054B03" w:rsidRPr="00956D7E">
                      <w:rPr>
                        <w:lang w:val="en-US"/>
                      </w:rPr>
                      <w:t>marina.guffanti@boehringer-</w:t>
                    </w:r>
                  </w:hyperlink>
                  <w:r w:rsidR="00054B03" w:rsidRPr="00956D7E">
                    <w:rPr>
                      <w:lang w:val="en-US"/>
                    </w:rPr>
                    <w:t>ingelheim.com</w:t>
                  </w:r>
                </w:p>
                <w:p w:rsidR="00054B03" w:rsidRPr="009523D4" w:rsidRDefault="00054B03" w:rsidP="00957849">
                  <w:pPr>
                    <w:rPr>
                      <w:lang w:val="fr-FR"/>
                    </w:rPr>
                  </w:pPr>
                </w:p>
                <w:p w:rsidR="00054B03" w:rsidRDefault="00054B03" w:rsidP="0095784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97050" cy="101600"/>
                        <wp:effectExtent l="19050" t="0" r="0" b="0"/>
                        <wp:docPr id="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45003" b="485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97050" cy="1200150"/>
                        <wp:effectExtent l="19050" t="0" r="0" b="0"/>
                        <wp:docPr id="14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106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4B03" w:rsidRPr="00705279" w:rsidRDefault="00054B03" w:rsidP="00957849">
                  <w:pPr>
                    <w:ind w:left="42"/>
                    <w:rPr>
                      <w:b/>
                      <w:color w:val="003366"/>
                    </w:rPr>
                  </w:pPr>
                  <w:r>
                    <w:rPr>
                      <w:b/>
                      <w:color w:val="003366"/>
                    </w:rPr>
                    <w:t>Maggiori informaz</w:t>
                  </w:r>
                  <w:r w:rsidRPr="00705279">
                    <w:rPr>
                      <w:b/>
                      <w:color w:val="003366"/>
                    </w:rPr>
                    <w:t>ion</w:t>
                  </w:r>
                  <w:r>
                    <w:rPr>
                      <w:b/>
                      <w:color w:val="003366"/>
                    </w:rPr>
                    <w:t>i su</w:t>
                  </w:r>
                </w:p>
                <w:p w:rsidR="00054B03" w:rsidRPr="00F83823" w:rsidRDefault="00774E26" w:rsidP="00957849">
                  <w:pPr>
                    <w:spacing w:after="120"/>
                    <w:ind w:left="42"/>
                  </w:pPr>
                  <w:hyperlink r:id="rId12" w:history="1">
                    <w:r w:rsidR="00054B03" w:rsidRPr="00F83823">
                      <w:rPr>
                        <w:rStyle w:val="Collegamentoipertestuale"/>
                      </w:rPr>
                      <w:t>www.boehringer-ingelheim.com</w:t>
                    </w:r>
                  </w:hyperlink>
                </w:p>
                <w:p w:rsidR="00054B03" w:rsidRPr="002C4B3E" w:rsidRDefault="00054B03" w:rsidP="0095784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03400" cy="381000"/>
                        <wp:effectExtent l="19050" t="0" r="6350" b="0"/>
                        <wp:docPr id="15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CD2382" w:rsidRPr="00CD2382">
        <w:rPr>
          <w:rFonts w:cs="Arial"/>
          <w:b/>
          <w:noProof/>
          <w:color w:val="003366"/>
          <w:sz w:val="36"/>
          <w:szCs w:val="36"/>
          <w:lang w:eastAsia="zh-CN" w:bidi="th-TH"/>
        </w:rPr>
        <w:t xml:space="preserve">Il CHMP raccomanda l’aggiornamento delle informazioni sul prodotto di afatinib con l’aggiunta dei dati relativi al beneficio in sopravvivenza complessiva nei pazienti con carcinoma polmonare positivo per mutazioni di EGFR  </w:t>
      </w:r>
    </w:p>
    <w:p w:rsidR="00A13FF8" w:rsidRPr="00A13FF8" w:rsidRDefault="00A13FF8" w:rsidP="00A13FF8">
      <w:pPr>
        <w:ind w:right="29"/>
        <w:jc w:val="both"/>
        <w:rPr>
          <w:rStyle w:val="Highlight"/>
          <w:rFonts w:ascii="BISans" w:hAnsi="BISans"/>
          <w:b w:val="0"/>
          <w:color w:val="1F497D" w:themeColor="text2"/>
        </w:rPr>
      </w:pPr>
    </w:p>
    <w:p w:rsidR="00DF55A8" w:rsidRPr="00DF55A8" w:rsidRDefault="00DF55A8" w:rsidP="00DF55A8">
      <w:pPr>
        <w:numPr>
          <w:ilvl w:val="0"/>
          <w:numId w:val="4"/>
        </w:numPr>
        <w:spacing w:after="0" w:line="283" w:lineRule="atLeast"/>
        <w:jc w:val="both"/>
        <w:rPr>
          <w:rFonts w:eastAsia="BISans" w:cs="BISans"/>
          <w:color w:val="000000"/>
          <w:sz w:val="20"/>
          <w:szCs w:val="20"/>
          <w:lang w:bidi="it-IT"/>
        </w:rPr>
      </w:pPr>
      <w:r w:rsidRPr="00DF55A8">
        <w:rPr>
          <w:rFonts w:eastAsia="BISans" w:cs="BISans"/>
          <w:color w:val="000000"/>
          <w:sz w:val="20"/>
          <w:szCs w:val="20"/>
          <w:lang w:bidi="it-IT"/>
        </w:rPr>
        <w:t xml:space="preserve">L’aggiornamento europeo del Riassunto delle Caratteristiche del Prodotto di </w:t>
      </w:r>
      <w:proofErr w:type="spellStart"/>
      <w:r w:rsidRPr="00DF55A8">
        <w:rPr>
          <w:rFonts w:eastAsia="BISans" w:cs="BISans"/>
          <w:color w:val="000000"/>
          <w:sz w:val="20"/>
          <w:szCs w:val="20"/>
          <w:lang w:bidi="it-IT"/>
        </w:rPr>
        <w:t>afatinib</w:t>
      </w:r>
      <w:proofErr w:type="spellEnd"/>
      <w:r w:rsidRPr="00DF55A8">
        <w:rPr>
          <w:rFonts w:eastAsia="BISans" w:cs="BISans"/>
          <w:color w:val="000000"/>
          <w:sz w:val="20"/>
          <w:szCs w:val="20"/>
          <w:lang w:bidi="it-IT"/>
        </w:rPr>
        <w:t xml:space="preserve">  comprende i  risultati di Fase III che dimostrano che i pazienti con carcinoma  positivo per la mutazione più comune di EGFR,  trattati in prima linea con </w:t>
      </w:r>
      <w:proofErr w:type="spellStart"/>
      <w:r w:rsidRPr="00DF55A8">
        <w:rPr>
          <w:rFonts w:eastAsia="BISans" w:cs="BISans"/>
          <w:color w:val="000000"/>
          <w:sz w:val="20"/>
          <w:szCs w:val="20"/>
          <w:lang w:bidi="it-IT"/>
        </w:rPr>
        <w:t>afatinib</w:t>
      </w:r>
      <w:proofErr w:type="spellEnd"/>
      <w:r w:rsidRPr="00DF55A8">
        <w:rPr>
          <w:rFonts w:eastAsia="BISans" w:cs="BISans"/>
          <w:color w:val="000000"/>
          <w:sz w:val="20"/>
          <w:szCs w:val="20"/>
          <w:lang w:bidi="it-IT"/>
        </w:rPr>
        <w:t xml:space="preserve"> vivono oltre un anno in più rispetto ai pazienti  trattati con chemioterapia  standard (sopravvivenza complessiva, </w:t>
      </w:r>
      <w:proofErr w:type="spellStart"/>
      <w:r w:rsidRPr="00DF55A8">
        <w:rPr>
          <w:rFonts w:eastAsia="BISans" w:cs="BISans"/>
          <w:color w:val="000000"/>
          <w:sz w:val="20"/>
          <w:szCs w:val="20"/>
          <w:lang w:bidi="it-IT"/>
        </w:rPr>
        <w:t>endpoint</w:t>
      </w:r>
      <w:proofErr w:type="spellEnd"/>
      <w:r w:rsidRPr="00DF55A8">
        <w:rPr>
          <w:rFonts w:eastAsia="BISans" w:cs="BISans"/>
          <w:color w:val="000000"/>
          <w:sz w:val="20"/>
          <w:szCs w:val="20"/>
          <w:lang w:bidi="it-IT"/>
        </w:rPr>
        <w:t xml:space="preserve"> secondario; sopravvivenza libera da progressione della malattia, </w:t>
      </w:r>
      <w:proofErr w:type="spellStart"/>
      <w:r w:rsidRPr="00DF55A8">
        <w:rPr>
          <w:rFonts w:eastAsia="BISans" w:cs="BISans"/>
          <w:color w:val="000000"/>
          <w:sz w:val="20"/>
          <w:szCs w:val="20"/>
          <w:lang w:bidi="it-IT"/>
        </w:rPr>
        <w:t>endpoint</w:t>
      </w:r>
      <w:proofErr w:type="spellEnd"/>
      <w:r w:rsidRPr="00DF55A8">
        <w:rPr>
          <w:rFonts w:eastAsia="BISans" w:cs="BISans"/>
          <w:color w:val="000000"/>
          <w:sz w:val="20"/>
          <w:szCs w:val="20"/>
          <w:lang w:bidi="it-IT"/>
        </w:rPr>
        <w:t xml:space="preserve"> primario)</w:t>
      </w:r>
      <w:r w:rsidR="00C53CB0">
        <w:rPr>
          <w:rStyle w:val="Rimandonotadichiusura"/>
          <w:rFonts w:eastAsia="BISans" w:cs="BISans"/>
          <w:color w:val="000000"/>
          <w:sz w:val="20"/>
          <w:szCs w:val="20"/>
          <w:lang w:bidi="it-IT"/>
        </w:rPr>
        <w:endnoteReference w:id="1"/>
      </w:r>
    </w:p>
    <w:p w:rsidR="00DF55A8" w:rsidRPr="00DF55A8" w:rsidRDefault="00DF55A8" w:rsidP="00DF55A8">
      <w:pPr>
        <w:numPr>
          <w:ilvl w:val="0"/>
          <w:numId w:val="4"/>
        </w:numPr>
        <w:spacing w:after="0" w:line="283" w:lineRule="atLeast"/>
        <w:jc w:val="both"/>
        <w:rPr>
          <w:rFonts w:eastAsia="BISans" w:cs="BISans"/>
          <w:color w:val="000000"/>
          <w:sz w:val="20"/>
          <w:szCs w:val="20"/>
          <w:lang w:bidi="it-IT"/>
        </w:rPr>
      </w:pPr>
      <w:proofErr w:type="spellStart"/>
      <w:r w:rsidRPr="00DF55A8">
        <w:rPr>
          <w:rFonts w:eastAsia="BISans" w:cs="BISans"/>
          <w:color w:val="000000"/>
          <w:sz w:val="20"/>
          <w:szCs w:val="20"/>
          <w:lang w:bidi="it-IT"/>
        </w:rPr>
        <w:t>Afatinib</w:t>
      </w:r>
      <w:proofErr w:type="spellEnd"/>
      <w:r w:rsidRPr="00DF55A8">
        <w:rPr>
          <w:rFonts w:eastAsia="BISans" w:cs="BISans"/>
          <w:color w:val="000000"/>
          <w:sz w:val="20"/>
          <w:szCs w:val="20"/>
          <w:lang w:bidi="it-IT"/>
        </w:rPr>
        <w:t xml:space="preserve"> è la prima e unica terapia ad aver dimostrato, rispettivamente in due studi clinici, un beneficio in termini di sopravvivenza complessiva in pazienti con carcinoma polmonare non a piccole cellule (NSCLC) positivo per la mutazione EGFR più comune (del19) rispetto alla chemioterapia</w:t>
      </w:r>
      <w:r w:rsidR="00AE3F10" w:rsidRPr="00AE3F10">
        <w:rPr>
          <w:rStyle w:val="Rimandonotadichiusura"/>
        </w:rPr>
        <w:t>1</w:t>
      </w:r>
    </w:p>
    <w:p w:rsidR="00DF55A8" w:rsidRPr="00DF55A8" w:rsidRDefault="00C90DD1" w:rsidP="00DF55A8">
      <w:pPr>
        <w:numPr>
          <w:ilvl w:val="0"/>
          <w:numId w:val="4"/>
        </w:numPr>
        <w:spacing w:after="0" w:line="283" w:lineRule="atLeast"/>
        <w:jc w:val="both"/>
        <w:rPr>
          <w:rFonts w:eastAsia="BISans" w:cs="BISans"/>
          <w:color w:val="000000"/>
          <w:sz w:val="20"/>
          <w:szCs w:val="20"/>
          <w:lang w:bidi="it-IT"/>
        </w:rPr>
      </w:pPr>
      <w:proofErr w:type="spellStart"/>
      <w:r>
        <w:rPr>
          <w:rFonts w:eastAsia="BISans" w:cs="BISans"/>
          <w:color w:val="000000"/>
          <w:sz w:val="20"/>
          <w:szCs w:val="20"/>
          <w:lang w:bidi="it-IT"/>
        </w:rPr>
        <w:t>A</w:t>
      </w:r>
      <w:r w:rsidR="00DF55A8" w:rsidRPr="00DF55A8">
        <w:rPr>
          <w:rFonts w:eastAsia="BISans" w:cs="BISans"/>
          <w:color w:val="000000"/>
          <w:sz w:val="20"/>
          <w:szCs w:val="20"/>
          <w:lang w:bidi="it-IT"/>
        </w:rPr>
        <w:t>fatinib</w:t>
      </w:r>
      <w:proofErr w:type="spellEnd"/>
      <w:r w:rsidR="00DF55A8" w:rsidRPr="00DF55A8">
        <w:rPr>
          <w:rFonts w:eastAsia="BISans" w:cs="BISans"/>
          <w:color w:val="000000"/>
          <w:sz w:val="20"/>
          <w:szCs w:val="20"/>
          <w:lang w:bidi="it-IT"/>
        </w:rPr>
        <w:t xml:space="preserve"> è un farmaco approvato nella UE come terapia per pazienti con NSCLC positivo per mutazioni di EGFR, non precedentemente trattati con inibitori di </w:t>
      </w:r>
      <w:proofErr w:type="spellStart"/>
      <w:r w:rsidR="00DF55A8" w:rsidRPr="00DF55A8">
        <w:rPr>
          <w:rFonts w:eastAsia="BISans" w:cs="BISans"/>
          <w:color w:val="000000"/>
          <w:sz w:val="20"/>
          <w:szCs w:val="20"/>
          <w:lang w:bidi="it-IT"/>
        </w:rPr>
        <w:t>tirosin-chinasi</w:t>
      </w:r>
      <w:proofErr w:type="spellEnd"/>
      <w:r w:rsidR="00DF55A8" w:rsidRPr="00DF55A8">
        <w:rPr>
          <w:rFonts w:eastAsia="BISans" w:cs="BISans"/>
          <w:color w:val="000000"/>
          <w:sz w:val="20"/>
          <w:szCs w:val="20"/>
          <w:lang w:bidi="it-IT"/>
        </w:rPr>
        <w:t xml:space="preserve"> (TKI)  </w:t>
      </w:r>
    </w:p>
    <w:p w:rsidR="00845A00" w:rsidRPr="00C53CB0" w:rsidRDefault="00845A00" w:rsidP="00C53CB0">
      <w:pPr>
        <w:jc w:val="both"/>
        <w:rPr>
          <w:rFonts w:asciiTheme="minorHAnsi" w:eastAsia="BISans" w:hAnsiTheme="minorHAnsi" w:cs="Angsana New"/>
          <w:sz w:val="20"/>
          <w:szCs w:val="20"/>
        </w:rPr>
      </w:pPr>
    </w:p>
    <w:p w:rsidR="00DF55A8" w:rsidRPr="00C53CB0" w:rsidRDefault="00DF55A8" w:rsidP="00C53CB0">
      <w:pPr>
        <w:jc w:val="both"/>
        <w:rPr>
          <w:rFonts w:asciiTheme="minorHAnsi" w:eastAsia="BISans" w:hAnsiTheme="minorHAnsi" w:cs="Angsana New"/>
          <w:sz w:val="20"/>
          <w:szCs w:val="20"/>
        </w:rPr>
      </w:pPr>
      <w:proofErr w:type="spellStart"/>
      <w:r w:rsidRPr="00C53CB0">
        <w:rPr>
          <w:rFonts w:asciiTheme="minorHAnsi" w:eastAsia="BISans" w:hAnsiTheme="minorHAnsi" w:cs="Angsana New"/>
          <w:b/>
          <w:sz w:val="20"/>
          <w:szCs w:val="20"/>
        </w:rPr>
        <w:t>Ingelheim</w:t>
      </w:r>
      <w:proofErr w:type="spellEnd"/>
      <w:r w:rsidRPr="00C53CB0">
        <w:rPr>
          <w:rFonts w:asciiTheme="minorHAnsi" w:eastAsia="BISans" w:hAnsiTheme="minorHAnsi" w:cs="Angsana New"/>
          <w:b/>
          <w:sz w:val="20"/>
          <w:szCs w:val="20"/>
        </w:rPr>
        <w:t>, Germania, 19 agosto 2015</w:t>
      </w:r>
      <w:r w:rsidRPr="00C53CB0">
        <w:rPr>
          <w:rFonts w:asciiTheme="minorHAnsi" w:eastAsia="BISans" w:hAnsiTheme="minorHAnsi" w:cs="Angsana New"/>
          <w:sz w:val="20"/>
          <w:szCs w:val="20"/>
        </w:rPr>
        <w:t xml:space="preserve">,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rende noto che il CHMP, il Comitato che valuta i Farmaci per l’Uso Umano dell’Agenzia Europea del Farmaco (EMA), ha espresso parere positivo all’aggiornamento del Riassunto delle Caratteristiche del Prodotto del farmaco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afatinib*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per comprendervi le informazioni relative a ulteriori risultati di Fase III che ne rafforzano e ampliano il profilo d’efficacia. La raccomandazione del CHMP riguarda i risultati ottenuti negli studi clinici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LUX-Lung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3 e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LUX-Lung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6 che dimostrano che i pazienti con tumore positivo per la mutazione più comune di EGFR (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delezione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dell’esone 19 o del19) trattati in prima linea con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vivono oltre un anno in più rispetto ai pazienti  trattati con chemioterapia standard (sopravvivenza complessiva, OS: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endpoint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secondario; </w:t>
      </w:r>
      <w:r w:rsidRPr="00C53CB0">
        <w:rPr>
          <w:rFonts w:asciiTheme="minorHAnsi" w:eastAsia="BISans" w:hAnsiTheme="minorHAnsi" w:cs="Angsana New"/>
          <w:sz w:val="20"/>
          <w:szCs w:val="20"/>
        </w:rPr>
        <w:lastRenderedPageBreak/>
        <w:t xml:space="preserve">sopravvivenza libera da progressione della malattia,  PFS: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endpoint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primario).</w:t>
      </w:r>
      <w:r w:rsidRPr="002E1003">
        <w:rPr>
          <w:rStyle w:val="Rimandonotadichiusura"/>
        </w:rPr>
        <w:t>1</w:t>
      </w:r>
    </w:p>
    <w:p w:rsidR="00DF55A8" w:rsidRPr="00C53CB0" w:rsidRDefault="00DF55A8" w:rsidP="00C53CB0">
      <w:pPr>
        <w:jc w:val="both"/>
        <w:rPr>
          <w:rFonts w:asciiTheme="minorHAnsi" w:eastAsia="BISans" w:hAnsiTheme="minorHAnsi" w:cs="Angsana New"/>
          <w:sz w:val="20"/>
          <w:szCs w:val="20"/>
        </w:rPr>
      </w:pPr>
      <w:r w:rsidRPr="00C53CB0">
        <w:rPr>
          <w:rFonts w:asciiTheme="minorHAnsi" w:eastAsia="BISans" w:hAnsiTheme="minorHAnsi" w:cs="Angsana New"/>
          <w:sz w:val="20"/>
          <w:szCs w:val="20"/>
        </w:rPr>
        <w:t xml:space="preserve">Il Dottor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Mehdi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Shahidi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,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Medical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Head,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Solid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Tumour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Oncology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di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, ha così commentato: “questo aggiornamento europeo rafforza l’importanza di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come terapia target per i pazienti con carcinoma polmonare non a piccole cellule  (NSCLC) positivo per mutazioni di EGFR, soprattutto quelli con la mutazione più comune, del19.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è la prima e unica terapia target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anti-EGFR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ad aver dimostrato un beneficio di sopravvivenza complessiva per questi pazienti  trattati in prima linea”. </w:t>
      </w:r>
    </w:p>
    <w:p w:rsidR="00DF55A8" w:rsidRPr="00C53CB0" w:rsidRDefault="00DF55A8" w:rsidP="00C53CB0">
      <w:pPr>
        <w:jc w:val="both"/>
        <w:rPr>
          <w:rFonts w:asciiTheme="minorHAnsi" w:eastAsia="BISans" w:hAnsiTheme="minorHAnsi" w:cs="Angsana New"/>
          <w:sz w:val="20"/>
          <w:szCs w:val="20"/>
        </w:rPr>
      </w:pPr>
      <w:r w:rsidRPr="00C53CB0">
        <w:rPr>
          <w:rFonts w:asciiTheme="minorHAnsi" w:eastAsia="BISans" w:hAnsiTheme="minorHAnsi" w:cs="Angsana New"/>
          <w:sz w:val="20"/>
          <w:szCs w:val="20"/>
        </w:rPr>
        <w:t xml:space="preserve">A seguito del parere positivo del CHMP verrà ora aggiornato il Riassunto delle Caratteristiche del Prodotto di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per comprendervi gli ulteriori risultati degli studi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LUX-Lung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3 e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LUX-Lung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6. In entrambi gli studi è stato raggiunto l’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endpoint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primario di sopravvivenza libera da progressione della malattia (PFS) nei pazienti con mutazioni di EGFR più comuni in terapia di prima linea con 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>.</w:t>
      </w:r>
      <w:r w:rsidR="002E1003">
        <w:rPr>
          <w:rStyle w:val="Rimandonotadichiusura"/>
          <w:rFonts w:asciiTheme="minorHAnsi" w:eastAsia="BISans" w:hAnsiTheme="minorHAnsi" w:cs="Angsana New"/>
          <w:sz w:val="20"/>
          <w:szCs w:val="20"/>
        </w:rPr>
        <w:endnoteReference w:id="2"/>
      </w:r>
      <w:r w:rsidR="002E1003">
        <w:rPr>
          <w:rFonts w:asciiTheme="minorHAnsi" w:eastAsia="BISans" w:hAnsiTheme="minorHAnsi" w:cs="Angsana New"/>
          <w:sz w:val="20"/>
          <w:szCs w:val="20"/>
        </w:rPr>
        <w:t>-</w:t>
      </w:r>
      <w:r w:rsidR="002E1003">
        <w:rPr>
          <w:rStyle w:val="Rimandonotadichiusura"/>
          <w:rFonts w:asciiTheme="minorHAnsi" w:eastAsia="BISans" w:hAnsiTheme="minorHAnsi" w:cs="Angsana New"/>
          <w:sz w:val="20"/>
          <w:szCs w:val="20"/>
        </w:rPr>
        <w:endnoteReference w:id="3"/>
      </w:r>
      <w:r w:rsidRPr="00C53CB0">
        <w:rPr>
          <w:rFonts w:asciiTheme="minorHAnsi" w:eastAsia="BISans" w:hAnsiTheme="minorHAnsi" w:cs="Angsana New"/>
          <w:sz w:val="20"/>
          <w:szCs w:val="20"/>
        </w:rPr>
        <w:t xml:space="preserve"> Oltre ai nuovi risultati di sopravvivenza complessiva, il documento aggiornato comprenderà anche i risultati aggiornati relativi alla sopravvivenza libera da progressione della malattia (PFS) ottenuti nei due studi clinici e al miglioramento significativo dei sintomi correlati alla malattia (tosse, dispnea, dolore) e della qualità di vita osservati nei pazienti trattati con 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rispetto a chemioterapia.</w:t>
      </w:r>
      <w:r w:rsidRPr="00054B03">
        <w:rPr>
          <w:rStyle w:val="Rimandonotadichiusura"/>
        </w:rPr>
        <w:t>1</w:t>
      </w:r>
    </w:p>
    <w:p w:rsidR="00DF55A8" w:rsidRPr="00C53CB0" w:rsidRDefault="00DF55A8" w:rsidP="00C53CB0">
      <w:pPr>
        <w:jc w:val="both"/>
        <w:rPr>
          <w:rFonts w:asciiTheme="minorHAnsi" w:eastAsia="BISans" w:hAnsiTheme="minorHAnsi" w:cs="Angsana New"/>
          <w:sz w:val="20"/>
          <w:szCs w:val="20"/>
        </w:rPr>
      </w:pPr>
      <w:r w:rsidRPr="00C53CB0">
        <w:rPr>
          <w:rFonts w:asciiTheme="minorHAnsi" w:eastAsia="BISans" w:hAnsiTheme="minorHAnsi" w:cs="Angsana New"/>
          <w:sz w:val="20"/>
          <w:szCs w:val="20"/>
        </w:rPr>
        <w:t xml:space="preserve">Gli eventi avversi osservati con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negli studi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LUX-Lung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3 e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LUX-Lung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6 sono stati quelli attesi con l’inibizione di EGFR, e sono stati prevedibili, gestibili e reversibili.</w:t>
      </w:r>
      <w:r w:rsidR="00C90DD1" w:rsidRPr="00C90DD1">
        <w:rPr>
          <w:rStyle w:val="Rimandonotadichiusura"/>
        </w:rPr>
        <w:t xml:space="preserve"> </w:t>
      </w:r>
      <w:r w:rsidR="00C90DD1" w:rsidRPr="00054B03">
        <w:rPr>
          <w:rStyle w:val="Rimandonotadichiusura"/>
        </w:rPr>
        <w:t>1,2,3</w:t>
      </w:r>
      <w:r w:rsidRPr="00C53CB0">
        <w:rPr>
          <w:rFonts w:asciiTheme="minorHAnsi" w:eastAsia="BISans" w:hAnsiTheme="minorHAnsi" w:cs="Angsana New"/>
          <w:sz w:val="20"/>
          <w:szCs w:val="20"/>
        </w:rPr>
        <w:t xml:space="preserve">Gli eventi avversi più comunemente riferiti con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sono stati diarrea e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rash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>/acne.</w:t>
      </w:r>
      <w:r w:rsidRPr="00054B03">
        <w:rPr>
          <w:rStyle w:val="Rimandonotadichiusura"/>
        </w:rPr>
        <w:t>1,2,3</w:t>
      </w:r>
    </w:p>
    <w:p w:rsidR="00DF55A8" w:rsidRPr="00C53CB0" w:rsidRDefault="00DF55A8" w:rsidP="00C53CB0">
      <w:pPr>
        <w:jc w:val="both"/>
        <w:rPr>
          <w:rFonts w:asciiTheme="minorHAnsi" w:eastAsia="BISans" w:hAnsiTheme="minorHAnsi" w:cs="Angsana New"/>
          <w:sz w:val="20"/>
          <w:szCs w:val="20"/>
        </w:rPr>
      </w:pPr>
      <w:r w:rsidRPr="00C53CB0">
        <w:rPr>
          <w:rFonts w:asciiTheme="minorHAnsi" w:eastAsia="BISans" w:hAnsiTheme="minorHAnsi" w:cs="Angsana New"/>
          <w:sz w:val="20"/>
          <w:szCs w:val="20"/>
        </w:rPr>
        <w:t>Il carcinoma polmonare non a piccole cellule  (NSCLC) è il tumore polmonare più diffuso, e rappresenta oltre l’85%.</w:t>
      </w:r>
      <w:r w:rsidR="00054B03">
        <w:rPr>
          <w:rStyle w:val="Rimandonotadichiusura"/>
          <w:rFonts w:asciiTheme="minorHAnsi" w:eastAsia="BISans" w:hAnsiTheme="minorHAnsi" w:cs="Angsana New"/>
          <w:sz w:val="20"/>
          <w:szCs w:val="20"/>
        </w:rPr>
        <w:endnoteReference w:id="4"/>
      </w:r>
      <w:r w:rsidR="00054B03">
        <w:rPr>
          <w:rFonts w:asciiTheme="minorHAnsi" w:eastAsia="BISans" w:hAnsiTheme="minorHAnsi" w:cs="Angsana New"/>
          <w:sz w:val="20"/>
          <w:szCs w:val="20"/>
        </w:rPr>
        <w:t>-</w:t>
      </w:r>
      <w:r w:rsidR="00054B03">
        <w:rPr>
          <w:rStyle w:val="Rimandonotadichiusura"/>
          <w:rFonts w:asciiTheme="minorHAnsi" w:eastAsia="BISans" w:hAnsiTheme="minorHAnsi" w:cs="Angsana New"/>
          <w:sz w:val="20"/>
          <w:szCs w:val="20"/>
        </w:rPr>
        <w:endnoteReference w:id="5"/>
      </w:r>
      <w:r w:rsidRPr="00C53CB0">
        <w:rPr>
          <w:rFonts w:asciiTheme="minorHAnsi" w:eastAsia="BISans" w:hAnsiTheme="minorHAnsi" w:cs="Angsana New"/>
          <w:sz w:val="20"/>
          <w:szCs w:val="20"/>
        </w:rPr>
        <w:t xml:space="preserve"> Il carcinoma NSCLC positivo per mutazioni di EGFR è un sottotipo di questo tumore. Il 10-15% dei pazienti caucasici e il 40% dei pazienti asiatici affetti da NSCLC presenta mutazioni di EGFR.</w:t>
      </w:r>
      <w:r w:rsidR="00054B03">
        <w:rPr>
          <w:rStyle w:val="Rimandonotadichiusura"/>
          <w:rFonts w:asciiTheme="minorHAnsi" w:eastAsia="BISans" w:hAnsiTheme="minorHAnsi" w:cs="Angsana New"/>
          <w:sz w:val="20"/>
          <w:szCs w:val="20"/>
        </w:rPr>
        <w:endnoteReference w:id="6"/>
      </w:r>
      <w:r w:rsidRPr="00C53CB0">
        <w:rPr>
          <w:rFonts w:asciiTheme="minorHAnsi" w:eastAsia="BISans" w:hAnsiTheme="minorHAnsi" w:cs="Angsana New"/>
          <w:sz w:val="20"/>
          <w:szCs w:val="20"/>
        </w:rPr>
        <w:t xml:space="preserve"> Esistono diversi tipi di mutazioni EGFR, ma le più comuni, che complessivamente costituiscono il 90% di tutte le mutazioni di EGFR, sono la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delezione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dell’esone 19 o Del19 (circa il 50% di tutte le mutazioni di EGFR) e la sostituzione dell’esone 21 o L858R (circa il 40% di tutte le mutazioni di EGFR).</w:t>
      </w:r>
      <w:r w:rsidRPr="00054B03">
        <w:rPr>
          <w:rStyle w:val="Rimandonotadichiusura"/>
        </w:rPr>
        <w:t>2,3</w:t>
      </w:r>
      <w:r w:rsidRPr="00C53CB0">
        <w:rPr>
          <w:rFonts w:asciiTheme="minorHAnsi" w:eastAsia="BISans" w:hAnsiTheme="minorHAnsi" w:cs="Angsana New"/>
          <w:sz w:val="20"/>
          <w:szCs w:val="20"/>
        </w:rPr>
        <w:t xml:space="preserve"> </w:t>
      </w:r>
    </w:p>
    <w:p w:rsidR="00DF55A8" w:rsidRPr="00C53CB0" w:rsidRDefault="00DF55A8" w:rsidP="00C53CB0">
      <w:pPr>
        <w:jc w:val="both"/>
        <w:rPr>
          <w:rFonts w:asciiTheme="minorHAnsi" w:eastAsia="BISans" w:hAnsiTheme="minorHAnsi" w:cs="Angsana New"/>
          <w:sz w:val="20"/>
          <w:szCs w:val="20"/>
        </w:rPr>
      </w:pP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, terapia target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anti-EGFR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in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monosomministrazione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orale giornaliera, è attualmente approvato in oltre 60 Paesi come terapia di prima linea per il carcinoma non a piccole cellule (NSCLC) positivo per mutazioni dei recettori del fattore di crescita epidermico (EGFR). </w:t>
      </w:r>
    </w:p>
    <w:p w:rsidR="00DF55A8" w:rsidRPr="00DF55A8" w:rsidRDefault="00DF55A8" w:rsidP="00C53CB0">
      <w:pPr>
        <w:jc w:val="both"/>
        <w:rPr>
          <w:rFonts w:asciiTheme="minorHAnsi" w:eastAsia="BISans" w:hAnsiTheme="minorHAnsi"/>
          <w:sz w:val="20"/>
          <w:szCs w:val="20"/>
        </w:rPr>
      </w:pPr>
      <w:r w:rsidRPr="00C53CB0">
        <w:rPr>
          <w:rFonts w:asciiTheme="minorHAnsi" w:eastAsia="BISans" w:hAnsiTheme="minorHAnsi" w:cs="Angsana New"/>
          <w:sz w:val="20"/>
          <w:szCs w:val="20"/>
        </w:rPr>
        <w:lastRenderedPageBreak/>
        <w:t xml:space="preserve">L’approvazione di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per questa indicazione si è basata sui risultati di sopravvivenza libera da progressione della malattia o PFS (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endpoint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primario) ottenuti nello studio clinico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LUX-Lung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3 in cui  </w:t>
      </w:r>
      <w:proofErr w:type="spellStart"/>
      <w:r w:rsidRPr="00C53CB0">
        <w:rPr>
          <w:rFonts w:asciiTheme="minorHAnsi" w:eastAsia="BISans" w:hAnsiTheme="minorHAnsi" w:cs="Angsana New"/>
          <w:sz w:val="20"/>
          <w:szCs w:val="20"/>
        </w:rPr>
        <w:t>afatinib</w:t>
      </w:r>
      <w:proofErr w:type="spellEnd"/>
      <w:r w:rsidRPr="00C53CB0">
        <w:rPr>
          <w:rFonts w:asciiTheme="minorHAnsi" w:eastAsia="BISans" w:hAnsiTheme="minorHAnsi" w:cs="Angsana New"/>
          <w:sz w:val="20"/>
          <w:szCs w:val="20"/>
        </w:rPr>
        <w:t xml:space="preserve"> ha ritardato</w:t>
      </w:r>
      <w:r w:rsidRPr="00DF55A8">
        <w:rPr>
          <w:rFonts w:asciiTheme="minorHAnsi" w:eastAsia="BISans" w:hAnsiTheme="minorHAnsi"/>
          <w:sz w:val="20"/>
          <w:szCs w:val="20"/>
        </w:rPr>
        <w:t xml:space="preserve"> in maniera significativa la progressione del tumore rispetto alla chemioterapia</w:t>
      </w:r>
    </w:p>
    <w:p w:rsidR="00DF55A8" w:rsidRPr="00DF55A8" w:rsidRDefault="00DF55A8" w:rsidP="00DF55A8">
      <w:pPr>
        <w:spacing w:before="100" w:beforeAutospacing="1" w:after="75" w:line="225" w:lineRule="atLeast"/>
        <w:jc w:val="both"/>
        <w:rPr>
          <w:rFonts w:asciiTheme="minorHAnsi" w:eastAsia="BISans" w:hAnsiTheme="minorHAnsi"/>
          <w:sz w:val="20"/>
          <w:szCs w:val="20"/>
        </w:rPr>
      </w:pPr>
      <w:r w:rsidRPr="00DF55A8">
        <w:rPr>
          <w:rFonts w:asciiTheme="minorHAnsi" w:eastAsia="BISans" w:hAnsiTheme="minorHAnsi"/>
          <w:sz w:val="20"/>
          <w:szCs w:val="20"/>
        </w:rPr>
        <w:t xml:space="preserve">Afatinib*: </w:t>
      </w:r>
      <w:hyperlink r:id="rId14" w:history="1">
        <w:r w:rsidRPr="00DF55A8">
          <w:rPr>
            <w:rFonts w:asciiTheme="minorHAnsi" w:eastAsia="BISans" w:hAnsiTheme="minorHAnsi"/>
            <w:sz w:val="20"/>
            <w:szCs w:val="20"/>
          </w:rPr>
          <w:t>http://newscentre.boehringer-ingelheim.com/education_hub1/oncology/backgrounder/giotrif_afatinib_backgrounder.html</w:t>
        </w:r>
      </w:hyperlink>
    </w:p>
    <w:p w:rsidR="00DF55A8" w:rsidRPr="00DF55A8" w:rsidRDefault="00DF55A8" w:rsidP="00DF55A8">
      <w:pPr>
        <w:spacing w:before="100" w:beforeAutospacing="1" w:after="75" w:line="225" w:lineRule="atLeast"/>
        <w:jc w:val="both"/>
        <w:rPr>
          <w:rFonts w:asciiTheme="minorHAnsi" w:eastAsia="BISans" w:hAnsiTheme="minorHAnsi"/>
          <w:sz w:val="20"/>
          <w:szCs w:val="20"/>
        </w:rPr>
      </w:pPr>
      <w:r w:rsidRPr="00DF55A8">
        <w:rPr>
          <w:rFonts w:asciiTheme="minorHAnsi" w:eastAsia="BISans" w:hAnsiTheme="minorHAnsi"/>
          <w:sz w:val="20"/>
          <w:szCs w:val="20"/>
        </w:rPr>
        <w:t xml:space="preserve">**Afatinib è approvato in Europa ed in diversi altri Paesi, fra cui Giappone, Taiwan e Canada per il trattamento del carcinoma polmonare non a piccole cellule (NSCLC)  positivo per la mutazione di EGFR ed è in corso di registrazione in altri Paesi. </w:t>
      </w:r>
      <w:proofErr w:type="spellStart"/>
      <w:r w:rsidRPr="00DF55A8">
        <w:rPr>
          <w:rFonts w:asciiTheme="minorHAnsi" w:eastAsia="BISans" w:hAnsiTheme="minorHAnsi"/>
          <w:sz w:val="20"/>
          <w:szCs w:val="20"/>
        </w:rPr>
        <w:t>Afatinib</w:t>
      </w:r>
      <w:proofErr w:type="spellEnd"/>
      <w:r w:rsidRPr="00DF55A8">
        <w:rPr>
          <w:rFonts w:asciiTheme="minorHAnsi" w:eastAsia="BISans" w:hAnsiTheme="minorHAnsi"/>
          <w:sz w:val="20"/>
          <w:szCs w:val="20"/>
        </w:rPr>
        <w:t xml:space="preserve"> non è approvato in altre indicazioni.</w:t>
      </w:r>
    </w:p>
    <w:p w:rsidR="00D8060C" w:rsidRDefault="00D8060C" w:rsidP="00D8060C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</w:p>
    <w:p w:rsidR="00DF55A8" w:rsidRPr="00C53CB0" w:rsidRDefault="00DF55A8" w:rsidP="00D8060C">
      <w:pPr>
        <w:jc w:val="both"/>
        <w:rPr>
          <w:rFonts w:asciiTheme="minorHAnsi" w:eastAsia="BISans" w:hAnsiTheme="minorHAnsi"/>
          <w:sz w:val="20"/>
          <w:szCs w:val="20"/>
        </w:rPr>
      </w:pPr>
      <w:proofErr w:type="spellStart"/>
      <w:r w:rsidRPr="00D8060C">
        <w:rPr>
          <w:rFonts w:asciiTheme="minorHAnsi" w:hAnsiTheme="minorHAnsi" w:cs="Arial"/>
          <w:b/>
          <w:bCs/>
          <w:color w:val="003366"/>
          <w:sz w:val="20"/>
          <w:szCs w:val="20"/>
        </w:rPr>
        <w:t>Boehringer</w:t>
      </w:r>
      <w:proofErr w:type="spellEnd"/>
      <w:r w:rsidRPr="00D8060C">
        <w:rPr>
          <w:rFonts w:asciiTheme="minorHAnsi" w:hAnsiTheme="minorHAnsi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D8060C">
        <w:rPr>
          <w:rFonts w:asciiTheme="minorHAnsi" w:hAnsiTheme="minorHAnsi" w:cs="Arial"/>
          <w:b/>
          <w:bCs/>
          <w:color w:val="003366"/>
          <w:sz w:val="20"/>
          <w:szCs w:val="20"/>
        </w:rPr>
        <w:t>Ingelheim</w:t>
      </w:r>
      <w:proofErr w:type="spellEnd"/>
      <w:r w:rsidRPr="00D8060C">
        <w:rPr>
          <w:rFonts w:asciiTheme="minorHAnsi" w:hAnsiTheme="minorHAnsi" w:cs="Arial"/>
          <w:b/>
          <w:bCs/>
          <w:color w:val="003366"/>
          <w:sz w:val="20"/>
          <w:szCs w:val="20"/>
        </w:rPr>
        <w:t xml:space="preserve"> in Ambito Oncologico: </w:t>
      </w:r>
      <w:hyperlink r:id="rId15" w:tgtFrame="_blank" w:history="1">
        <w:r w:rsidRPr="00C53CB0">
          <w:rPr>
            <w:rFonts w:asciiTheme="minorHAnsi" w:eastAsia="BISans" w:hAnsiTheme="minorHAnsi"/>
            <w:sz w:val="20"/>
            <w:szCs w:val="20"/>
          </w:rPr>
          <w:t>http://newscentre.boehringer-ingelheim.com/education_hub1/oncology/backgrounder/bi_oncology_backgrounder.html</w:t>
        </w:r>
      </w:hyperlink>
    </w:p>
    <w:p w:rsidR="00C53CB0" w:rsidRPr="00845A00" w:rsidRDefault="00C53CB0" w:rsidP="00C53CB0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proofErr w:type="spellStart"/>
      <w:r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>Boehringer</w:t>
      </w:r>
      <w:proofErr w:type="spellEnd"/>
      <w:r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>Ingelheim</w:t>
      </w:r>
      <w:proofErr w:type="spellEnd"/>
    </w:p>
    <w:p w:rsidR="00C53CB0" w:rsidRPr="00FE1903" w:rsidRDefault="00C53CB0" w:rsidP="00C53CB0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r w:rsidRPr="00845A00">
        <w:rPr>
          <w:rFonts w:asciiTheme="minorHAnsi" w:eastAsia="BISans" w:hAnsiTheme="minorHAnsi" w:cs="Angsana New"/>
          <w:sz w:val="20"/>
          <w:szCs w:val="20"/>
        </w:rPr>
        <w:t xml:space="preserve">Il gruppo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è una delle prime 20 aziende farmaceutiche del mondo. Il gruppo ha sede a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>, Germania, e opera a livello globale con 146 affiliate e più di 47.700 dipendenti. Fondata nel 1885, l’azienda a proprietà familiare</w:t>
      </w:r>
      <w:r>
        <w:rPr>
          <w:rFonts w:asciiTheme="minorHAnsi" w:eastAsia="BISans" w:hAnsiTheme="minorHAnsi" w:cs="Angsana New"/>
          <w:sz w:val="20"/>
          <w:szCs w:val="20"/>
        </w:rPr>
        <w:t>,</w:t>
      </w:r>
      <w:r w:rsidRPr="00845A00">
        <w:rPr>
          <w:rFonts w:asciiTheme="minorHAnsi" w:eastAsia="BISans" w:hAnsiTheme="minorHAnsi" w:cs="Angsana New"/>
          <w:sz w:val="20"/>
          <w:szCs w:val="20"/>
        </w:rPr>
        <w:t xml:space="preserve"> si dedica a ricerca, sviluppo, produzione e commercializzazione di prodotti innovativi dall’elevato valore terapeutico nel campo della medicina e della veterinaria</w:t>
      </w:r>
      <w:r>
        <w:rPr>
          <w:rFonts w:asciiTheme="minorHAnsi" w:eastAsia="BISans" w:hAnsiTheme="minorHAnsi" w:cs="Angsana New"/>
          <w:sz w:val="20"/>
          <w:szCs w:val="20"/>
        </w:rPr>
        <w:t>.</w:t>
      </w:r>
      <w:r>
        <w:rPr>
          <w:rFonts w:asciiTheme="minorHAnsi" w:hAnsiTheme="minorHAnsi" w:cs="Arial"/>
          <w:b/>
          <w:bCs/>
          <w:color w:val="003366"/>
          <w:sz w:val="20"/>
          <w:szCs w:val="20"/>
        </w:rPr>
        <w:t xml:space="preserve"> </w:t>
      </w:r>
      <w:r w:rsidRPr="00845A00">
        <w:rPr>
          <w:rFonts w:asciiTheme="minorHAnsi" w:eastAsia="BISans" w:hAnsiTheme="minorHAnsi" w:cs="Angsana New"/>
          <w:sz w:val="20"/>
          <w:szCs w:val="20"/>
        </w:rPr>
        <w:t xml:space="preserve">Operare in maniera socialmente responsabile è un punto centrale della cultura e dell’impegno di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>. La partecipazione a progetti sociali in tutto il mondo, quali ad esempio l’iniziativa "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Making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more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Health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", e l’attenzione per i propri dipendenti sono parte di questo impegno di responsabilità sociale, così come lo sono il rispetto, le pari opportunità e la conciliazione dei tempi di lavoro e della famiglia che costituiscono le fondamenta della mutua collaborazione fra l’azienda e i suoi dipendenti, e l’attenzione all’ambiente, alla sua tutela e sostenibilità, che sono sottese in ogni attività che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intraprende.</w:t>
      </w:r>
    </w:p>
    <w:p w:rsidR="00C53CB0" w:rsidRPr="00845A00" w:rsidRDefault="00C53CB0" w:rsidP="00C53CB0">
      <w:pPr>
        <w:jc w:val="both"/>
        <w:rPr>
          <w:rFonts w:asciiTheme="minorHAnsi" w:eastAsia="BISans" w:hAnsiTheme="minorHAnsi" w:cs="Angsana New"/>
          <w:sz w:val="20"/>
          <w:szCs w:val="20"/>
        </w:rPr>
      </w:pPr>
      <w:r w:rsidRPr="00845A00">
        <w:rPr>
          <w:rFonts w:asciiTheme="minorHAnsi" w:eastAsia="BISans" w:hAnsiTheme="minorHAnsi" w:cs="Angsana New"/>
          <w:sz w:val="20"/>
          <w:szCs w:val="20"/>
        </w:rPr>
        <w:t xml:space="preserve">Nel 2014,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ha registrato un fatturato netto di circa 13,3 miliardi di euro e investimenti in ricerca e sviluppo pari al 19,9 percento del suo fatturato netto. </w:t>
      </w:r>
    </w:p>
    <w:p w:rsidR="00C53CB0" w:rsidRDefault="00C53CB0" w:rsidP="00C53CB0">
      <w:pPr>
        <w:spacing w:after="160" w:line="259" w:lineRule="auto"/>
        <w:contextualSpacing/>
        <w:jc w:val="both"/>
        <w:rPr>
          <w:rFonts w:asciiTheme="minorHAnsi" w:eastAsia="BISans" w:hAnsiTheme="minorHAnsi"/>
          <w:color w:val="0000FF"/>
          <w:sz w:val="20"/>
          <w:szCs w:val="20"/>
          <w:u w:val="single"/>
          <w:lang w:eastAsia="de-DE"/>
        </w:rPr>
      </w:pPr>
      <w:r w:rsidRPr="00845A00">
        <w:rPr>
          <w:rFonts w:asciiTheme="minorHAnsi" w:eastAsia="BISans" w:hAnsiTheme="minorHAnsi" w:cs="Angsana New"/>
          <w:sz w:val="20"/>
          <w:szCs w:val="20"/>
        </w:rPr>
        <w:t xml:space="preserve">Per maggiori informazioni  visitate il sito </w:t>
      </w:r>
      <w:hyperlink r:id="rId16" w:history="1">
        <w:r w:rsidRPr="00845A00">
          <w:rPr>
            <w:rFonts w:asciiTheme="minorHAnsi" w:eastAsia="BISans" w:hAnsiTheme="minorHAnsi"/>
            <w:color w:val="0000FF"/>
            <w:sz w:val="20"/>
            <w:szCs w:val="20"/>
            <w:u w:val="single"/>
            <w:lang w:eastAsia="de-DE"/>
          </w:rPr>
          <w:t>www.boehringer-ingelheim.com</w:t>
        </w:r>
      </w:hyperlink>
    </w:p>
    <w:p w:rsidR="00C53CB0" w:rsidRDefault="00C53CB0" w:rsidP="00C53CB0">
      <w:pPr>
        <w:spacing w:after="160" w:line="259" w:lineRule="auto"/>
        <w:contextualSpacing/>
        <w:jc w:val="both"/>
        <w:rPr>
          <w:rFonts w:asciiTheme="minorHAnsi" w:hAnsiTheme="minorHAnsi"/>
          <w:b/>
          <w:color w:val="003366"/>
          <w:sz w:val="20"/>
          <w:szCs w:val="20"/>
          <w:lang w:bidi="it-IT"/>
        </w:rPr>
      </w:pPr>
    </w:p>
    <w:p w:rsidR="00C53CB0" w:rsidRPr="00845A00" w:rsidRDefault="00C53CB0" w:rsidP="00C53CB0">
      <w:pPr>
        <w:spacing w:after="160" w:line="259" w:lineRule="auto"/>
        <w:contextualSpacing/>
        <w:jc w:val="both"/>
        <w:rPr>
          <w:rFonts w:asciiTheme="minorHAnsi" w:hAnsiTheme="minorHAnsi"/>
          <w:b/>
          <w:color w:val="003366"/>
          <w:sz w:val="20"/>
          <w:szCs w:val="20"/>
          <w:lang w:bidi="it-IT"/>
        </w:rPr>
      </w:pPr>
      <w:r w:rsidRPr="00845A00">
        <w:rPr>
          <w:rFonts w:asciiTheme="minorHAnsi" w:hAnsiTheme="minorHAnsi"/>
          <w:b/>
          <w:color w:val="003366"/>
          <w:sz w:val="20"/>
          <w:szCs w:val="20"/>
          <w:lang w:bidi="it-IT"/>
        </w:rPr>
        <w:t>Contatti:</w:t>
      </w:r>
    </w:p>
    <w:p w:rsidR="00C53CB0" w:rsidRPr="00845A00" w:rsidRDefault="00C53CB0" w:rsidP="00C53CB0">
      <w:pPr>
        <w:spacing w:after="0" w:line="240" w:lineRule="auto"/>
        <w:rPr>
          <w:rFonts w:asciiTheme="minorHAnsi" w:hAnsiTheme="minorHAnsi"/>
          <w:b/>
          <w:bCs/>
          <w:color w:val="003366"/>
          <w:sz w:val="20"/>
          <w:szCs w:val="20"/>
        </w:rPr>
      </w:pPr>
    </w:p>
    <w:p w:rsidR="00C53CB0" w:rsidRPr="00845A00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45A00">
        <w:rPr>
          <w:rFonts w:asciiTheme="minorHAnsi" w:hAnsiTheme="minorHAnsi"/>
          <w:sz w:val="20"/>
          <w:szCs w:val="20"/>
        </w:rPr>
        <w:t xml:space="preserve">Marina </w:t>
      </w:r>
      <w:proofErr w:type="spellStart"/>
      <w:r w:rsidRPr="00845A00">
        <w:rPr>
          <w:rFonts w:asciiTheme="minorHAnsi" w:hAnsiTheme="minorHAnsi"/>
          <w:sz w:val="20"/>
          <w:szCs w:val="20"/>
        </w:rPr>
        <w:t>Guffanti</w:t>
      </w:r>
      <w:proofErr w:type="spellEnd"/>
    </w:p>
    <w:p w:rsidR="00C53CB0" w:rsidRPr="00845A00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45A00">
        <w:rPr>
          <w:rFonts w:asciiTheme="minorHAnsi" w:hAnsiTheme="minorHAnsi"/>
          <w:sz w:val="20"/>
          <w:szCs w:val="20"/>
        </w:rPr>
        <w:t>Comunicazione</w:t>
      </w:r>
    </w:p>
    <w:p w:rsidR="00C53CB0" w:rsidRPr="00845A00" w:rsidRDefault="00C53CB0" w:rsidP="00C53CB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proofErr w:type="spellStart"/>
      <w:r w:rsidRPr="00845A00">
        <w:rPr>
          <w:rFonts w:asciiTheme="minorHAnsi" w:hAnsiTheme="minorHAnsi"/>
          <w:b/>
          <w:sz w:val="20"/>
          <w:szCs w:val="20"/>
        </w:rPr>
        <w:t>Boehringer</w:t>
      </w:r>
      <w:proofErr w:type="spellEnd"/>
      <w:r w:rsidRPr="00845A0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845A00">
        <w:rPr>
          <w:rFonts w:asciiTheme="minorHAnsi" w:hAnsiTheme="minorHAnsi"/>
          <w:b/>
          <w:sz w:val="20"/>
          <w:szCs w:val="20"/>
        </w:rPr>
        <w:t>Ingelheim</w:t>
      </w:r>
      <w:proofErr w:type="spellEnd"/>
      <w:r w:rsidRPr="00845A00">
        <w:rPr>
          <w:rFonts w:asciiTheme="minorHAnsi" w:hAnsiTheme="minorHAnsi"/>
          <w:b/>
          <w:sz w:val="20"/>
          <w:szCs w:val="20"/>
        </w:rPr>
        <w:t xml:space="preserve"> Italia SpA</w:t>
      </w:r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>Phone:  + 39 – 02 5355453</w:t>
      </w:r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75723B">
        <w:rPr>
          <w:rFonts w:asciiTheme="minorHAnsi" w:hAnsiTheme="minorHAnsi"/>
          <w:sz w:val="20"/>
          <w:szCs w:val="20"/>
          <w:lang w:val="fr-FR"/>
        </w:rPr>
        <w:t>Cell</w:t>
      </w:r>
      <w:proofErr w:type="spellEnd"/>
      <w:r w:rsidRPr="0075723B">
        <w:rPr>
          <w:rFonts w:asciiTheme="minorHAnsi" w:hAnsiTheme="minorHAnsi"/>
          <w:sz w:val="20"/>
          <w:szCs w:val="20"/>
          <w:lang w:val="fr-FR"/>
        </w:rPr>
        <w:t>.     +39 348 3995284</w:t>
      </w:r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 xml:space="preserve">e-mail:  </w:t>
      </w:r>
      <w:hyperlink r:id="rId17" w:history="1">
        <w:r w:rsidRPr="0075723B">
          <w:rPr>
            <w:rFonts w:asciiTheme="minorHAnsi" w:hAnsiTheme="minorHAnsi"/>
            <w:sz w:val="20"/>
            <w:szCs w:val="20"/>
            <w:lang w:val="fr-FR"/>
          </w:rPr>
          <w:t>marina.guffanti@boehringer-ingelheim.com</w:t>
        </w:r>
      </w:hyperlink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>Maria Luisa Paleari</w:t>
      </w:r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b/>
          <w:sz w:val="20"/>
          <w:szCs w:val="20"/>
          <w:lang w:val="fr-FR"/>
        </w:rPr>
      </w:pPr>
      <w:r w:rsidRPr="0075723B">
        <w:rPr>
          <w:rFonts w:asciiTheme="minorHAnsi" w:hAnsiTheme="minorHAnsi"/>
          <w:b/>
          <w:sz w:val="20"/>
          <w:szCs w:val="20"/>
          <w:lang w:val="fr-FR"/>
        </w:rPr>
        <w:t xml:space="preserve">Value Relations </w:t>
      </w:r>
      <w:proofErr w:type="spellStart"/>
      <w:r w:rsidRPr="0075723B">
        <w:rPr>
          <w:rFonts w:asciiTheme="minorHAnsi" w:hAnsiTheme="minorHAnsi"/>
          <w:b/>
          <w:sz w:val="20"/>
          <w:szCs w:val="20"/>
          <w:lang w:val="fr-FR"/>
        </w:rPr>
        <w:t>Srl</w:t>
      </w:r>
      <w:proofErr w:type="spellEnd"/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>Phone: + 39 – 02 20424941</w:t>
      </w:r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75723B">
        <w:rPr>
          <w:rFonts w:asciiTheme="minorHAnsi" w:hAnsiTheme="minorHAnsi"/>
          <w:sz w:val="20"/>
          <w:szCs w:val="20"/>
          <w:lang w:val="fr-FR"/>
        </w:rPr>
        <w:t>Cell</w:t>
      </w:r>
      <w:proofErr w:type="spellEnd"/>
      <w:r w:rsidRPr="0075723B">
        <w:rPr>
          <w:rFonts w:asciiTheme="minorHAnsi" w:hAnsiTheme="minorHAnsi"/>
          <w:sz w:val="20"/>
          <w:szCs w:val="20"/>
          <w:lang w:val="fr-FR"/>
        </w:rPr>
        <w:t>. + 39 331 6718518</w:t>
      </w:r>
    </w:p>
    <w:p w:rsidR="00C53CB0" w:rsidRPr="0075723B" w:rsidRDefault="00C53CB0" w:rsidP="00C53CB0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 xml:space="preserve">e-mail: </w:t>
      </w:r>
      <w:hyperlink r:id="rId18" w:history="1">
        <w:r w:rsidRPr="0075723B">
          <w:rPr>
            <w:rFonts w:asciiTheme="minorHAnsi" w:hAnsiTheme="minorHAnsi"/>
            <w:sz w:val="20"/>
            <w:szCs w:val="20"/>
            <w:lang w:val="fr-FR"/>
          </w:rPr>
          <w:t>ml.paleari@vrelations.it</w:t>
        </w:r>
      </w:hyperlink>
    </w:p>
    <w:p w:rsidR="00DF55A8" w:rsidRPr="00941024" w:rsidRDefault="00DF55A8" w:rsidP="00DF55A8">
      <w:pPr>
        <w:spacing w:before="100" w:beforeAutospacing="1" w:after="165" w:line="225" w:lineRule="atLeast"/>
        <w:jc w:val="both"/>
        <w:rPr>
          <w:rFonts w:eastAsia="Times New Roman"/>
          <w:b/>
          <w:color w:val="000000"/>
          <w:sz w:val="24"/>
          <w:szCs w:val="24"/>
          <w:lang w:val="da-DK" w:eastAsia="it-IT"/>
        </w:rPr>
      </w:pPr>
      <w:r w:rsidRPr="00941024">
        <w:rPr>
          <w:rFonts w:eastAsia="Times New Roman"/>
          <w:b/>
          <w:color w:val="000000"/>
          <w:sz w:val="24"/>
          <w:szCs w:val="24"/>
          <w:lang w:val="da-DK" w:eastAsia="it-IT"/>
        </w:rPr>
        <w:t xml:space="preserve">Bibliografia </w:t>
      </w:r>
    </w:p>
    <w:p w:rsidR="00CD2382" w:rsidRPr="00CD2382" w:rsidRDefault="00CD2382" w:rsidP="00054B03">
      <w:pPr>
        <w:spacing w:before="100" w:beforeAutospacing="1" w:after="165" w:line="225" w:lineRule="atLeast"/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bookmarkStart w:id="0" w:name="_GoBack"/>
      <w:bookmarkEnd w:id="0"/>
    </w:p>
    <w:sectPr w:rsidR="00CD2382" w:rsidRPr="00CD2382" w:rsidSect="00B86092">
      <w:headerReference w:type="default" r:id="rId19"/>
      <w:footerReference w:type="default" r:id="rId20"/>
      <w:headerReference w:type="first" r:id="rId21"/>
      <w:footerReference w:type="first" r:id="rId22"/>
      <w:footnotePr>
        <w:numFmt w:val="chicago"/>
      </w:footnotePr>
      <w:endnotePr>
        <w:numFmt w:val="decimal"/>
      </w:endnotePr>
      <w:pgSz w:w="11906" w:h="16838"/>
      <w:pgMar w:top="3544" w:right="3969" w:bottom="156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03" w:rsidRDefault="00054B03" w:rsidP="004816D6">
      <w:pPr>
        <w:spacing w:after="0" w:line="240" w:lineRule="auto"/>
      </w:pPr>
      <w:r>
        <w:separator/>
      </w:r>
    </w:p>
  </w:endnote>
  <w:endnote w:type="continuationSeparator" w:id="0">
    <w:p w:rsidR="00054B03" w:rsidRDefault="00054B03" w:rsidP="004816D6">
      <w:pPr>
        <w:spacing w:after="0" w:line="240" w:lineRule="auto"/>
      </w:pPr>
      <w:r>
        <w:continuationSeparator/>
      </w:r>
    </w:p>
  </w:endnote>
  <w:endnote w:id="1">
    <w:p w:rsidR="00054B03" w:rsidRDefault="00054B03">
      <w:pPr>
        <w:pStyle w:val="Testonotadichiusura"/>
        <w:rPr>
          <w:rFonts w:eastAsia="Times New Roman"/>
          <w:color w:val="000000"/>
          <w:lang w:val="fr-FR" w:eastAsia="it-IT"/>
        </w:rPr>
      </w:pPr>
      <w:r>
        <w:rPr>
          <w:rStyle w:val="Rimandonotadichiusura"/>
        </w:rPr>
        <w:endnoteRef/>
      </w:r>
      <w:r>
        <w:t xml:space="preserve"> </w:t>
      </w:r>
      <w:r w:rsidRPr="00C53CB0">
        <w:rPr>
          <w:rFonts w:eastAsia="Times New Roman"/>
          <w:color w:val="000000"/>
          <w:lang w:val="da-DK" w:eastAsia="it-IT"/>
        </w:rPr>
        <w:t xml:space="preserve">Yang J, Wu Y-L, Schuler M, et al. Afatinib versus cisplatin chemotherapy for EGFR mutation-positive lung adenocarcinoma (LUX-Lung 3 and LUX-Lung 6): analysis of overall survival data from two randomised, phase 3 trials. </w:t>
      </w:r>
      <w:r w:rsidRPr="00C53CB0">
        <w:rPr>
          <w:rFonts w:eastAsia="Times New Roman"/>
          <w:color w:val="000000"/>
          <w:lang w:val="fr-FR" w:eastAsia="it-IT"/>
        </w:rPr>
        <w:t xml:space="preserve">Lancet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Oncol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2015; </w:t>
      </w:r>
      <w:hyperlink r:id="rId1" w:history="1">
        <w:r w:rsidRPr="001B3F0F">
          <w:rPr>
            <w:rStyle w:val="Collegamentoipertestuale"/>
            <w:rFonts w:eastAsia="Times New Roman"/>
            <w:lang w:val="fr-FR" w:eastAsia="it-IT"/>
          </w:rPr>
          <w:t>http://www.thelancet.com/journals/lancet/article/PIIS1470-2045(14)71173-8/abstract</w:t>
        </w:r>
      </w:hyperlink>
      <w:r w:rsidRPr="00C53CB0">
        <w:rPr>
          <w:rFonts w:eastAsia="Times New Roman"/>
          <w:color w:val="000000"/>
          <w:lang w:val="fr-FR" w:eastAsia="it-IT"/>
        </w:rPr>
        <w:t>.</w:t>
      </w:r>
    </w:p>
    <w:p w:rsidR="00054B03" w:rsidRDefault="00054B03">
      <w:pPr>
        <w:pStyle w:val="Testonotadichiusura"/>
      </w:pPr>
    </w:p>
  </w:endnote>
  <w:endnote w:id="2">
    <w:p w:rsidR="00054B03" w:rsidRDefault="00054B03">
      <w:pPr>
        <w:pStyle w:val="Testonotadichiusura"/>
        <w:rPr>
          <w:rFonts w:eastAsia="Times New Roman"/>
          <w:color w:val="000000"/>
          <w:lang w:val="en-US" w:eastAsia="it-IT"/>
        </w:rPr>
      </w:pPr>
      <w:r>
        <w:rPr>
          <w:rStyle w:val="Rimandonotadichiusura"/>
        </w:rPr>
        <w:endnoteRef/>
      </w:r>
      <w:r>
        <w:t xml:space="preserve">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Sequist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L, Yang J, Yamamoto N, et al. Phase III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Study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of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afatinib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or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Cisplatin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Plus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Pemetrexed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in Patients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With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Metastatic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Lung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Adenocarcinoma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With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Epidermal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Growth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Factor </w:t>
      </w:r>
      <w:proofErr w:type="spellStart"/>
      <w:r w:rsidRPr="00C53CB0">
        <w:rPr>
          <w:rFonts w:eastAsia="Times New Roman"/>
          <w:color w:val="000000"/>
          <w:lang w:val="fr-FR" w:eastAsia="it-IT"/>
        </w:rPr>
        <w:t>Receptor</w:t>
      </w:r>
      <w:proofErr w:type="spellEnd"/>
      <w:r w:rsidRPr="00C53CB0">
        <w:rPr>
          <w:rFonts w:eastAsia="Times New Roman"/>
          <w:color w:val="000000"/>
          <w:lang w:val="fr-FR" w:eastAsia="it-IT"/>
        </w:rPr>
        <w:t xml:space="preserve"> Mutations. </w:t>
      </w:r>
      <w:r w:rsidRPr="00C53CB0">
        <w:rPr>
          <w:rFonts w:eastAsia="Times New Roman"/>
          <w:color w:val="000000"/>
          <w:lang w:val="en-US" w:eastAsia="it-IT"/>
        </w:rPr>
        <w:t xml:space="preserve">J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Clin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Oncol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2013;DOI: 10.1200/JCO.2012.44.2806.</w:t>
      </w:r>
    </w:p>
    <w:p w:rsidR="00054B03" w:rsidRDefault="00054B03">
      <w:pPr>
        <w:pStyle w:val="Testonotadichiusura"/>
      </w:pPr>
    </w:p>
  </w:endnote>
  <w:endnote w:id="3">
    <w:p w:rsidR="00054B03" w:rsidRDefault="00054B03">
      <w:pPr>
        <w:pStyle w:val="Testonotadichiusura"/>
        <w:rPr>
          <w:rFonts w:eastAsia="Times New Roman"/>
          <w:color w:val="000000"/>
          <w:lang w:val="en-US" w:eastAsia="it-IT"/>
        </w:rPr>
      </w:pPr>
      <w:r>
        <w:rPr>
          <w:rStyle w:val="Rimandonotadichiusura"/>
        </w:rPr>
        <w:endnoteRef/>
      </w:r>
      <w:r>
        <w:t xml:space="preserve"> </w:t>
      </w:r>
      <w:r w:rsidRPr="00C53CB0">
        <w:rPr>
          <w:rFonts w:eastAsia="Times New Roman"/>
          <w:color w:val="000000"/>
          <w:lang w:val="en-US" w:eastAsia="it-IT"/>
        </w:rPr>
        <w:t xml:space="preserve">Wu Y-L, Zhou C,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Hu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C-P, at al.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Afatinib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versus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cisplatin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plus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gemcitabine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for first-line treatment of Asian patients with advanced non-small-cell lung cancer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harbouring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EGFR mutations (LUX-Lung 6): an open-label,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randomised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phase 3 trial. J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Clin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Oncol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2014;DOI:10.1016/S1470-2045(13)70604.</w:t>
      </w:r>
    </w:p>
    <w:p w:rsidR="00054B03" w:rsidRDefault="00054B03">
      <w:pPr>
        <w:pStyle w:val="Testonotadichiusura"/>
      </w:pPr>
    </w:p>
  </w:endnote>
  <w:endnote w:id="4">
    <w:p w:rsidR="00054B03" w:rsidRDefault="00054B03">
      <w:pPr>
        <w:pStyle w:val="Testonotadichiusura"/>
        <w:rPr>
          <w:rFonts w:eastAsia="Times New Roman"/>
          <w:color w:val="000000"/>
          <w:lang w:val="en-US" w:eastAsia="it-IT"/>
        </w:rPr>
      </w:pPr>
      <w:r>
        <w:rPr>
          <w:rStyle w:val="Rimandonotadichiusura"/>
        </w:rPr>
        <w:endnoteRef/>
      </w:r>
      <w:r>
        <w:t xml:space="preserve">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Tessen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HW, et al. The treatment of lung cancer in German outpatient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centres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. Data from a clinical registry – TLK Registry.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Onkologie</w:t>
      </w:r>
      <w:proofErr w:type="spellEnd"/>
      <w:r w:rsidRPr="00C53CB0">
        <w:rPr>
          <w:rFonts w:eastAsia="Times New Roman"/>
          <w:color w:val="000000"/>
          <w:lang w:val="en-US" w:eastAsia="it-IT"/>
        </w:rPr>
        <w:t>. 2011;34 (Suppl.6)(Poster P533):153.</w:t>
      </w:r>
    </w:p>
    <w:p w:rsidR="00054B03" w:rsidRDefault="00054B03">
      <w:pPr>
        <w:pStyle w:val="Testonotadichiusura"/>
      </w:pPr>
    </w:p>
  </w:endnote>
  <w:endnote w:id="5">
    <w:p w:rsidR="00054B03" w:rsidRDefault="00054B03">
      <w:pPr>
        <w:pStyle w:val="Testonotadichiusura"/>
        <w:rPr>
          <w:rFonts w:eastAsia="Times New Roman"/>
          <w:color w:val="000000"/>
          <w:lang w:val="en-US" w:eastAsia="it-IT"/>
        </w:rPr>
      </w:pPr>
      <w:r>
        <w:rPr>
          <w:rStyle w:val="Rimandonotadichiusura"/>
        </w:rPr>
        <w:endnoteRef/>
      </w:r>
      <w:r>
        <w:t xml:space="preserve"> </w:t>
      </w:r>
      <w:proofErr w:type="spellStart"/>
      <w:r w:rsidRPr="00C53CB0">
        <w:rPr>
          <w:rFonts w:eastAsia="Times New Roman"/>
          <w:color w:val="000000"/>
          <w:lang w:val="en-US" w:eastAsia="it-IT"/>
        </w:rPr>
        <w:t>Howlader</w:t>
      </w:r>
      <w:proofErr w:type="spellEnd"/>
      <w:r w:rsidRPr="00C53CB0">
        <w:rPr>
          <w:rFonts w:eastAsia="Times New Roman"/>
          <w:color w:val="000000"/>
          <w:lang w:val="en-US" w:eastAsia="it-IT"/>
        </w:rPr>
        <w:t xml:space="preserve"> et al. SEER Cancer Statistics Review, 1975-2010, National Cancer Institute. Bethesda MD, http://seer.cancer.gov/csr/1975_2010/, based on November 2012 SEER data submission, posted to the SEER web site, 2013.</w:t>
      </w:r>
    </w:p>
    <w:p w:rsidR="00054B03" w:rsidRDefault="00054B03">
      <w:pPr>
        <w:pStyle w:val="Testonotadichiusura"/>
        <w:rPr>
          <w:rFonts w:eastAsia="Times New Roman"/>
          <w:color w:val="000000"/>
          <w:lang w:val="en-US" w:eastAsia="it-IT"/>
        </w:rPr>
      </w:pPr>
    </w:p>
    <w:p w:rsidR="00054B03" w:rsidRDefault="00054B03">
      <w:pPr>
        <w:pStyle w:val="Testonotadichiusura"/>
      </w:pPr>
    </w:p>
  </w:endnote>
  <w:endnote w:id="6">
    <w:p w:rsidR="00054B03" w:rsidRDefault="00054B03">
      <w:pPr>
        <w:pStyle w:val="Testonotadichiusura"/>
        <w:rPr>
          <w:rFonts w:eastAsia="Times New Roman"/>
          <w:color w:val="000000"/>
          <w:lang w:val="en-US" w:eastAsia="it-IT"/>
        </w:rPr>
      </w:pPr>
      <w:r>
        <w:rPr>
          <w:rStyle w:val="Rimandonotadichiusura"/>
        </w:rPr>
        <w:endnoteRef/>
      </w:r>
      <w:r>
        <w:t xml:space="preserve"> </w:t>
      </w:r>
      <w:r w:rsidRPr="00C53CB0">
        <w:rPr>
          <w:rFonts w:eastAsia="Times New Roman"/>
          <w:color w:val="000000"/>
          <w:lang w:val="en-US" w:eastAsia="it-IT"/>
        </w:rPr>
        <w:t>Quest Diagnostics – Lung Cancer Mutation Panel; http://www.questdiagnostics.com/testcenter/testguide.action?dc=TS_LungCancerMutation_Panel Accessed February 2015.</w:t>
      </w:r>
    </w:p>
    <w:p w:rsidR="00054B03" w:rsidRDefault="00054B03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SansNEXT">
    <w:altName w:val="Arial"/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Sans">
    <w:altName w:val="Agency FB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ISansBa">
    <w:altName w:val="Corbel"/>
    <w:charset w:val="BA"/>
    <w:family w:val="auto"/>
    <w:pitch w:val="variable"/>
    <w:sig w:usb0="800000A7" w:usb1="0000084A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3" w:rsidRPr="00524A1C" w:rsidRDefault="00054B03" w:rsidP="00B86092">
    <w:pPr>
      <w:pStyle w:val="Pidipagina"/>
      <w:rPr>
        <w:sz w:val="16"/>
        <w:szCs w:val="16"/>
        <w:lang w:val="en-US"/>
      </w:rPr>
    </w:pPr>
  </w:p>
  <w:p w:rsidR="00054B03" w:rsidRPr="002C3EF2" w:rsidRDefault="00054B03" w:rsidP="00B86092">
    <w:pPr>
      <w:pStyle w:val="Pidipagina"/>
      <w:rPr>
        <w:rFonts w:cs="Arial"/>
        <w:color w:val="000000"/>
        <w:sz w:val="16"/>
        <w:szCs w:val="16"/>
      </w:rPr>
    </w:pPr>
  </w:p>
  <w:p w:rsidR="00054B03" w:rsidRPr="002C3EF2" w:rsidRDefault="00054B03" w:rsidP="00B86092">
    <w:pPr>
      <w:pStyle w:val="Pidipagina"/>
      <w:rPr>
        <w:rFonts w:cs="Arial"/>
        <w:sz w:val="16"/>
        <w:szCs w:val="16"/>
      </w:rPr>
    </w:pPr>
    <w:proofErr w:type="spellStart"/>
    <w:r w:rsidRPr="002C3EF2">
      <w:rPr>
        <w:rFonts w:cs="Arial"/>
        <w:sz w:val="16"/>
        <w:szCs w:val="16"/>
      </w:rPr>
      <w:t>Boehringer</w:t>
    </w:r>
    <w:proofErr w:type="spellEnd"/>
    <w:r w:rsidRPr="002C3EF2">
      <w:rPr>
        <w:rFonts w:cs="Arial"/>
        <w:sz w:val="16"/>
        <w:szCs w:val="16"/>
      </w:rPr>
      <w:t xml:space="preserve"> </w:t>
    </w:r>
    <w:proofErr w:type="spellStart"/>
    <w:r w:rsidRPr="002C3EF2">
      <w:rPr>
        <w:rFonts w:cs="Arial"/>
        <w:sz w:val="16"/>
        <w:szCs w:val="16"/>
      </w:rPr>
      <w:t>Ingelheim</w:t>
    </w:r>
    <w:proofErr w:type="spellEnd"/>
    <w:r w:rsidRPr="002C3EF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Comunicato Stampa</w:t>
    </w:r>
    <w:r w:rsidRPr="002C3EF2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2C3EF2">
      <w:rPr>
        <w:rFonts w:cs="Arial"/>
        <w:sz w:val="16"/>
        <w:szCs w:val="16"/>
      </w:rPr>
      <w:t xml:space="preserve"> </w:t>
    </w:r>
    <w:r w:rsidR="00774E26" w:rsidRPr="002C3EF2">
      <w:rPr>
        <w:rFonts w:cs="Arial"/>
        <w:sz w:val="16"/>
        <w:szCs w:val="16"/>
      </w:rPr>
      <w:fldChar w:fldCharType="begin"/>
    </w:r>
    <w:r w:rsidRPr="002C3EF2">
      <w:rPr>
        <w:rFonts w:cs="Arial"/>
        <w:sz w:val="16"/>
        <w:szCs w:val="16"/>
      </w:rPr>
      <w:instrText xml:space="preserve"> PAGE </w:instrText>
    </w:r>
    <w:r w:rsidR="00774E26" w:rsidRPr="002C3EF2">
      <w:rPr>
        <w:rFonts w:cs="Arial"/>
        <w:sz w:val="16"/>
        <w:szCs w:val="16"/>
      </w:rPr>
      <w:fldChar w:fldCharType="separate"/>
    </w:r>
    <w:r w:rsidR="00DB6ADF">
      <w:rPr>
        <w:rFonts w:cs="Arial"/>
        <w:noProof/>
        <w:sz w:val="16"/>
        <w:szCs w:val="16"/>
      </w:rPr>
      <w:t>5</w:t>
    </w:r>
    <w:r w:rsidR="00774E26" w:rsidRPr="002C3EF2">
      <w:rPr>
        <w:rFonts w:cs="Arial"/>
        <w:sz w:val="16"/>
        <w:szCs w:val="16"/>
      </w:rPr>
      <w:fldChar w:fldCharType="end"/>
    </w:r>
    <w:r w:rsidRPr="002C3EF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2C3EF2">
      <w:rPr>
        <w:rFonts w:cs="Arial"/>
        <w:sz w:val="16"/>
        <w:szCs w:val="16"/>
      </w:rPr>
      <w:t xml:space="preserve"> </w:t>
    </w:r>
    <w:r w:rsidR="00774E26" w:rsidRPr="002C3EF2">
      <w:rPr>
        <w:rFonts w:cs="Arial"/>
        <w:sz w:val="16"/>
        <w:szCs w:val="16"/>
      </w:rPr>
      <w:fldChar w:fldCharType="begin"/>
    </w:r>
    <w:r w:rsidRPr="002C3EF2">
      <w:rPr>
        <w:rFonts w:cs="Arial"/>
        <w:sz w:val="16"/>
        <w:szCs w:val="16"/>
      </w:rPr>
      <w:instrText xml:space="preserve"> NUMPAGES  </w:instrText>
    </w:r>
    <w:r w:rsidR="00774E26" w:rsidRPr="002C3EF2">
      <w:rPr>
        <w:rFonts w:cs="Arial"/>
        <w:sz w:val="16"/>
        <w:szCs w:val="16"/>
      </w:rPr>
      <w:fldChar w:fldCharType="separate"/>
    </w:r>
    <w:r w:rsidR="00DB6ADF">
      <w:rPr>
        <w:rFonts w:cs="Arial"/>
        <w:noProof/>
        <w:sz w:val="16"/>
        <w:szCs w:val="16"/>
      </w:rPr>
      <w:t>5</w:t>
    </w:r>
    <w:r w:rsidR="00774E26" w:rsidRPr="002C3EF2">
      <w:rPr>
        <w:rFonts w:cs="Arial"/>
        <w:sz w:val="16"/>
        <w:szCs w:val="16"/>
      </w:rPr>
      <w:fldChar w:fldCharType="end"/>
    </w:r>
  </w:p>
  <w:p w:rsidR="00054B03" w:rsidRPr="00F83823" w:rsidRDefault="00054B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3" w:rsidRPr="00524A1C" w:rsidRDefault="00054B03" w:rsidP="00B86092">
    <w:pPr>
      <w:pStyle w:val="Pidipagina"/>
      <w:ind w:left="142" w:hanging="142"/>
      <w:rPr>
        <w:sz w:val="16"/>
        <w:szCs w:val="16"/>
        <w:lang w:val="en-US"/>
      </w:rPr>
    </w:pPr>
  </w:p>
  <w:p w:rsidR="00054B03" w:rsidRDefault="00054B03" w:rsidP="00B86092">
    <w:pPr>
      <w:pStyle w:val="Pidipagina"/>
      <w:tabs>
        <w:tab w:val="left" w:pos="4536"/>
      </w:tabs>
      <w:rPr>
        <w:rFonts w:cs="Arial"/>
        <w:color w:val="808080"/>
        <w:szCs w:val="20"/>
        <w:lang w:val="en-US"/>
      </w:rPr>
    </w:pPr>
    <w:r>
      <w:rPr>
        <w:rFonts w:cs="Arial"/>
        <w:color w:val="808080"/>
        <w:szCs w:val="20"/>
        <w:lang w:val="en-US"/>
      </w:rPr>
      <w:tab/>
    </w:r>
  </w:p>
  <w:p w:rsidR="00054B03" w:rsidRPr="002C3EF2" w:rsidRDefault="00054B03">
    <w:pPr>
      <w:pStyle w:val="Pidipagina"/>
      <w:rPr>
        <w:rFonts w:cs="Arial"/>
        <w:sz w:val="16"/>
        <w:szCs w:val="16"/>
      </w:rPr>
    </w:pPr>
    <w:proofErr w:type="spellStart"/>
    <w:r w:rsidRPr="002C3EF2">
      <w:rPr>
        <w:rFonts w:cs="Arial"/>
        <w:sz w:val="16"/>
        <w:szCs w:val="16"/>
      </w:rPr>
      <w:t>Boehringer</w:t>
    </w:r>
    <w:proofErr w:type="spellEnd"/>
    <w:r w:rsidRPr="002C3EF2">
      <w:rPr>
        <w:rFonts w:cs="Arial"/>
        <w:sz w:val="16"/>
        <w:szCs w:val="16"/>
      </w:rPr>
      <w:t xml:space="preserve"> </w:t>
    </w:r>
    <w:proofErr w:type="spellStart"/>
    <w:r w:rsidRPr="002C3EF2">
      <w:rPr>
        <w:rFonts w:cs="Arial"/>
        <w:sz w:val="16"/>
        <w:szCs w:val="16"/>
      </w:rPr>
      <w:t>Ingelheim</w:t>
    </w:r>
    <w:proofErr w:type="spellEnd"/>
    <w:r w:rsidRPr="002C3EF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Comunicato Stampa</w:t>
    </w:r>
    <w:r w:rsidRPr="002C3EF2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2C3EF2">
      <w:rPr>
        <w:rFonts w:cs="Arial"/>
        <w:sz w:val="16"/>
        <w:szCs w:val="16"/>
      </w:rPr>
      <w:t xml:space="preserve"> </w:t>
    </w:r>
    <w:r w:rsidR="00774E26" w:rsidRPr="002C3EF2">
      <w:rPr>
        <w:rFonts w:cs="Arial"/>
        <w:sz w:val="16"/>
        <w:szCs w:val="16"/>
      </w:rPr>
      <w:fldChar w:fldCharType="begin"/>
    </w:r>
    <w:r w:rsidRPr="002C3EF2">
      <w:rPr>
        <w:rFonts w:cs="Arial"/>
        <w:sz w:val="16"/>
        <w:szCs w:val="16"/>
      </w:rPr>
      <w:instrText xml:space="preserve"> PAGE </w:instrText>
    </w:r>
    <w:r w:rsidR="00774E26" w:rsidRPr="002C3EF2">
      <w:rPr>
        <w:rFonts w:cs="Arial"/>
        <w:sz w:val="16"/>
        <w:szCs w:val="16"/>
      </w:rPr>
      <w:fldChar w:fldCharType="separate"/>
    </w:r>
    <w:r w:rsidR="00DB6ADF">
      <w:rPr>
        <w:rFonts w:cs="Arial"/>
        <w:noProof/>
        <w:sz w:val="16"/>
        <w:szCs w:val="16"/>
      </w:rPr>
      <w:t>1</w:t>
    </w:r>
    <w:r w:rsidR="00774E26" w:rsidRPr="002C3EF2">
      <w:rPr>
        <w:rFonts w:cs="Arial"/>
        <w:sz w:val="16"/>
        <w:szCs w:val="16"/>
      </w:rPr>
      <w:fldChar w:fldCharType="end"/>
    </w:r>
    <w:r w:rsidRPr="002C3EF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2C3EF2">
      <w:rPr>
        <w:rFonts w:cs="Arial"/>
        <w:sz w:val="16"/>
        <w:szCs w:val="16"/>
      </w:rPr>
      <w:t xml:space="preserve"> </w:t>
    </w:r>
    <w:r w:rsidR="00774E26" w:rsidRPr="002C3EF2">
      <w:rPr>
        <w:rFonts w:cs="Arial"/>
        <w:sz w:val="16"/>
        <w:szCs w:val="16"/>
      </w:rPr>
      <w:fldChar w:fldCharType="begin"/>
    </w:r>
    <w:r w:rsidRPr="002C3EF2">
      <w:rPr>
        <w:rFonts w:cs="Arial"/>
        <w:sz w:val="16"/>
        <w:szCs w:val="16"/>
      </w:rPr>
      <w:instrText xml:space="preserve"> NUMPAGES  </w:instrText>
    </w:r>
    <w:r w:rsidR="00774E26" w:rsidRPr="002C3EF2">
      <w:rPr>
        <w:rFonts w:cs="Arial"/>
        <w:sz w:val="16"/>
        <w:szCs w:val="16"/>
      </w:rPr>
      <w:fldChar w:fldCharType="separate"/>
    </w:r>
    <w:r w:rsidR="00DB6ADF">
      <w:rPr>
        <w:rFonts w:cs="Arial"/>
        <w:noProof/>
        <w:sz w:val="16"/>
        <w:szCs w:val="16"/>
      </w:rPr>
      <w:t>5</w:t>
    </w:r>
    <w:r w:rsidR="00774E26" w:rsidRPr="002C3EF2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03" w:rsidRDefault="00054B03" w:rsidP="004816D6">
      <w:pPr>
        <w:spacing w:after="0" w:line="240" w:lineRule="auto"/>
      </w:pPr>
      <w:r>
        <w:separator/>
      </w:r>
    </w:p>
  </w:footnote>
  <w:footnote w:type="continuationSeparator" w:id="0">
    <w:p w:rsidR="00054B03" w:rsidRDefault="00054B03" w:rsidP="0048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3" w:rsidRDefault="00774E26">
    <w:pPr>
      <w:pStyle w:val="Intestazione"/>
    </w:pPr>
    <w:r>
      <w:rPr>
        <w:noProof/>
        <w:lang w:eastAsia="zh-CN" w:bidi="th-TH"/>
      </w:rPr>
      <w:pict>
        <v:rect id="Rectangle 20" o:spid="_x0000_s6153" style="position:absolute;margin-left:408.85pt;margin-top:27.6pt;width:198.5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" fillcolor="#f90" stroked="f" strokecolor="#f2f2f2" strokeweight="3pt">
          <v:shadow color="#651919" opacity=".5" offset="1pt"/>
          <v:textbox inset="7.2mm,5mm,1.25mm,1.25mm">
            <w:txbxContent>
              <w:p w:rsidR="00054B03" w:rsidRPr="00C558DD" w:rsidRDefault="00054B03" w:rsidP="00B86092">
                <w:pPr>
                  <w:rPr>
                    <w:rFonts w:ascii="BISansBa" w:hAnsi="BISansBa" w:cs="Arial"/>
                    <w:b/>
                    <w:color w:val="FFFFFF"/>
                    <w:sz w:val="30"/>
                    <w:szCs w:val="30"/>
                  </w:rPr>
                </w:pPr>
                <w:r>
                  <w:rPr>
                    <w:rFonts w:ascii="BISansBa" w:hAnsi="BISansBa" w:cs="Arial"/>
                    <w:b/>
                    <w:color w:val="FFFFFF"/>
                    <w:sz w:val="30"/>
                    <w:szCs w:val="30"/>
                  </w:rPr>
                  <w:t>Comunicato Stampa</w:t>
                </w:r>
              </w:p>
            </w:txbxContent>
          </v:textbox>
          <w10:wrap anchorx="page" anchory="page"/>
        </v:rect>
      </w:pict>
    </w:r>
    <w:r>
      <w:rPr>
        <w:noProof/>
        <w:lang w:eastAsia="zh-CN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9" o:spid="_x0000_s6152" type="#_x0000_t32" style="position:absolute;margin-left:-86.1pt;margin-top:-7.7pt;width:596.8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" strokecolor="#f90" strokeweight="1pt"/>
      </w:pict>
    </w:r>
    <w:r>
      <w:rPr>
        <w:noProof/>
        <w:lang w:eastAsia="zh-CN" w:bidi="th-TH"/>
      </w:rPr>
      <w:pict>
        <v:shape id="AutoShape 18" o:spid="_x0000_s6151" type="#_x0000_t32" style="position:absolute;margin-left:-86.1pt;margin-top:7.3pt;width:596.8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njIwIAAD0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" strokecolor="#f90" strokeweight="1pt"/>
      </w:pict>
    </w:r>
    <w:r>
      <w:rPr>
        <w:noProof/>
        <w:lang w:eastAsia="zh-CN" w:bidi="th-TH"/>
      </w:rPr>
      <w:pict>
        <v:rect id="Rectangle 17" o:spid="_x0000_s6150" style="position:absolute;margin-left:-43.35pt;margin-top:-7.7pt;width:35.4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" fillcolor="#036" stroked="f">
          <v:textbox inset="1.5mm,1.5mm,1.5mm,1.5mm">
            <w:txbxContent>
              <w:p w:rsidR="00054B03" w:rsidRPr="00C558DD" w:rsidRDefault="00774E26" w:rsidP="00B86092">
                <w:pPr>
                  <w:spacing w:line="240" w:lineRule="auto"/>
                  <w:jc w:val="center"/>
                  <w:rPr>
                    <w:b/>
                    <w:color w:val="FFFFFF"/>
                    <w:sz w:val="14"/>
                    <w:szCs w:val="14"/>
                  </w:rPr>
                </w:pPr>
                <w:r w:rsidRPr="00C558DD">
                  <w:rPr>
                    <w:b/>
                    <w:color w:val="FFFFFF"/>
                    <w:sz w:val="14"/>
                    <w:szCs w:val="14"/>
                  </w:rPr>
                  <w:fldChar w:fldCharType="begin"/>
                </w:r>
                <w:r w:rsidR="00054B03" w:rsidRPr="00C558DD">
                  <w:rPr>
                    <w:b/>
                    <w:color w:val="FFFFFF"/>
                    <w:sz w:val="14"/>
                    <w:szCs w:val="14"/>
                  </w:rPr>
                  <w:instrText xml:space="preserve"> PAGE  \* Arabic  \* MERGEFORMAT </w:instrText>
                </w:r>
                <w:r w:rsidRPr="00C558DD">
                  <w:rPr>
                    <w:b/>
                    <w:color w:val="FFFFFF"/>
                    <w:sz w:val="14"/>
                    <w:szCs w:val="14"/>
                  </w:rPr>
                  <w:fldChar w:fldCharType="separate"/>
                </w:r>
                <w:r w:rsidR="00DB6ADF">
                  <w:rPr>
                    <w:b/>
                    <w:noProof/>
                    <w:color w:val="FFFFFF"/>
                    <w:sz w:val="14"/>
                    <w:szCs w:val="14"/>
                  </w:rPr>
                  <w:t>5</w:t>
                </w:r>
                <w:r w:rsidRPr="00C558DD">
                  <w:rPr>
                    <w:b/>
                    <w:color w:val="FFFFFF"/>
                    <w:sz w:val="14"/>
                    <w:szCs w:val="14"/>
                  </w:rPr>
                  <w:fldChar w:fldCharType="end"/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3" w:rsidRDefault="00774E26">
    <w:pPr>
      <w:pStyle w:val="Intestazione"/>
    </w:pPr>
    <w:r>
      <w:rPr>
        <w:noProof/>
        <w:lang w:eastAsia="zh-CN" w:bidi="th-TH"/>
      </w:rPr>
      <w:pict>
        <v:rect id="Rectangle 8" o:spid="_x0000_s6149" style="position:absolute;margin-left:396.45pt;margin-top:29pt;width:199.45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" fillcolor="#036" stroked="f">
          <v:textbox>
            <w:txbxContent>
              <w:p w:rsidR="00054B03" w:rsidRDefault="00054B03" w:rsidP="00B86092">
                <w:pPr>
                  <w:jc w:val="center"/>
                </w:pPr>
              </w:p>
            </w:txbxContent>
          </v:textbox>
          <w10:wrap anchorx="page" anchory="page"/>
        </v:rect>
      </w:pict>
    </w:r>
    <w:r>
      <w:rPr>
        <w:noProof/>
        <w:lang w:eastAsia="zh-CN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6148" type="#_x0000_t32" style="position:absolute;margin-left:-86.1pt;margin-top:106.5pt;width:596.8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" strokecolor="#f90" strokeweight="1pt"/>
      </w:pict>
    </w:r>
    <w:r>
      <w:rPr>
        <w:noProof/>
        <w:lang w:eastAsia="zh-CN" w:bidi="th-TH"/>
      </w:rPr>
      <w:pict>
        <v:shape id="AutoShape 10" o:spid="_x0000_s6147" type="#_x0000_t32" style="position:absolute;margin-left:-85.05pt;margin-top:7.1pt;width:596.8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6vIA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" strokecolor="white" strokeweight="1pt"/>
      </w:pict>
    </w:r>
    <w:r>
      <w:rPr>
        <w:noProof/>
        <w:lang w:eastAsia="zh-CN"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6" type="#_x0000_t202" style="position:absolute;margin-left:41pt;margin-top:98.65pt;width:349.1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C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" o:allowincell="f" filled="f" stroked="f">
          <v:textbox inset="0,0,0,0">
            <w:txbxContent>
              <w:p w:rsidR="00054B03" w:rsidRPr="00C558DD" w:rsidRDefault="00054B03" w:rsidP="00B86092">
                <w:pPr>
                  <w:rPr>
                    <w:rFonts w:ascii="BISansBa" w:hAnsi="BISansBa" w:cs="Arial"/>
                    <w:b/>
                    <w:color w:val="FFFFFF"/>
                    <w:sz w:val="72"/>
                    <w:szCs w:val="72"/>
                  </w:rPr>
                </w:pPr>
                <w:r>
                  <w:rPr>
                    <w:rFonts w:ascii="BISansBa" w:hAnsi="BISansBa" w:cs="Arial"/>
                    <w:b/>
                    <w:color w:val="FFFFFF"/>
                    <w:sz w:val="72"/>
                    <w:szCs w:val="72"/>
                  </w:rPr>
                  <w:t>Comunicato Stampa</w:t>
                </w:r>
              </w:p>
            </w:txbxContent>
          </v:textbox>
          <w10:wrap anchorx="page" anchory="page"/>
          <w10:anchorlock/>
        </v:shape>
      </w:pict>
    </w:r>
    <w:r w:rsidR="00054B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893445</wp:posOffset>
          </wp:positionV>
          <wp:extent cx="1543685" cy="478155"/>
          <wp:effectExtent l="19050" t="0" r="0" b="0"/>
          <wp:wrapNone/>
          <wp:docPr id="13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 w:bidi="th-TH"/>
      </w:rPr>
      <w:pict>
        <v:rect id="Rectangle 7" o:spid="_x0000_s6145" style="position:absolute;margin-left:0;margin-top:42.55pt;width:396.85pt;height:99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" fillcolor="#f90" stroked="f" strokecolor="#f2f2f2" strokeweight="3pt">
          <v:shadow color="#651919" opacity=".5" offset="1pt"/>
          <v:textbox>
            <w:txbxContent>
              <w:p w:rsidR="00054B03" w:rsidRDefault="00054B03" w:rsidP="00B86092">
                <w:pPr>
                  <w:jc w:val="center"/>
                </w:pPr>
              </w:p>
            </w:txbxContent>
          </v:textbox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76E"/>
    <w:multiLevelType w:val="hybridMultilevel"/>
    <w:tmpl w:val="06067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26479"/>
    <w:multiLevelType w:val="hybridMultilevel"/>
    <w:tmpl w:val="9418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77B9"/>
    <w:multiLevelType w:val="hybridMultilevel"/>
    <w:tmpl w:val="974A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31F5"/>
    <w:multiLevelType w:val="hybridMultilevel"/>
    <w:tmpl w:val="73C48EFE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3EAE61C5"/>
    <w:multiLevelType w:val="hybridMultilevel"/>
    <w:tmpl w:val="367C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6E97"/>
    <w:multiLevelType w:val="hybridMultilevel"/>
    <w:tmpl w:val="90AE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37565"/>
    <w:multiLevelType w:val="hybridMultilevel"/>
    <w:tmpl w:val="F008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283"/>
  <w:characterSpacingControl w:val="doNotCompress"/>
  <w:hdrShapeDefaults>
    <o:shapedefaults v:ext="edit" spidmax="6156"/>
    <o:shapelayout v:ext="edit">
      <o:idmap v:ext="edit" data="6"/>
      <o:rules v:ext="edit">
        <o:r id="V:Rule5" type="connector" idref="#AutoShape 19"/>
        <o:r id="V:Rule6" type="connector" idref="#AutoShape 11"/>
        <o:r id="V:Rule7" type="connector" idref="#AutoShape 18"/>
        <o:r id="V:Rule8" type="connector" idref="#AutoShape 10"/>
      </o:rules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816D6"/>
    <w:rsid w:val="000004F7"/>
    <w:rsid w:val="0000066E"/>
    <w:rsid w:val="00012043"/>
    <w:rsid w:val="00014A38"/>
    <w:rsid w:val="00032976"/>
    <w:rsid w:val="000416D0"/>
    <w:rsid w:val="00054B03"/>
    <w:rsid w:val="0007199E"/>
    <w:rsid w:val="00071D74"/>
    <w:rsid w:val="00074D76"/>
    <w:rsid w:val="00092D1B"/>
    <w:rsid w:val="00095888"/>
    <w:rsid w:val="000A2347"/>
    <w:rsid w:val="000B3739"/>
    <w:rsid w:val="000B77BC"/>
    <w:rsid w:val="000F2B3E"/>
    <w:rsid w:val="00102A32"/>
    <w:rsid w:val="00107029"/>
    <w:rsid w:val="00112D8C"/>
    <w:rsid w:val="00123666"/>
    <w:rsid w:val="00137D2D"/>
    <w:rsid w:val="00144E87"/>
    <w:rsid w:val="00180379"/>
    <w:rsid w:val="00197380"/>
    <w:rsid w:val="001B70CF"/>
    <w:rsid w:val="001C30FF"/>
    <w:rsid w:val="001C7172"/>
    <w:rsid w:val="00206CDB"/>
    <w:rsid w:val="002318D1"/>
    <w:rsid w:val="00241EA8"/>
    <w:rsid w:val="00247C45"/>
    <w:rsid w:val="002770B6"/>
    <w:rsid w:val="00282285"/>
    <w:rsid w:val="0028373D"/>
    <w:rsid w:val="002838E0"/>
    <w:rsid w:val="00295FCD"/>
    <w:rsid w:val="002A4283"/>
    <w:rsid w:val="002B4BAF"/>
    <w:rsid w:val="002B57DB"/>
    <w:rsid w:val="002C3EF2"/>
    <w:rsid w:val="002E082E"/>
    <w:rsid w:val="002E1003"/>
    <w:rsid w:val="002E5CA9"/>
    <w:rsid w:val="00305DFD"/>
    <w:rsid w:val="00337391"/>
    <w:rsid w:val="003448ED"/>
    <w:rsid w:val="00353973"/>
    <w:rsid w:val="003770B0"/>
    <w:rsid w:val="0038390F"/>
    <w:rsid w:val="00387F6B"/>
    <w:rsid w:val="003A1738"/>
    <w:rsid w:val="003A5D54"/>
    <w:rsid w:val="003A6169"/>
    <w:rsid w:val="003C15E4"/>
    <w:rsid w:val="003C4479"/>
    <w:rsid w:val="003D7064"/>
    <w:rsid w:val="003D74C5"/>
    <w:rsid w:val="003F7554"/>
    <w:rsid w:val="004024BC"/>
    <w:rsid w:val="0041280B"/>
    <w:rsid w:val="00414D11"/>
    <w:rsid w:val="00444E94"/>
    <w:rsid w:val="00464D80"/>
    <w:rsid w:val="004816D6"/>
    <w:rsid w:val="00494F08"/>
    <w:rsid w:val="00495177"/>
    <w:rsid w:val="004C319A"/>
    <w:rsid w:val="00501501"/>
    <w:rsid w:val="00543F94"/>
    <w:rsid w:val="005560F1"/>
    <w:rsid w:val="005644CA"/>
    <w:rsid w:val="0057785B"/>
    <w:rsid w:val="005811E9"/>
    <w:rsid w:val="00592E4C"/>
    <w:rsid w:val="005A4347"/>
    <w:rsid w:val="005B3E93"/>
    <w:rsid w:val="005D261B"/>
    <w:rsid w:val="005E6439"/>
    <w:rsid w:val="005E69CA"/>
    <w:rsid w:val="005E6C4A"/>
    <w:rsid w:val="005F0E14"/>
    <w:rsid w:val="0062015A"/>
    <w:rsid w:val="00635DBF"/>
    <w:rsid w:val="0064152E"/>
    <w:rsid w:val="006529D4"/>
    <w:rsid w:val="006754AC"/>
    <w:rsid w:val="00685E1E"/>
    <w:rsid w:val="006C12E8"/>
    <w:rsid w:val="006E0084"/>
    <w:rsid w:val="006F71D2"/>
    <w:rsid w:val="00705279"/>
    <w:rsid w:val="00710A69"/>
    <w:rsid w:val="007333CE"/>
    <w:rsid w:val="007371B6"/>
    <w:rsid w:val="0074401F"/>
    <w:rsid w:val="0074787F"/>
    <w:rsid w:val="0075723B"/>
    <w:rsid w:val="00774E26"/>
    <w:rsid w:val="007A12FB"/>
    <w:rsid w:val="007B334D"/>
    <w:rsid w:val="007C3623"/>
    <w:rsid w:val="007C5685"/>
    <w:rsid w:val="007D7529"/>
    <w:rsid w:val="007E72E9"/>
    <w:rsid w:val="00804AD3"/>
    <w:rsid w:val="008067D7"/>
    <w:rsid w:val="00816561"/>
    <w:rsid w:val="00845A00"/>
    <w:rsid w:val="008540CF"/>
    <w:rsid w:val="00860944"/>
    <w:rsid w:val="00873042"/>
    <w:rsid w:val="008738BF"/>
    <w:rsid w:val="008B28BE"/>
    <w:rsid w:val="008B3814"/>
    <w:rsid w:val="008D33B8"/>
    <w:rsid w:val="008E47DD"/>
    <w:rsid w:val="008F399A"/>
    <w:rsid w:val="009049DA"/>
    <w:rsid w:val="00907BED"/>
    <w:rsid w:val="0093262F"/>
    <w:rsid w:val="00941683"/>
    <w:rsid w:val="00954182"/>
    <w:rsid w:val="00957849"/>
    <w:rsid w:val="00960219"/>
    <w:rsid w:val="00960BD2"/>
    <w:rsid w:val="00980168"/>
    <w:rsid w:val="009823B3"/>
    <w:rsid w:val="00982B97"/>
    <w:rsid w:val="009911A4"/>
    <w:rsid w:val="009A4D87"/>
    <w:rsid w:val="009A7EA7"/>
    <w:rsid w:val="009B641D"/>
    <w:rsid w:val="009C14F7"/>
    <w:rsid w:val="009C429B"/>
    <w:rsid w:val="009E7E6D"/>
    <w:rsid w:val="009F4983"/>
    <w:rsid w:val="00A13FF8"/>
    <w:rsid w:val="00A23125"/>
    <w:rsid w:val="00A34559"/>
    <w:rsid w:val="00A411FA"/>
    <w:rsid w:val="00A45EB0"/>
    <w:rsid w:val="00A53C74"/>
    <w:rsid w:val="00A664B7"/>
    <w:rsid w:val="00A67934"/>
    <w:rsid w:val="00A73FBE"/>
    <w:rsid w:val="00A74415"/>
    <w:rsid w:val="00A84341"/>
    <w:rsid w:val="00A85335"/>
    <w:rsid w:val="00A94F2D"/>
    <w:rsid w:val="00AB0214"/>
    <w:rsid w:val="00AE3F10"/>
    <w:rsid w:val="00AF2E8E"/>
    <w:rsid w:val="00AF6834"/>
    <w:rsid w:val="00B204D2"/>
    <w:rsid w:val="00B306B4"/>
    <w:rsid w:val="00B841DF"/>
    <w:rsid w:val="00B859C9"/>
    <w:rsid w:val="00B86092"/>
    <w:rsid w:val="00BB38C2"/>
    <w:rsid w:val="00C46290"/>
    <w:rsid w:val="00C53CB0"/>
    <w:rsid w:val="00C84C99"/>
    <w:rsid w:val="00C90DD1"/>
    <w:rsid w:val="00C92201"/>
    <w:rsid w:val="00CA05F1"/>
    <w:rsid w:val="00CA128E"/>
    <w:rsid w:val="00CB71CE"/>
    <w:rsid w:val="00CC5F48"/>
    <w:rsid w:val="00CD2382"/>
    <w:rsid w:val="00CF5EED"/>
    <w:rsid w:val="00D11519"/>
    <w:rsid w:val="00D1309A"/>
    <w:rsid w:val="00D21435"/>
    <w:rsid w:val="00D61BA6"/>
    <w:rsid w:val="00D8060C"/>
    <w:rsid w:val="00D96168"/>
    <w:rsid w:val="00DB6ADF"/>
    <w:rsid w:val="00DC0EB1"/>
    <w:rsid w:val="00DC5D94"/>
    <w:rsid w:val="00DF3BE5"/>
    <w:rsid w:val="00DF55A8"/>
    <w:rsid w:val="00E22C5D"/>
    <w:rsid w:val="00E42A54"/>
    <w:rsid w:val="00E57CA2"/>
    <w:rsid w:val="00E61EAA"/>
    <w:rsid w:val="00E67376"/>
    <w:rsid w:val="00E87B29"/>
    <w:rsid w:val="00E97564"/>
    <w:rsid w:val="00EE1CE3"/>
    <w:rsid w:val="00EF4F9D"/>
    <w:rsid w:val="00F32954"/>
    <w:rsid w:val="00F608C0"/>
    <w:rsid w:val="00F662DF"/>
    <w:rsid w:val="00F83823"/>
    <w:rsid w:val="00F910B3"/>
    <w:rsid w:val="00FB07A5"/>
    <w:rsid w:val="00FB60CC"/>
    <w:rsid w:val="00FD6287"/>
    <w:rsid w:val="00FE1903"/>
    <w:rsid w:val="00FE2414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8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6D6"/>
  </w:style>
  <w:style w:type="paragraph" w:styleId="Pidipagina">
    <w:name w:val="footer"/>
    <w:basedOn w:val="Normale"/>
    <w:link w:val="PidipaginaCarattere"/>
    <w:uiPriority w:val="99"/>
    <w:semiHidden/>
    <w:unhideWhenUsed/>
    <w:rsid w:val="0048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16D6"/>
  </w:style>
  <w:style w:type="paragraph" w:styleId="Testocommento">
    <w:name w:val="annotation text"/>
    <w:basedOn w:val="Normale"/>
    <w:link w:val="TestocommentoCarattere"/>
    <w:uiPriority w:val="99"/>
    <w:unhideWhenUsed/>
    <w:rsid w:val="004816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816D6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816D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4816D6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4816D6"/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1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816D6"/>
    <w:rPr>
      <w:sz w:val="20"/>
      <w:szCs w:val="20"/>
    </w:rPr>
  </w:style>
  <w:style w:type="character" w:styleId="Collegamentoipertestuale">
    <w:name w:val="Hyperlink"/>
    <w:uiPriority w:val="99"/>
    <w:rsid w:val="004816D6"/>
    <w:rPr>
      <w:color w:val="auto"/>
      <w:u w:val="none"/>
    </w:rPr>
  </w:style>
  <w:style w:type="character" w:styleId="Rimandocommento">
    <w:name w:val="annotation reference"/>
    <w:uiPriority w:val="99"/>
    <w:unhideWhenUsed/>
    <w:rsid w:val="004816D6"/>
    <w:rPr>
      <w:sz w:val="16"/>
      <w:szCs w:val="16"/>
    </w:rPr>
  </w:style>
  <w:style w:type="character" w:styleId="Rimandonotadichiusura">
    <w:name w:val="endnote reference"/>
    <w:uiPriority w:val="99"/>
    <w:rsid w:val="004816D6"/>
    <w:rPr>
      <w:vertAlign w:val="superscript"/>
    </w:rPr>
  </w:style>
  <w:style w:type="character" w:styleId="Rimandonotaapidipagina">
    <w:name w:val="footnote reference"/>
    <w:uiPriority w:val="99"/>
    <w:unhideWhenUsed/>
    <w:rsid w:val="004816D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6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16D6"/>
    <w:rPr>
      <w:rFonts w:ascii="Tahoma" w:hAnsi="Tahoma" w:cs="Tahoma"/>
      <w:sz w:val="16"/>
      <w:szCs w:val="16"/>
    </w:rPr>
  </w:style>
  <w:style w:type="character" w:customStyle="1" w:styleId="Highlight">
    <w:name w:val="Highlight"/>
    <w:uiPriority w:val="99"/>
    <w:rsid w:val="00A94F2D"/>
    <w:rPr>
      <w:b/>
      <w:bCs/>
      <w:color w:val="1F3F79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8D1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8D1"/>
    <w:rPr>
      <w:b/>
      <w:bCs/>
      <w:sz w:val="20"/>
      <w:szCs w:val="20"/>
      <w:lang w:eastAsia="en-US" w:bidi="ar-SA"/>
    </w:rPr>
  </w:style>
  <w:style w:type="paragraph" w:styleId="Revisione">
    <w:name w:val="Revision"/>
    <w:hidden/>
    <w:uiPriority w:val="99"/>
    <w:semiHidden/>
    <w:rsid w:val="002318D1"/>
    <w:rPr>
      <w:sz w:val="22"/>
      <w:szCs w:val="22"/>
      <w:lang w:eastAsia="en-US"/>
    </w:rPr>
  </w:style>
  <w:style w:type="paragraph" w:customStyle="1" w:styleId="Default">
    <w:name w:val="Default"/>
    <w:rsid w:val="00E57C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 w:bidi="th-TH"/>
    </w:rPr>
  </w:style>
  <w:style w:type="paragraph" w:customStyle="1" w:styleId="PRcopyBISansragged">
    <w:name w:val="PR_copy BI Sans ragged"/>
    <w:basedOn w:val="Normale"/>
    <w:link w:val="PRcopyBISansraggedChar"/>
    <w:uiPriority w:val="99"/>
    <w:rsid w:val="002B57DB"/>
    <w:pPr>
      <w:tabs>
        <w:tab w:val="left" w:pos="283"/>
        <w:tab w:val="left" w:pos="567"/>
      </w:tabs>
      <w:autoSpaceDE w:val="0"/>
      <w:autoSpaceDN w:val="0"/>
      <w:adjustRightInd w:val="0"/>
      <w:spacing w:after="0" w:line="283" w:lineRule="atLeast"/>
      <w:textAlignment w:val="center"/>
    </w:pPr>
    <w:rPr>
      <w:rFonts w:ascii="BISansNEXT" w:eastAsia="Times New Roman" w:hAnsi="BISansNEXT"/>
      <w:color w:val="000000"/>
      <w:sz w:val="19"/>
      <w:szCs w:val="19"/>
      <w:lang w:val="de-DE"/>
    </w:rPr>
  </w:style>
  <w:style w:type="character" w:customStyle="1" w:styleId="PRcopyBISansraggedChar">
    <w:name w:val="PR_copy BI Sans ragged Char"/>
    <w:link w:val="PRcopyBISansragged"/>
    <w:uiPriority w:val="99"/>
    <w:rsid w:val="002B57DB"/>
    <w:rPr>
      <w:rFonts w:ascii="BISansNEXT" w:eastAsia="Times New Roman" w:hAnsi="BISansNEXT"/>
      <w:color w:val="000000"/>
      <w:sz w:val="19"/>
      <w:szCs w:val="19"/>
      <w:lang w:val="de-DE"/>
    </w:rPr>
  </w:style>
  <w:style w:type="paragraph" w:styleId="Paragrafoelenco">
    <w:name w:val="List Paragraph"/>
    <w:basedOn w:val="Normale"/>
    <w:uiPriority w:val="34"/>
    <w:qFormat/>
    <w:rsid w:val="002B57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Nessunaspaziatura">
    <w:name w:val="No Spacing"/>
    <w:uiPriority w:val="1"/>
    <w:qFormat/>
    <w:rsid w:val="0094168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Carpredefinitoparagrafo"/>
    <w:rsid w:val="00FB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8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6D6"/>
  </w:style>
  <w:style w:type="paragraph" w:styleId="Pidipagina">
    <w:name w:val="footer"/>
    <w:basedOn w:val="Normale"/>
    <w:link w:val="PidipaginaCarattere"/>
    <w:uiPriority w:val="99"/>
    <w:semiHidden/>
    <w:unhideWhenUsed/>
    <w:rsid w:val="0048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16D6"/>
  </w:style>
  <w:style w:type="paragraph" w:styleId="Testocommento">
    <w:name w:val="annotation text"/>
    <w:basedOn w:val="Normale"/>
    <w:link w:val="TestocommentoCarattere"/>
    <w:uiPriority w:val="99"/>
    <w:unhideWhenUsed/>
    <w:rsid w:val="004816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816D6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816D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4816D6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4816D6"/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1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816D6"/>
    <w:rPr>
      <w:sz w:val="20"/>
      <w:szCs w:val="20"/>
    </w:rPr>
  </w:style>
  <w:style w:type="character" w:styleId="Collegamentoipertestuale">
    <w:name w:val="Hyperlink"/>
    <w:uiPriority w:val="99"/>
    <w:rsid w:val="004816D6"/>
    <w:rPr>
      <w:color w:val="auto"/>
      <w:u w:val="none"/>
    </w:rPr>
  </w:style>
  <w:style w:type="character" w:styleId="Rimandocommento">
    <w:name w:val="annotation reference"/>
    <w:uiPriority w:val="99"/>
    <w:unhideWhenUsed/>
    <w:rsid w:val="004816D6"/>
    <w:rPr>
      <w:sz w:val="16"/>
      <w:szCs w:val="16"/>
    </w:rPr>
  </w:style>
  <w:style w:type="character" w:styleId="Rimandonotadichiusura">
    <w:name w:val="endnote reference"/>
    <w:uiPriority w:val="99"/>
    <w:rsid w:val="004816D6"/>
    <w:rPr>
      <w:vertAlign w:val="superscript"/>
    </w:rPr>
  </w:style>
  <w:style w:type="character" w:styleId="Rimandonotaapidipagina">
    <w:name w:val="footnote reference"/>
    <w:uiPriority w:val="99"/>
    <w:unhideWhenUsed/>
    <w:rsid w:val="004816D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6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16D6"/>
    <w:rPr>
      <w:rFonts w:ascii="Tahoma" w:hAnsi="Tahoma" w:cs="Tahoma"/>
      <w:sz w:val="16"/>
      <w:szCs w:val="16"/>
    </w:rPr>
  </w:style>
  <w:style w:type="character" w:customStyle="1" w:styleId="Highlight">
    <w:name w:val="Highlight"/>
    <w:uiPriority w:val="99"/>
    <w:rsid w:val="00A94F2D"/>
    <w:rPr>
      <w:b/>
      <w:bCs/>
      <w:color w:val="1F3F79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8D1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8D1"/>
    <w:rPr>
      <w:b/>
      <w:bCs/>
      <w:sz w:val="20"/>
      <w:szCs w:val="20"/>
      <w:lang w:eastAsia="en-US" w:bidi="ar-SA"/>
    </w:rPr>
  </w:style>
  <w:style w:type="paragraph" w:styleId="Revisione">
    <w:name w:val="Revision"/>
    <w:hidden/>
    <w:uiPriority w:val="99"/>
    <w:semiHidden/>
    <w:rsid w:val="002318D1"/>
    <w:rPr>
      <w:sz w:val="22"/>
      <w:szCs w:val="22"/>
      <w:lang w:eastAsia="en-US"/>
    </w:rPr>
  </w:style>
  <w:style w:type="paragraph" w:customStyle="1" w:styleId="Default">
    <w:name w:val="Default"/>
    <w:rsid w:val="00E57C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 w:bidi="th-TH"/>
    </w:rPr>
  </w:style>
  <w:style w:type="paragraph" w:customStyle="1" w:styleId="PRcopyBISansragged">
    <w:name w:val="PR_copy BI Sans ragged"/>
    <w:basedOn w:val="Normale"/>
    <w:link w:val="PRcopyBISansraggedChar"/>
    <w:uiPriority w:val="99"/>
    <w:rsid w:val="002B57DB"/>
    <w:pPr>
      <w:tabs>
        <w:tab w:val="left" w:pos="283"/>
        <w:tab w:val="left" w:pos="567"/>
      </w:tabs>
      <w:autoSpaceDE w:val="0"/>
      <w:autoSpaceDN w:val="0"/>
      <w:adjustRightInd w:val="0"/>
      <w:spacing w:after="0" w:line="283" w:lineRule="atLeast"/>
      <w:textAlignment w:val="center"/>
    </w:pPr>
    <w:rPr>
      <w:rFonts w:ascii="BISansNEXT" w:eastAsia="Times New Roman" w:hAnsi="BISansNEXT"/>
      <w:color w:val="000000"/>
      <w:sz w:val="19"/>
      <w:szCs w:val="19"/>
      <w:lang w:val="de-DE"/>
    </w:rPr>
  </w:style>
  <w:style w:type="character" w:customStyle="1" w:styleId="PRcopyBISansraggedChar">
    <w:name w:val="PR_copy BI Sans ragged Char"/>
    <w:link w:val="PRcopyBISansragged"/>
    <w:uiPriority w:val="99"/>
    <w:rsid w:val="002B57DB"/>
    <w:rPr>
      <w:rFonts w:ascii="BISansNEXT" w:eastAsia="Times New Roman" w:hAnsi="BISansNEXT"/>
      <w:color w:val="000000"/>
      <w:sz w:val="19"/>
      <w:szCs w:val="19"/>
      <w:lang w:val="de-DE"/>
    </w:rPr>
  </w:style>
  <w:style w:type="paragraph" w:styleId="Paragrafoelenco">
    <w:name w:val="List Paragraph"/>
    <w:basedOn w:val="Normale"/>
    <w:uiPriority w:val="34"/>
    <w:qFormat/>
    <w:rsid w:val="002B57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Nessunaspaziatura">
    <w:name w:val="No Spacing"/>
    <w:uiPriority w:val="1"/>
    <w:qFormat/>
    <w:rsid w:val="0094168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Carpredefinitoparagrafo"/>
    <w:rsid w:val="00FB0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yperlink" Target="mailto:ml.paleari@vrelations.i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boehringer-ingelheim.com" TargetMode="External"/><Relationship Id="rId17" Type="http://schemas.openxmlformats.org/officeDocument/2006/relationships/hyperlink" Target="mailto:marina.guffanti@boehringer-ingelhei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ehringer-ingelheim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ehringer-ingelheim.com/muc/disclaimer_ext/external_link_disclaimer.html?targeturl=http%3A%2F%2Fnewscentre.boehringer-ingelheim.com%2Feducation_hub1%2Foncology%2Fbackgrounder%2Fbi_oncology_backgrounde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ina.guffanti@boehringer-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ewscentre.boehringer-ingelheim.com/education_hub1/oncology/backgrounder/giotrif_afatinib_backgrounder.html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ancet.com/journals/lancet/article/PIIS1470-2045(14)71173-8/abstra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265A-4816-4AF8-BA7C-806401A7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7617</CharactersWithSpaces>
  <SharedDoc>false</SharedDoc>
  <HLinks>
    <vt:vector size="30" baseType="variant">
      <vt:variant>
        <vt:i4>524393</vt:i4>
      </vt:variant>
      <vt:variant>
        <vt:i4>6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http://www.boehringer-ingelheim.com/products/prescription_medicines/respiratory/copd.html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mailto:marina.guffanti@boehringer-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Valued Acer Customer</cp:lastModifiedBy>
  <cp:revision>11</cp:revision>
  <cp:lastPrinted>2015-07-03T14:43:00Z</cp:lastPrinted>
  <dcterms:created xsi:type="dcterms:W3CDTF">2015-08-28T09:32:00Z</dcterms:created>
  <dcterms:modified xsi:type="dcterms:W3CDTF">2015-08-28T13:13:00Z</dcterms:modified>
</cp:coreProperties>
</file>