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FD" w:rsidRPr="00955143" w:rsidRDefault="00060DFD" w:rsidP="00947568">
      <w:pPr>
        <w:jc w:val="center"/>
        <w:rPr>
          <w:rFonts w:ascii="UnitOT-Bold" w:hAnsi="UnitOT-Bold"/>
          <w:b/>
          <w:sz w:val="28"/>
          <w:szCs w:val="28"/>
          <w:lang w:val="it-IT"/>
        </w:rPr>
      </w:pPr>
    </w:p>
    <w:p w:rsidR="000A5AAC" w:rsidRPr="00955143" w:rsidRDefault="00AF2277" w:rsidP="000A5AAC">
      <w:pPr>
        <w:pStyle w:val="Didefault"/>
        <w:jc w:val="center"/>
        <w:rPr>
          <w:rFonts w:ascii="UnitOT-Bold" w:hAnsi="UnitOT-Bold"/>
          <w:b/>
          <w:sz w:val="24"/>
          <w:szCs w:val="24"/>
          <w:u w:val="single"/>
          <w:lang w:val="it-IT"/>
        </w:rPr>
      </w:pPr>
      <w:r w:rsidRPr="00955143">
        <w:rPr>
          <w:rFonts w:ascii="UnitOT-Bold" w:hAnsi="UnitOT-Bold"/>
          <w:b/>
          <w:sz w:val="24"/>
          <w:szCs w:val="24"/>
          <w:u w:val="single"/>
          <w:lang w:val="it-IT"/>
        </w:rPr>
        <w:t>Comunicato Stampa</w:t>
      </w:r>
    </w:p>
    <w:p w:rsidR="000A5AAC" w:rsidRPr="00955143" w:rsidRDefault="000A5AAC" w:rsidP="000A5AAC">
      <w:pPr>
        <w:pStyle w:val="Didefault"/>
        <w:jc w:val="center"/>
        <w:rPr>
          <w:rFonts w:ascii="UnitOT-Bold" w:hAnsi="UnitOT-Bold"/>
          <w:b/>
          <w:sz w:val="24"/>
          <w:szCs w:val="24"/>
          <w:u w:val="single"/>
          <w:lang w:val="it-IT"/>
        </w:rPr>
      </w:pPr>
    </w:p>
    <w:p w:rsidR="00A83796" w:rsidRDefault="00A83796" w:rsidP="00A54855">
      <w:pPr>
        <w:jc w:val="center"/>
        <w:rPr>
          <w:rFonts w:ascii="UnitOT-Bold" w:hAnsi="UnitOT-Bold"/>
          <w:b/>
          <w:sz w:val="28"/>
          <w:szCs w:val="28"/>
          <w:lang w:val="it-IT"/>
        </w:rPr>
      </w:pPr>
      <w:r>
        <w:rPr>
          <w:rFonts w:ascii="UnitOT-Bold" w:hAnsi="UnitOT-Bold"/>
          <w:b/>
          <w:sz w:val="28"/>
          <w:szCs w:val="28"/>
          <w:lang w:val="it-IT"/>
        </w:rPr>
        <w:t xml:space="preserve">TEVA </w:t>
      </w:r>
      <w:r w:rsidR="00B63A7B">
        <w:rPr>
          <w:rFonts w:ascii="UnitOT-Bold" w:hAnsi="UnitOT-Bold"/>
          <w:b/>
          <w:sz w:val="28"/>
          <w:szCs w:val="28"/>
          <w:lang w:val="it-IT"/>
        </w:rPr>
        <w:t xml:space="preserve">HA </w:t>
      </w:r>
      <w:r>
        <w:rPr>
          <w:rFonts w:ascii="UnitOT-Bold" w:hAnsi="UnitOT-Bold"/>
          <w:b/>
          <w:sz w:val="28"/>
          <w:szCs w:val="28"/>
          <w:lang w:val="it-IT"/>
        </w:rPr>
        <w:t>PRESENTA</w:t>
      </w:r>
      <w:r w:rsidR="00B63A7B">
        <w:rPr>
          <w:rFonts w:ascii="UnitOT-Bold" w:hAnsi="UnitOT-Bold"/>
          <w:b/>
          <w:sz w:val="28"/>
          <w:szCs w:val="28"/>
          <w:lang w:val="it-IT"/>
        </w:rPr>
        <w:t>TO</w:t>
      </w:r>
      <w:r>
        <w:rPr>
          <w:rFonts w:ascii="UnitOT-Bold" w:hAnsi="UnitOT-Bold"/>
          <w:b/>
          <w:sz w:val="28"/>
          <w:szCs w:val="28"/>
          <w:lang w:val="it-IT"/>
        </w:rPr>
        <w:t xml:space="preserve"> NUOVI DATI IN AMBITO RESPIRATORIO AL MEETING INTERNAZIONALE DELL’AMERICAN THORACIC SOCIETY 2015</w:t>
      </w:r>
    </w:p>
    <w:p w:rsidR="00A83796" w:rsidRDefault="00A83796" w:rsidP="00A54855">
      <w:pPr>
        <w:jc w:val="center"/>
        <w:rPr>
          <w:rFonts w:ascii="UnitOT-Light" w:hAnsi="UnitOT-Light"/>
          <w:i/>
          <w:sz w:val="24"/>
          <w:szCs w:val="24"/>
          <w:lang w:val="it-IT"/>
        </w:rPr>
      </w:pPr>
      <w:r>
        <w:rPr>
          <w:rFonts w:ascii="UnitOT-Light" w:hAnsi="UnitOT-Light"/>
          <w:i/>
          <w:sz w:val="24"/>
          <w:szCs w:val="24"/>
          <w:lang w:val="it-IT"/>
        </w:rPr>
        <w:t xml:space="preserve">I dati di tre studi sull’asma supportano la crescita </w:t>
      </w:r>
      <w:r w:rsidR="00762CE4">
        <w:rPr>
          <w:rFonts w:ascii="UnitOT-Light" w:hAnsi="UnitOT-Light"/>
          <w:i/>
          <w:sz w:val="24"/>
          <w:szCs w:val="24"/>
          <w:lang w:val="it-IT"/>
        </w:rPr>
        <w:t xml:space="preserve">della pipeline </w:t>
      </w:r>
      <w:r>
        <w:rPr>
          <w:rFonts w:ascii="UnitOT-Light" w:hAnsi="UnitOT-Light"/>
          <w:i/>
          <w:sz w:val="24"/>
          <w:szCs w:val="24"/>
          <w:lang w:val="it-IT"/>
        </w:rPr>
        <w:t xml:space="preserve">di </w:t>
      </w:r>
      <w:proofErr w:type="spellStart"/>
      <w:r>
        <w:rPr>
          <w:rFonts w:ascii="UnitOT-Light" w:hAnsi="UnitOT-Light"/>
          <w:i/>
          <w:sz w:val="24"/>
          <w:szCs w:val="24"/>
          <w:lang w:val="it-IT"/>
        </w:rPr>
        <w:t>Teva</w:t>
      </w:r>
      <w:proofErr w:type="spellEnd"/>
      <w:r>
        <w:rPr>
          <w:rFonts w:ascii="UnitOT-Light" w:hAnsi="UnitOT-Light"/>
          <w:i/>
          <w:sz w:val="24"/>
          <w:szCs w:val="24"/>
          <w:lang w:val="it-IT"/>
        </w:rPr>
        <w:t xml:space="preserve"> in ambito respiratorio.</w:t>
      </w:r>
    </w:p>
    <w:p w:rsidR="00C70749" w:rsidRPr="003F0CDA" w:rsidRDefault="00C70749" w:rsidP="00C70749">
      <w:pPr>
        <w:rPr>
          <w:rFonts w:ascii="UnitOT-Light" w:hAnsi="UnitOT-Light"/>
          <w:sz w:val="24"/>
          <w:szCs w:val="24"/>
          <w:lang w:val="it-IT"/>
        </w:rPr>
      </w:pPr>
    </w:p>
    <w:p w:rsidR="00704FCD" w:rsidRDefault="00A83796" w:rsidP="00C70749">
      <w:pPr>
        <w:rPr>
          <w:rFonts w:ascii="UnitOT-Light" w:hAnsi="UnitOT-Light"/>
          <w:sz w:val="24"/>
          <w:szCs w:val="24"/>
          <w:lang w:val="it-IT"/>
        </w:rPr>
      </w:pPr>
      <w:r>
        <w:rPr>
          <w:rFonts w:ascii="UnitOT-Light" w:hAnsi="UnitOT-Light"/>
          <w:sz w:val="24"/>
          <w:szCs w:val="24"/>
          <w:lang w:val="it-IT"/>
        </w:rPr>
        <w:t>Gerusalemme</w:t>
      </w:r>
      <w:r w:rsidR="00704FCD">
        <w:rPr>
          <w:rFonts w:ascii="UnitOT-Light" w:hAnsi="UnitOT-Light"/>
          <w:sz w:val="24"/>
          <w:szCs w:val="24"/>
          <w:lang w:val="it-IT"/>
        </w:rPr>
        <w:t xml:space="preserve"> – </w:t>
      </w:r>
      <w:r w:rsidR="00B63A7B">
        <w:rPr>
          <w:rFonts w:ascii="UnitOT-Light" w:hAnsi="UnitOT-Light"/>
          <w:sz w:val="24"/>
          <w:szCs w:val="24"/>
          <w:lang w:val="it-IT"/>
        </w:rPr>
        <w:t xml:space="preserve">20 </w:t>
      </w:r>
      <w:r w:rsidR="00704FCD">
        <w:rPr>
          <w:rFonts w:ascii="UnitOT-Light" w:hAnsi="UnitOT-Light"/>
          <w:sz w:val="24"/>
          <w:szCs w:val="24"/>
          <w:lang w:val="it-IT"/>
        </w:rPr>
        <w:t xml:space="preserve">maggio </w:t>
      </w:r>
      <w:r w:rsidR="00C70749" w:rsidRPr="003F0CDA">
        <w:rPr>
          <w:rFonts w:ascii="UnitOT-Light" w:hAnsi="UnitOT-Light"/>
          <w:sz w:val="24"/>
          <w:szCs w:val="24"/>
          <w:lang w:val="it-IT"/>
        </w:rPr>
        <w:t xml:space="preserve">2015 -  </w:t>
      </w:r>
      <w:proofErr w:type="spellStart"/>
      <w:r w:rsidR="00C70749" w:rsidRPr="003F0CDA">
        <w:rPr>
          <w:rFonts w:ascii="UnitOT-Light" w:hAnsi="UnitOT-Light"/>
          <w:sz w:val="24"/>
          <w:szCs w:val="24"/>
          <w:lang w:val="it-IT"/>
        </w:rPr>
        <w:t>Teva</w:t>
      </w:r>
      <w:proofErr w:type="spellEnd"/>
      <w:r w:rsidR="00C70749" w:rsidRPr="003F0CDA">
        <w:rPr>
          <w:rFonts w:ascii="UnitOT-Light" w:hAnsi="UnitOT-Light"/>
          <w:sz w:val="24"/>
          <w:szCs w:val="24"/>
          <w:lang w:val="it-IT"/>
        </w:rPr>
        <w:t xml:space="preserve"> </w:t>
      </w:r>
      <w:proofErr w:type="spellStart"/>
      <w:r w:rsidR="00C70749" w:rsidRPr="003F0CDA">
        <w:rPr>
          <w:rFonts w:ascii="UnitOT-Light" w:hAnsi="UnitOT-Light"/>
          <w:sz w:val="24"/>
          <w:szCs w:val="24"/>
          <w:lang w:val="it-IT"/>
        </w:rPr>
        <w:t>Pharmaceutical</w:t>
      </w:r>
      <w:proofErr w:type="spellEnd"/>
      <w:r w:rsidR="00C70749" w:rsidRPr="003F0CDA">
        <w:rPr>
          <w:rFonts w:ascii="UnitOT-Light" w:hAnsi="UnitOT-Light"/>
          <w:sz w:val="24"/>
          <w:szCs w:val="24"/>
          <w:lang w:val="it-IT"/>
        </w:rPr>
        <w:t xml:space="preserve"> </w:t>
      </w:r>
      <w:proofErr w:type="spellStart"/>
      <w:r w:rsidR="00C70749" w:rsidRPr="003F0CDA">
        <w:rPr>
          <w:rFonts w:ascii="UnitOT-Light" w:hAnsi="UnitOT-Light"/>
          <w:sz w:val="24"/>
          <w:szCs w:val="24"/>
          <w:lang w:val="it-IT"/>
        </w:rPr>
        <w:t>Industries</w:t>
      </w:r>
      <w:proofErr w:type="spellEnd"/>
      <w:r w:rsidR="00C70749" w:rsidRPr="003F0CDA">
        <w:rPr>
          <w:rFonts w:ascii="UnitOT-Light" w:hAnsi="UnitOT-Light"/>
          <w:sz w:val="24"/>
          <w:szCs w:val="24"/>
          <w:lang w:val="it-IT"/>
        </w:rPr>
        <w:t xml:space="preserve"> Ltd (NYSE: TEVA), ha</w:t>
      </w:r>
      <w:r w:rsidR="008E61E2">
        <w:rPr>
          <w:rFonts w:ascii="UnitOT-Light" w:hAnsi="UnitOT-Light"/>
          <w:sz w:val="24"/>
          <w:szCs w:val="24"/>
          <w:lang w:val="it-IT"/>
        </w:rPr>
        <w:t xml:space="preserve"> </w:t>
      </w:r>
      <w:r w:rsidR="00C70749" w:rsidRPr="003F0CDA">
        <w:rPr>
          <w:rFonts w:ascii="UnitOT-Light" w:hAnsi="UnitOT-Light"/>
          <w:sz w:val="24"/>
          <w:szCs w:val="24"/>
          <w:lang w:val="it-IT"/>
        </w:rPr>
        <w:t>annu</w:t>
      </w:r>
      <w:r w:rsidR="00C70749" w:rsidRPr="00A54855">
        <w:rPr>
          <w:rFonts w:ascii="UnitOT-Light" w:hAnsi="UnitOT-Light"/>
          <w:sz w:val="24"/>
          <w:szCs w:val="24"/>
          <w:lang w:val="it-IT"/>
        </w:rPr>
        <w:t>n</w:t>
      </w:r>
      <w:r w:rsidR="00C70749" w:rsidRPr="003F0CDA">
        <w:rPr>
          <w:rFonts w:ascii="UnitOT-Light" w:hAnsi="UnitOT-Light"/>
          <w:sz w:val="24"/>
          <w:szCs w:val="24"/>
          <w:lang w:val="it-IT"/>
        </w:rPr>
        <w:t>ciato</w:t>
      </w:r>
      <w:r w:rsidR="00C70749" w:rsidRPr="00A54855">
        <w:rPr>
          <w:rFonts w:ascii="UnitOT-Light" w:hAnsi="UnitOT-Light"/>
          <w:sz w:val="24"/>
          <w:szCs w:val="24"/>
          <w:lang w:val="it-IT"/>
        </w:rPr>
        <w:t xml:space="preserve"> che </w:t>
      </w:r>
      <w:r w:rsidR="00704FCD">
        <w:rPr>
          <w:rFonts w:ascii="UnitOT-Light" w:hAnsi="UnitOT-Light"/>
          <w:sz w:val="24"/>
          <w:szCs w:val="24"/>
          <w:lang w:val="it-IT"/>
        </w:rPr>
        <w:t>t</w:t>
      </w:r>
      <w:r w:rsidR="00762CE4">
        <w:rPr>
          <w:rFonts w:ascii="UnitOT-Light" w:hAnsi="UnitOT-Light"/>
          <w:sz w:val="24"/>
          <w:szCs w:val="24"/>
          <w:lang w:val="it-IT"/>
        </w:rPr>
        <w:t xml:space="preserve">re </w:t>
      </w:r>
      <w:proofErr w:type="spellStart"/>
      <w:r w:rsidR="00762CE4">
        <w:rPr>
          <w:rFonts w:ascii="UnitOT-Light" w:hAnsi="UnitOT-Light"/>
          <w:sz w:val="24"/>
          <w:szCs w:val="24"/>
          <w:lang w:val="it-IT"/>
        </w:rPr>
        <w:t>abstract</w:t>
      </w:r>
      <w:proofErr w:type="spellEnd"/>
      <w:r w:rsidR="00762CE4">
        <w:rPr>
          <w:rFonts w:ascii="UnitOT-Light" w:hAnsi="UnitOT-Light"/>
          <w:sz w:val="24"/>
          <w:szCs w:val="24"/>
          <w:lang w:val="it-IT"/>
        </w:rPr>
        <w:t xml:space="preserve">, sponsorizzati dall’azienda, </w:t>
      </w:r>
      <w:r w:rsidR="00B63A7B">
        <w:rPr>
          <w:rFonts w:ascii="UnitOT-Light" w:hAnsi="UnitOT-Light"/>
          <w:sz w:val="24"/>
          <w:szCs w:val="24"/>
          <w:lang w:val="it-IT"/>
        </w:rPr>
        <w:t xml:space="preserve">sono stati </w:t>
      </w:r>
      <w:r w:rsidR="00704FCD">
        <w:rPr>
          <w:rFonts w:ascii="UnitOT-Light" w:hAnsi="UnitOT-Light"/>
          <w:sz w:val="24"/>
          <w:szCs w:val="24"/>
          <w:lang w:val="it-IT"/>
        </w:rPr>
        <w:t xml:space="preserve">presentati alla Conferenza Internazionale 2015 dell’American </w:t>
      </w:r>
      <w:proofErr w:type="spellStart"/>
      <w:r w:rsidR="00704FCD">
        <w:rPr>
          <w:rFonts w:ascii="UnitOT-Light" w:hAnsi="UnitOT-Light"/>
          <w:sz w:val="24"/>
          <w:szCs w:val="24"/>
          <w:lang w:val="it-IT"/>
        </w:rPr>
        <w:t>Thoracic</w:t>
      </w:r>
      <w:proofErr w:type="spellEnd"/>
      <w:r w:rsidR="00704FCD">
        <w:rPr>
          <w:rFonts w:ascii="UnitOT-Light" w:hAnsi="UnitOT-Light"/>
          <w:sz w:val="24"/>
          <w:szCs w:val="24"/>
          <w:lang w:val="it-IT"/>
        </w:rPr>
        <w:t xml:space="preserve"> Society (ATS) a Denver, in Colorado, </w:t>
      </w:r>
      <w:r w:rsidR="00B63A7B">
        <w:rPr>
          <w:rFonts w:ascii="UnitOT-Light" w:hAnsi="UnitOT-Light"/>
          <w:sz w:val="24"/>
          <w:szCs w:val="24"/>
          <w:lang w:val="it-IT"/>
        </w:rPr>
        <w:t xml:space="preserve">che si è svolta </w:t>
      </w:r>
      <w:r w:rsidR="00704FCD">
        <w:rPr>
          <w:rFonts w:ascii="UnitOT-Light" w:hAnsi="UnitOT-Light"/>
          <w:sz w:val="24"/>
          <w:szCs w:val="24"/>
          <w:lang w:val="it-IT"/>
        </w:rPr>
        <w:t>dal 15 al 19 maggio.</w:t>
      </w:r>
    </w:p>
    <w:p w:rsidR="004D6362" w:rsidRDefault="00704FCD" w:rsidP="00C70749">
      <w:pPr>
        <w:rPr>
          <w:rFonts w:ascii="UnitOT-Light" w:hAnsi="UnitOT-Light"/>
          <w:sz w:val="24"/>
          <w:szCs w:val="24"/>
          <w:lang w:val="it-IT"/>
        </w:rPr>
      </w:pPr>
      <w:r>
        <w:rPr>
          <w:rFonts w:ascii="UnitOT-Light" w:hAnsi="UnitOT-Light"/>
          <w:sz w:val="24"/>
          <w:szCs w:val="24"/>
          <w:lang w:val="it-IT"/>
        </w:rPr>
        <w:t xml:space="preserve">I dati che </w:t>
      </w:r>
      <w:r w:rsidR="00B63A7B">
        <w:rPr>
          <w:rFonts w:ascii="UnitOT-Light" w:hAnsi="UnitOT-Light"/>
          <w:sz w:val="24"/>
          <w:szCs w:val="24"/>
          <w:lang w:val="it-IT"/>
        </w:rPr>
        <w:t xml:space="preserve">sono stati </w:t>
      </w:r>
      <w:r>
        <w:rPr>
          <w:rFonts w:ascii="UnitOT-Light" w:hAnsi="UnitOT-Light"/>
          <w:sz w:val="24"/>
          <w:szCs w:val="24"/>
          <w:lang w:val="it-IT"/>
        </w:rPr>
        <w:t xml:space="preserve">presentati includono uno studio di Fase III che ha analizzato la funzionalità, l’affidabilità, la sicurezza e la soddisfazione generale dei pazienti di </w:t>
      </w:r>
      <w:proofErr w:type="spellStart"/>
      <w:r w:rsidR="00254CD4">
        <w:rPr>
          <w:rFonts w:ascii="UnitOT-Light" w:hAnsi="UnitOT-Light"/>
          <w:sz w:val="24"/>
          <w:szCs w:val="24"/>
          <w:lang w:val="it-IT"/>
        </w:rPr>
        <w:t>ProAir</w:t>
      </w:r>
      <w:proofErr w:type="spellEnd"/>
      <w:r w:rsidR="00254CD4">
        <w:rPr>
          <w:rFonts w:ascii="UnitOT-Light" w:hAnsi="UnitOT-Light"/>
          <w:sz w:val="24"/>
          <w:szCs w:val="24"/>
          <w:lang w:val="it-IT"/>
        </w:rPr>
        <w:t>®</w:t>
      </w:r>
      <w:r>
        <w:rPr>
          <w:rFonts w:ascii="UnitOT-Light" w:hAnsi="UnitOT-Light"/>
          <w:sz w:val="24"/>
          <w:szCs w:val="24"/>
          <w:lang w:val="it-IT"/>
        </w:rPr>
        <w:t xml:space="preserve"> </w:t>
      </w:r>
      <w:proofErr w:type="spellStart"/>
      <w:r>
        <w:rPr>
          <w:rFonts w:ascii="UnitOT-Light" w:hAnsi="UnitOT-Light"/>
          <w:sz w:val="24"/>
          <w:szCs w:val="24"/>
          <w:lang w:val="it-IT"/>
        </w:rPr>
        <w:t>RespiClick</w:t>
      </w:r>
      <w:proofErr w:type="spellEnd"/>
      <w:r>
        <w:rPr>
          <w:rFonts w:ascii="UnitOT-Light" w:hAnsi="UnitOT-Light"/>
          <w:sz w:val="24"/>
          <w:szCs w:val="24"/>
          <w:lang w:val="it-IT"/>
        </w:rPr>
        <w:t xml:space="preserve"> (</w:t>
      </w:r>
      <w:proofErr w:type="spellStart"/>
      <w:r>
        <w:rPr>
          <w:rFonts w:ascii="UnitOT-Light" w:hAnsi="UnitOT-Light"/>
          <w:sz w:val="24"/>
          <w:szCs w:val="24"/>
          <w:lang w:val="it-IT"/>
        </w:rPr>
        <w:t>albuterolo</w:t>
      </w:r>
      <w:proofErr w:type="spellEnd"/>
      <w:r>
        <w:rPr>
          <w:rFonts w:ascii="UnitOT-Light" w:hAnsi="UnitOT-Light"/>
          <w:sz w:val="24"/>
          <w:szCs w:val="24"/>
          <w:lang w:val="it-IT"/>
        </w:rPr>
        <w:t xml:space="preserve"> solfato), polvere </w:t>
      </w:r>
      <w:r w:rsidR="008E61E2">
        <w:rPr>
          <w:rFonts w:ascii="UnitOT-Light" w:hAnsi="UnitOT-Light"/>
          <w:sz w:val="24"/>
          <w:szCs w:val="24"/>
          <w:lang w:val="it-IT"/>
        </w:rPr>
        <w:t xml:space="preserve">inalatoria. Il farmaco </w:t>
      </w:r>
      <w:r w:rsidR="004D6362">
        <w:rPr>
          <w:rFonts w:ascii="UnitOT-Light" w:hAnsi="UnitOT-Light"/>
          <w:sz w:val="24"/>
          <w:szCs w:val="24"/>
          <w:lang w:val="it-IT"/>
        </w:rPr>
        <w:t xml:space="preserve">ha ottenuto l’approvazione da parte della </w:t>
      </w:r>
      <w:proofErr w:type="spellStart"/>
      <w:r w:rsidR="004D6362">
        <w:rPr>
          <w:rFonts w:ascii="UnitOT-Light" w:hAnsi="UnitOT-Light"/>
          <w:sz w:val="24"/>
          <w:szCs w:val="24"/>
          <w:lang w:val="it-IT"/>
        </w:rPr>
        <w:t>Food</w:t>
      </w:r>
      <w:proofErr w:type="spellEnd"/>
      <w:r w:rsidR="004D6362">
        <w:rPr>
          <w:rFonts w:ascii="UnitOT-Light" w:hAnsi="UnitOT-Light"/>
          <w:sz w:val="24"/>
          <w:szCs w:val="24"/>
          <w:lang w:val="it-IT"/>
        </w:rPr>
        <w:t xml:space="preserve"> and </w:t>
      </w:r>
      <w:proofErr w:type="spellStart"/>
      <w:r w:rsidR="004D6362">
        <w:rPr>
          <w:rFonts w:ascii="UnitOT-Light" w:hAnsi="UnitOT-Light"/>
          <w:sz w:val="24"/>
          <w:szCs w:val="24"/>
          <w:lang w:val="it-IT"/>
        </w:rPr>
        <w:t>Drug</w:t>
      </w:r>
      <w:proofErr w:type="spellEnd"/>
      <w:r w:rsidR="004D6362">
        <w:rPr>
          <w:rFonts w:ascii="UnitOT-Light" w:hAnsi="UnitOT-Light"/>
          <w:sz w:val="24"/>
          <w:szCs w:val="24"/>
          <w:lang w:val="it-IT"/>
        </w:rPr>
        <w:t xml:space="preserve"> Administration Statunitense nel marzo 2015.</w:t>
      </w:r>
    </w:p>
    <w:p w:rsidR="004D6362" w:rsidRDefault="00254CD4" w:rsidP="00C70749">
      <w:pPr>
        <w:rPr>
          <w:rFonts w:ascii="UnitOT-Light" w:hAnsi="UnitOT-Light"/>
          <w:sz w:val="24"/>
          <w:szCs w:val="24"/>
          <w:lang w:val="it-IT"/>
        </w:rPr>
      </w:pPr>
      <w:proofErr w:type="spellStart"/>
      <w:r>
        <w:rPr>
          <w:rFonts w:ascii="UnitOT-Light" w:hAnsi="UnitOT-Light"/>
          <w:sz w:val="24"/>
          <w:szCs w:val="24"/>
          <w:lang w:val="it-IT"/>
        </w:rPr>
        <w:t>ProAir</w:t>
      </w:r>
      <w:proofErr w:type="spellEnd"/>
      <w:r>
        <w:rPr>
          <w:rFonts w:ascii="UnitOT-Light" w:hAnsi="UnitOT-Light"/>
          <w:sz w:val="24"/>
          <w:szCs w:val="24"/>
          <w:lang w:val="it-IT"/>
        </w:rPr>
        <w:t>®</w:t>
      </w:r>
      <w:r w:rsidR="004D6362">
        <w:rPr>
          <w:rFonts w:ascii="UnitOT-Light" w:hAnsi="UnitOT-Light"/>
          <w:sz w:val="24"/>
          <w:szCs w:val="24"/>
          <w:lang w:val="it-IT"/>
        </w:rPr>
        <w:t xml:space="preserve"> </w:t>
      </w:r>
      <w:proofErr w:type="spellStart"/>
      <w:r w:rsidR="004D6362">
        <w:rPr>
          <w:rFonts w:ascii="UnitOT-Light" w:hAnsi="UnitOT-Light"/>
          <w:sz w:val="24"/>
          <w:szCs w:val="24"/>
          <w:lang w:val="it-IT"/>
        </w:rPr>
        <w:t>RespiClick</w:t>
      </w:r>
      <w:proofErr w:type="spellEnd"/>
      <w:r w:rsidR="004D6362">
        <w:rPr>
          <w:rFonts w:ascii="UnitOT-Light" w:hAnsi="UnitOT-Light"/>
          <w:sz w:val="24"/>
          <w:szCs w:val="24"/>
          <w:lang w:val="it-IT"/>
        </w:rPr>
        <w:t xml:space="preserve"> è ora disponibile</w:t>
      </w:r>
      <w:r w:rsidR="00C669E0">
        <w:rPr>
          <w:rFonts w:ascii="UnitOT-Light" w:hAnsi="UnitOT-Light"/>
          <w:sz w:val="24"/>
          <w:szCs w:val="24"/>
          <w:lang w:val="it-IT"/>
        </w:rPr>
        <w:t xml:space="preserve"> soltanto </w:t>
      </w:r>
      <w:r w:rsidR="000135DE">
        <w:rPr>
          <w:rFonts w:ascii="UnitOT-Light" w:hAnsi="UnitOT-Light"/>
          <w:sz w:val="24"/>
          <w:szCs w:val="24"/>
          <w:lang w:val="it-IT"/>
        </w:rPr>
        <w:t>negli Stati Uniti</w:t>
      </w:r>
      <w:r w:rsidR="00C669E0">
        <w:rPr>
          <w:rFonts w:ascii="UnitOT-Light" w:hAnsi="UnitOT-Light"/>
          <w:sz w:val="24"/>
          <w:szCs w:val="24"/>
          <w:lang w:val="it-IT"/>
        </w:rPr>
        <w:t>, dove</w:t>
      </w:r>
      <w:r w:rsidR="004D6362">
        <w:rPr>
          <w:rFonts w:ascii="UnitOT-Light" w:hAnsi="UnitOT-Light"/>
          <w:sz w:val="24"/>
          <w:szCs w:val="24"/>
          <w:lang w:val="it-IT"/>
        </w:rPr>
        <w:t xml:space="preserve"> è i</w:t>
      </w:r>
      <w:r w:rsidR="00714FE9">
        <w:rPr>
          <w:rFonts w:ascii="UnitOT-Light" w:hAnsi="UnitOT-Light"/>
          <w:sz w:val="24"/>
          <w:szCs w:val="24"/>
          <w:lang w:val="it-IT"/>
        </w:rPr>
        <w:t xml:space="preserve">ndicato per il trattamento o la </w:t>
      </w:r>
      <w:r w:rsidR="004D6362">
        <w:rPr>
          <w:rFonts w:ascii="UnitOT-Light" w:hAnsi="UnitOT-Light"/>
          <w:sz w:val="24"/>
          <w:szCs w:val="24"/>
          <w:lang w:val="it-IT"/>
        </w:rPr>
        <w:t>prevenzione</w:t>
      </w:r>
      <w:bookmarkStart w:id="0" w:name="_GoBack"/>
      <w:bookmarkEnd w:id="0"/>
      <w:r w:rsidR="004D6362">
        <w:rPr>
          <w:rFonts w:ascii="UnitOT-Light" w:hAnsi="UnitOT-Light"/>
          <w:sz w:val="24"/>
          <w:szCs w:val="24"/>
          <w:lang w:val="it-IT"/>
        </w:rPr>
        <w:t xml:space="preserve"> della </w:t>
      </w:r>
      <w:r w:rsidR="00762CE4">
        <w:rPr>
          <w:rFonts w:ascii="UnitOT-Light" w:hAnsi="UnitOT-Light"/>
          <w:sz w:val="24"/>
          <w:szCs w:val="24"/>
          <w:lang w:val="it-IT"/>
        </w:rPr>
        <w:t xml:space="preserve">malattia ostruttiva reversibile delle vie aeree </w:t>
      </w:r>
      <w:r w:rsidR="004D6362">
        <w:rPr>
          <w:rFonts w:ascii="UnitOT-Light" w:hAnsi="UnitOT-Light"/>
          <w:sz w:val="24"/>
          <w:szCs w:val="24"/>
          <w:lang w:val="it-IT"/>
        </w:rPr>
        <w:t>e per la prevenzione del broncospasmo indotto da attività fisica nei pazienti dai 12 anni in su.</w:t>
      </w:r>
    </w:p>
    <w:p w:rsidR="004D6362" w:rsidRDefault="004D6362" w:rsidP="00C70749">
      <w:pPr>
        <w:rPr>
          <w:rFonts w:ascii="UnitOT-Light" w:hAnsi="UnitOT-Light"/>
          <w:sz w:val="24"/>
          <w:szCs w:val="24"/>
          <w:lang w:val="it-IT"/>
        </w:rPr>
      </w:pPr>
      <w:r>
        <w:rPr>
          <w:rFonts w:ascii="UnitOT-Light" w:hAnsi="UnitOT-Light"/>
          <w:sz w:val="24"/>
          <w:szCs w:val="24"/>
          <w:lang w:val="it-IT"/>
        </w:rPr>
        <w:t>Ulteriori dati di Fase III</w:t>
      </w:r>
      <w:r w:rsidR="00970F39">
        <w:rPr>
          <w:rFonts w:ascii="UnitOT-Light" w:hAnsi="UnitOT-Light"/>
          <w:sz w:val="24"/>
          <w:szCs w:val="24"/>
          <w:lang w:val="it-IT"/>
        </w:rPr>
        <w:t>,</w:t>
      </w:r>
      <w:r>
        <w:rPr>
          <w:rFonts w:ascii="UnitOT-Light" w:hAnsi="UnitOT-Light"/>
          <w:sz w:val="24"/>
          <w:szCs w:val="24"/>
          <w:lang w:val="it-IT"/>
        </w:rPr>
        <w:t xml:space="preserve"> </w:t>
      </w:r>
      <w:r w:rsidR="00B63A7B">
        <w:rPr>
          <w:rFonts w:ascii="UnitOT-Light" w:hAnsi="UnitOT-Light"/>
          <w:sz w:val="24"/>
          <w:szCs w:val="24"/>
          <w:lang w:val="it-IT"/>
        </w:rPr>
        <w:t xml:space="preserve">che sono stati </w:t>
      </w:r>
      <w:r>
        <w:rPr>
          <w:rFonts w:ascii="UnitOT-Light" w:hAnsi="UnitOT-Light"/>
          <w:sz w:val="24"/>
          <w:szCs w:val="24"/>
          <w:lang w:val="it-IT"/>
        </w:rPr>
        <w:t>presentati</w:t>
      </w:r>
      <w:r w:rsidR="001431E3">
        <w:rPr>
          <w:rFonts w:ascii="UnitOT-Light" w:hAnsi="UnitOT-Light"/>
          <w:sz w:val="24"/>
          <w:szCs w:val="24"/>
          <w:lang w:val="it-IT"/>
        </w:rPr>
        <w:t xml:space="preserve"> come </w:t>
      </w:r>
      <w:r w:rsidR="00730421">
        <w:rPr>
          <w:rFonts w:ascii="UnitOT-Light" w:hAnsi="UnitOT-Light"/>
          <w:sz w:val="24"/>
          <w:szCs w:val="24"/>
          <w:lang w:val="it-IT"/>
        </w:rPr>
        <w:t xml:space="preserve">late-breaking </w:t>
      </w:r>
      <w:proofErr w:type="spellStart"/>
      <w:r w:rsidR="00730421">
        <w:rPr>
          <w:rFonts w:ascii="UnitOT-Light" w:hAnsi="UnitOT-Light"/>
          <w:sz w:val="24"/>
          <w:szCs w:val="24"/>
          <w:lang w:val="it-IT"/>
        </w:rPr>
        <w:t>abstract</w:t>
      </w:r>
      <w:proofErr w:type="spellEnd"/>
      <w:r w:rsidR="00730421">
        <w:rPr>
          <w:rFonts w:ascii="UnitOT-Light" w:hAnsi="UnitOT-Light"/>
          <w:sz w:val="24"/>
          <w:szCs w:val="24"/>
          <w:lang w:val="it-IT"/>
        </w:rPr>
        <w:t xml:space="preserve">, evidenziano, da prime analisi, l’efficacia e sicurezza della terapia con </w:t>
      </w:r>
      <w:proofErr w:type="spellStart"/>
      <w:r w:rsidR="00730421">
        <w:rPr>
          <w:rFonts w:ascii="UnitOT-Light" w:hAnsi="UnitOT-Light"/>
          <w:sz w:val="24"/>
          <w:szCs w:val="24"/>
          <w:lang w:val="it-IT"/>
        </w:rPr>
        <w:t>reslizumab</w:t>
      </w:r>
      <w:proofErr w:type="spellEnd"/>
      <w:r w:rsidR="00730421">
        <w:rPr>
          <w:rFonts w:ascii="UnitOT-Light" w:hAnsi="UnitOT-Light"/>
          <w:sz w:val="24"/>
          <w:szCs w:val="24"/>
          <w:lang w:val="it-IT"/>
        </w:rPr>
        <w:t>, anticorpo monoclonale anti-interleuchina-5 (IL-5), in pazienti con asma ed elevati livelli di eosinofili nel sangue.</w:t>
      </w:r>
      <w:r w:rsidR="00663E2A">
        <w:rPr>
          <w:rFonts w:ascii="UnitOT-Light" w:hAnsi="UnitOT-Light"/>
          <w:sz w:val="24"/>
          <w:szCs w:val="24"/>
          <w:lang w:val="it-IT"/>
        </w:rPr>
        <w:t xml:space="preserve"> Un terzo </w:t>
      </w:r>
      <w:proofErr w:type="spellStart"/>
      <w:r w:rsidR="00663E2A">
        <w:rPr>
          <w:rFonts w:ascii="UnitOT-Light" w:hAnsi="UnitOT-Light"/>
          <w:sz w:val="24"/>
          <w:szCs w:val="24"/>
          <w:lang w:val="it-IT"/>
        </w:rPr>
        <w:t>abstract</w:t>
      </w:r>
      <w:proofErr w:type="spellEnd"/>
      <w:r w:rsidR="00663E2A">
        <w:rPr>
          <w:rFonts w:ascii="UnitOT-Light" w:hAnsi="UnitOT-Light"/>
          <w:sz w:val="24"/>
          <w:szCs w:val="24"/>
          <w:lang w:val="it-IT"/>
        </w:rPr>
        <w:t xml:space="preserve"> </w:t>
      </w:r>
      <w:r w:rsidR="00B63A7B">
        <w:rPr>
          <w:rFonts w:ascii="UnitOT-Light" w:hAnsi="UnitOT-Light"/>
          <w:sz w:val="24"/>
          <w:szCs w:val="24"/>
          <w:lang w:val="it-IT"/>
        </w:rPr>
        <w:t xml:space="preserve">ha </w:t>
      </w:r>
      <w:r w:rsidR="00DB3A6A">
        <w:rPr>
          <w:rFonts w:ascii="UnitOT-Light" w:hAnsi="UnitOT-Light"/>
          <w:sz w:val="24"/>
          <w:szCs w:val="24"/>
          <w:lang w:val="it-IT"/>
        </w:rPr>
        <w:t>presenta</w:t>
      </w:r>
      <w:r w:rsidR="00B63A7B">
        <w:rPr>
          <w:rFonts w:ascii="UnitOT-Light" w:hAnsi="UnitOT-Light"/>
          <w:sz w:val="24"/>
          <w:szCs w:val="24"/>
          <w:lang w:val="it-IT"/>
        </w:rPr>
        <w:t>to</w:t>
      </w:r>
      <w:r w:rsidR="00DB3A6A">
        <w:rPr>
          <w:rFonts w:ascii="UnitOT-Light" w:hAnsi="UnitOT-Light"/>
          <w:sz w:val="24"/>
          <w:szCs w:val="24"/>
          <w:lang w:val="it-IT"/>
        </w:rPr>
        <w:t xml:space="preserve"> </w:t>
      </w:r>
      <w:r w:rsidR="00663E2A">
        <w:rPr>
          <w:rFonts w:ascii="UnitOT-Light" w:hAnsi="UnitOT-Light"/>
          <w:sz w:val="24"/>
          <w:szCs w:val="24"/>
          <w:lang w:val="it-IT"/>
        </w:rPr>
        <w:t xml:space="preserve">dati </w:t>
      </w:r>
      <w:r w:rsidR="00762CE4">
        <w:rPr>
          <w:rFonts w:ascii="UnitOT-Light" w:hAnsi="UnitOT-Light"/>
          <w:sz w:val="24"/>
          <w:szCs w:val="24"/>
          <w:lang w:val="it-IT"/>
        </w:rPr>
        <w:t>relativi a</w:t>
      </w:r>
      <w:r w:rsidR="00DB3A6A">
        <w:rPr>
          <w:rFonts w:ascii="UnitOT-Light" w:hAnsi="UnitOT-Light"/>
          <w:sz w:val="24"/>
          <w:szCs w:val="24"/>
          <w:lang w:val="it-IT"/>
        </w:rPr>
        <w:t xml:space="preserve"> uno studio sul </w:t>
      </w:r>
      <w:proofErr w:type="spellStart"/>
      <w:r w:rsidR="00DB3A6A">
        <w:rPr>
          <w:rFonts w:ascii="UnitOT-Light" w:hAnsi="UnitOT-Light"/>
          <w:sz w:val="24"/>
          <w:szCs w:val="24"/>
          <w:lang w:val="it-IT"/>
        </w:rPr>
        <w:t>range</w:t>
      </w:r>
      <w:proofErr w:type="spellEnd"/>
      <w:r w:rsidR="00DB3A6A">
        <w:rPr>
          <w:rFonts w:ascii="UnitOT-Light" w:hAnsi="UnitOT-Light"/>
          <w:sz w:val="24"/>
          <w:szCs w:val="24"/>
          <w:lang w:val="it-IT"/>
        </w:rPr>
        <w:t xml:space="preserve"> di dosaggio del </w:t>
      </w:r>
      <w:proofErr w:type="spellStart"/>
      <w:r w:rsidR="00DB3A6A">
        <w:rPr>
          <w:rFonts w:ascii="UnitOT-Light" w:hAnsi="UnitOT-Light"/>
          <w:sz w:val="24"/>
          <w:szCs w:val="24"/>
          <w:lang w:val="it-IT"/>
        </w:rPr>
        <w:t>fluticasone</w:t>
      </w:r>
      <w:proofErr w:type="spellEnd"/>
      <w:r w:rsidR="00DB3A6A">
        <w:rPr>
          <w:rFonts w:ascii="UnitOT-Light" w:hAnsi="UnitOT-Light"/>
          <w:sz w:val="24"/>
          <w:szCs w:val="24"/>
          <w:lang w:val="it-IT"/>
        </w:rPr>
        <w:t xml:space="preserve"> propinato multi-dose, polvere inalatoria secca (</w:t>
      </w:r>
      <w:r w:rsidR="00762CE4">
        <w:rPr>
          <w:rFonts w:ascii="UnitOT-Light" w:hAnsi="UnitOT-Light"/>
          <w:sz w:val="24"/>
          <w:szCs w:val="24"/>
          <w:lang w:val="it-IT"/>
        </w:rPr>
        <w:t>MDPI) in pazienti adolescenti e</w:t>
      </w:r>
      <w:r w:rsidR="00DB3A6A">
        <w:rPr>
          <w:rFonts w:ascii="UnitOT-Light" w:hAnsi="UnitOT-Light"/>
          <w:sz w:val="24"/>
          <w:szCs w:val="24"/>
          <w:lang w:val="it-IT"/>
        </w:rPr>
        <w:t xml:space="preserve"> adulti con asma.</w:t>
      </w:r>
    </w:p>
    <w:p w:rsidR="00DB3A6A" w:rsidRDefault="00DB3A6A" w:rsidP="00C70749">
      <w:pPr>
        <w:rPr>
          <w:rFonts w:ascii="UnitOT-Light" w:hAnsi="UnitOT-Light"/>
          <w:sz w:val="24"/>
          <w:szCs w:val="24"/>
          <w:lang w:val="it-IT"/>
        </w:rPr>
      </w:pPr>
      <w:r>
        <w:rPr>
          <w:rFonts w:ascii="UnitOT-Light" w:hAnsi="UnitOT-Light"/>
          <w:sz w:val="24"/>
          <w:szCs w:val="24"/>
          <w:lang w:val="it-IT"/>
        </w:rPr>
        <w:t xml:space="preserve">“La Conferenza Internazionale ATS 2015 </w:t>
      </w:r>
      <w:r w:rsidR="00B63A7B">
        <w:rPr>
          <w:rFonts w:ascii="UnitOT-Light" w:hAnsi="UnitOT-Light"/>
          <w:sz w:val="24"/>
          <w:szCs w:val="24"/>
          <w:lang w:val="it-IT"/>
        </w:rPr>
        <w:t xml:space="preserve">ha offerto </w:t>
      </w:r>
      <w:r>
        <w:rPr>
          <w:rFonts w:ascii="UnitOT-Light" w:hAnsi="UnitOT-Light"/>
          <w:sz w:val="24"/>
          <w:szCs w:val="24"/>
          <w:lang w:val="it-IT"/>
        </w:rPr>
        <w:t xml:space="preserve">a </w:t>
      </w:r>
      <w:proofErr w:type="spellStart"/>
      <w:r>
        <w:rPr>
          <w:rFonts w:ascii="UnitOT-Light" w:hAnsi="UnitOT-Light"/>
          <w:sz w:val="24"/>
          <w:szCs w:val="24"/>
          <w:lang w:val="it-IT"/>
        </w:rPr>
        <w:t>Teva</w:t>
      </w:r>
      <w:proofErr w:type="spellEnd"/>
      <w:r>
        <w:rPr>
          <w:rFonts w:ascii="UnitOT-Light" w:hAnsi="UnitOT-Light"/>
          <w:sz w:val="24"/>
          <w:szCs w:val="24"/>
          <w:lang w:val="it-IT"/>
        </w:rPr>
        <w:t xml:space="preserve"> la possibilità di mostrare alla comunità scientifica le evidenze per tre delle nostre nuove, o in fase di sperimentazione, terapie sull’asma,” dichiara </w:t>
      </w:r>
      <w:proofErr w:type="spellStart"/>
      <w:r>
        <w:rPr>
          <w:rFonts w:ascii="UnitOT-Light" w:hAnsi="UnitOT-Light"/>
          <w:sz w:val="24"/>
          <w:szCs w:val="24"/>
          <w:lang w:val="it-IT"/>
        </w:rPr>
        <w:t>Tushar</w:t>
      </w:r>
      <w:proofErr w:type="spellEnd"/>
      <w:r>
        <w:rPr>
          <w:rFonts w:ascii="UnitOT-Light" w:hAnsi="UnitOT-Light"/>
          <w:sz w:val="24"/>
          <w:szCs w:val="24"/>
          <w:lang w:val="it-IT"/>
        </w:rPr>
        <w:t xml:space="preserve"> </w:t>
      </w:r>
      <w:proofErr w:type="spellStart"/>
      <w:r>
        <w:rPr>
          <w:rFonts w:ascii="UnitOT-Light" w:hAnsi="UnitOT-Light"/>
          <w:sz w:val="24"/>
          <w:szCs w:val="24"/>
          <w:lang w:val="it-IT"/>
        </w:rPr>
        <w:t>Shah</w:t>
      </w:r>
      <w:proofErr w:type="spellEnd"/>
      <w:r>
        <w:rPr>
          <w:rFonts w:ascii="UnitOT-Light" w:hAnsi="UnitOT-Light"/>
          <w:sz w:val="24"/>
          <w:szCs w:val="24"/>
          <w:lang w:val="it-IT"/>
        </w:rPr>
        <w:t xml:space="preserve">, MD, Senior Vice </w:t>
      </w:r>
      <w:proofErr w:type="spellStart"/>
      <w:r>
        <w:rPr>
          <w:rFonts w:ascii="UnitOT-Light" w:hAnsi="UnitOT-Light"/>
          <w:sz w:val="24"/>
          <w:szCs w:val="24"/>
          <w:lang w:val="it-IT"/>
        </w:rPr>
        <w:t>PResident</w:t>
      </w:r>
      <w:proofErr w:type="spellEnd"/>
      <w:r>
        <w:rPr>
          <w:rFonts w:ascii="UnitOT-Light" w:hAnsi="UnitOT-Light"/>
          <w:sz w:val="24"/>
          <w:szCs w:val="24"/>
          <w:lang w:val="it-IT"/>
        </w:rPr>
        <w:t xml:space="preserve">, </w:t>
      </w:r>
      <w:proofErr w:type="spellStart"/>
      <w:r>
        <w:rPr>
          <w:rFonts w:ascii="UnitOT-Light" w:hAnsi="UnitOT-Light"/>
          <w:sz w:val="24"/>
          <w:szCs w:val="24"/>
          <w:lang w:val="it-IT"/>
        </w:rPr>
        <w:t>Teva</w:t>
      </w:r>
      <w:proofErr w:type="spellEnd"/>
      <w:r>
        <w:rPr>
          <w:rFonts w:ascii="UnitOT-Light" w:hAnsi="UnitOT-Light"/>
          <w:sz w:val="24"/>
          <w:szCs w:val="24"/>
          <w:lang w:val="it-IT"/>
        </w:rPr>
        <w:t xml:space="preserve"> Global </w:t>
      </w:r>
      <w:proofErr w:type="spellStart"/>
      <w:r>
        <w:rPr>
          <w:rFonts w:ascii="UnitOT-Light" w:hAnsi="UnitOT-Light"/>
          <w:sz w:val="24"/>
          <w:szCs w:val="24"/>
          <w:lang w:val="it-IT"/>
        </w:rPr>
        <w:t>Respiratory</w:t>
      </w:r>
      <w:proofErr w:type="spellEnd"/>
      <w:r>
        <w:rPr>
          <w:rFonts w:ascii="UnitOT-Light" w:hAnsi="UnitOT-Light"/>
          <w:sz w:val="24"/>
          <w:szCs w:val="24"/>
          <w:lang w:val="it-IT"/>
        </w:rPr>
        <w:t xml:space="preserve"> </w:t>
      </w:r>
      <w:proofErr w:type="spellStart"/>
      <w:r>
        <w:rPr>
          <w:rFonts w:ascii="UnitOT-Light" w:hAnsi="UnitOT-Light"/>
          <w:sz w:val="24"/>
          <w:szCs w:val="24"/>
          <w:lang w:val="it-IT"/>
        </w:rPr>
        <w:t>Research</w:t>
      </w:r>
      <w:proofErr w:type="spellEnd"/>
      <w:r>
        <w:rPr>
          <w:rFonts w:ascii="UnitOT-Light" w:hAnsi="UnitOT-Light"/>
          <w:sz w:val="24"/>
          <w:szCs w:val="24"/>
          <w:lang w:val="it-IT"/>
        </w:rPr>
        <w:t xml:space="preserve"> and Development. “Le tre scoperte evidenziano</w:t>
      </w:r>
      <w:r w:rsidR="005A5AC7">
        <w:rPr>
          <w:rFonts w:ascii="UnitOT-Light" w:hAnsi="UnitOT-Light"/>
          <w:sz w:val="24"/>
          <w:szCs w:val="24"/>
          <w:lang w:val="it-IT"/>
        </w:rPr>
        <w:t xml:space="preserve"> </w:t>
      </w:r>
      <w:r w:rsidR="00762CE4">
        <w:rPr>
          <w:rFonts w:ascii="UnitOT-Light" w:hAnsi="UnitOT-Light"/>
          <w:sz w:val="24"/>
          <w:szCs w:val="24"/>
          <w:lang w:val="it-IT"/>
        </w:rPr>
        <w:t xml:space="preserve">il rilevante </w:t>
      </w:r>
      <w:r w:rsidR="002F5707">
        <w:rPr>
          <w:rFonts w:ascii="UnitOT-Light" w:hAnsi="UnitOT-Light"/>
          <w:sz w:val="24"/>
          <w:szCs w:val="24"/>
          <w:lang w:val="it-IT"/>
        </w:rPr>
        <w:t>progresso che è stato fatto per ampliare ulteriormente il nostro portfolio in ambito respiratorio attraverso lo sviluppo di nuove opzioni terapeutiche che v</w:t>
      </w:r>
      <w:r w:rsidR="008E61E2">
        <w:rPr>
          <w:rFonts w:ascii="UnitOT-Light" w:hAnsi="UnitOT-Light"/>
          <w:sz w:val="24"/>
          <w:szCs w:val="24"/>
          <w:lang w:val="it-IT"/>
        </w:rPr>
        <w:t>anno incontro a</w:t>
      </w:r>
      <w:r w:rsidR="002F5707">
        <w:rPr>
          <w:rFonts w:ascii="UnitOT-Light" w:hAnsi="UnitOT-Light"/>
          <w:sz w:val="24"/>
          <w:szCs w:val="24"/>
          <w:lang w:val="it-IT"/>
        </w:rPr>
        <w:t xml:space="preserve"> esigenze</w:t>
      </w:r>
      <w:r w:rsidR="008E61E2">
        <w:rPr>
          <w:rFonts w:ascii="UnitOT-Light" w:hAnsi="UnitOT-Light"/>
          <w:sz w:val="24"/>
          <w:szCs w:val="24"/>
          <w:lang w:val="it-IT"/>
        </w:rPr>
        <w:t>,</w:t>
      </w:r>
      <w:r w:rsidR="004020F7">
        <w:rPr>
          <w:rFonts w:ascii="UnitOT-Light" w:hAnsi="UnitOT-Light"/>
          <w:sz w:val="24"/>
          <w:szCs w:val="24"/>
          <w:lang w:val="it-IT"/>
        </w:rPr>
        <w:t xml:space="preserve"> sino a</w:t>
      </w:r>
      <w:r w:rsidR="002F5707">
        <w:rPr>
          <w:rFonts w:ascii="UnitOT-Light" w:hAnsi="UnitOT-Light"/>
          <w:sz w:val="24"/>
          <w:szCs w:val="24"/>
          <w:lang w:val="it-IT"/>
        </w:rPr>
        <w:t xml:space="preserve"> ora insoddisfatte</w:t>
      </w:r>
      <w:r w:rsidR="008E61E2">
        <w:rPr>
          <w:rFonts w:ascii="UnitOT-Light" w:hAnsi="UnitOT-Light"/>
          <w:sz w:val="24"/>
          <w:szCs w:val="24"/>
          <w:lang w:val="it-IT"/>
        </w:rPr>
        <w:t>,</w:t>
      </w:r>
      <w:r w:rsidR="002F5707">
        <w:rPr>
          <w:rFonts w:ascii="UnitOT-Light" w:hAnsi="UnitOT-Light"/>
          <w:sz w:val="24"/>
          <w:szCs w:val="24"/>
          <w:lang w:val="it-IT"/>
        </w:rPr>
        <w:t xml:space="preserve"> dei pazienti.</w:t>
      </w:r>
    </w:p>
    <w:p w:rsidR="002F5707" w:rsidRDefault="002F5707" w:rsidP="00C70749">
      <w:pPr>
        <w:rPr>
          <w:rFonts w:ascii="UnitOT-Light" w:hAnsi="UnitOT-Light"/>
          <w:sz w:val="24"/>
          <w:szCs w:val="24"/>
          <w:lang w:val="it-IT"/>
        </w:rPr>
      </w:pPr>
      <w:r>
        <w:rPr>
          <w:rFonts w:ascii="UnitOT-Light" w:hAnsi="UnitOT-Light"/>
          <w:sz w:val="24"/>
          <w:szCs w:val="24"/>
          <w:lang w:val="it-IT"/>
        </w:rPr>
        <w:t xml:space="preserve">I seguenti dati </w:t>
      </w:r>
      <w:r w:rsidR="00B63A7B">
        <w:rPr>
          <w:rFonts w:ascii="UnitOT-Light" w:hAnsi="UnitOT-Light"/>
          <w:sz w:val="24"/>
          <w:szCs w:val="24"/>
          <w:lang w:val="it-IT"/>
        </w:rPr>
        <w:t xml:space="preserve">sono stati </w:t>
      </w:r>
      <w:r>
        <w:rPr>
          <w:rFonts w:ascii="UnitOT-Light" w:hAnsi="UnitOT-Light"/>
          <w:sz w:val="24"/>
          <w:szCs w:val="24"/>
          <w:lang w:val="it-IT"/>
        </w:rPr>
        <w:t>presentati durante la sessione poster, martedì 19 maggio.</w:t>
      </w:r>
    </w:p>
    <w:p w:rsidR="002F5707" w:rsidRDefault="00254CD4" w:rsidP="00C70749">
      <w:pPr>
        <w:rPr>
          <w:rFonts w:ascii="UnitOT-Light" w:hAnsi="UnitOT-Light"/>
          <w:sz w:val="24"/>
          <w:szCs w:val="24"/>
          <w:lang w:val="it-IT"/>
        </w:rPr>
      </w:pPr>
      <w:proofErr w:type="spellStart"/>
      <w:r w:rsidRPr="00D703DD">
        <w:rPr>
          <w:rFonts w:ascii="UnitOT-Light" w:hAnsi="UnitOT-Light"/>
          <w:b/>
          <w:sz w:val="24"/>
          <w:szCs w:val="24"/>
        </w:rPr>
        <w:t>ProAir</w:t>
      </w:r>
      <w:proofErr w:type="spellEnd"/>
      <w:r w:rsidRPr="00D703DD">
        <w:rPr>
          <w:rFonts w:ascii="UnitOT-Light" w:hAnsi="UnitOT-Light"/>
          <w:b/>
          <w:sz w:val="24"/>
          <w:szCs w:val="24"/>
        </w:rPr>
        <w:t>®</w:t>
      </w:r>
      <w:r w:rsidR="002F5707" w:rsidRPr="00D703DD">
        <w:rPr>
          <w:rFonts w:ascii="UnitOT-Light" w:hAnsi="UnitOT-Light"/>
          <w:b/>
          <w:sz w:val="24"/>
          <w:szCs w:val="24"/>
        </w:rPr>
        <w:t xml:space="preserve"> </w:t>
      </w:r>
      <w:proofErr w:type="spellStart"/>
      <w:r w:rsidR="002F5707" w:rsidRPr="00D703DD">
        <w:rPr>
          <w:rFonts w:ascii="UnitOT-Light" w:hAnsi="UnitOT-Light"/>
          <w:b/>
          <w:sz w:val="24"/>
          <w:szCs w:val="24"/>
        </w:rPr>
        <w:t>RespiClick</w:t>
      </w:r>
      <w:proofErr w:type="spellEnd"/>
      <w:r w:rsidR="002F5707" w:rsidRPr="00D703DD">
        <w:rPr>
          <w:rFonts w:ascii="UnitOT-Light" w:hAnsi="UnitOT-Light"/>
          <w:b/>
          <w:sz w:val="24"/>
          <w:szCs w:val="24"/>
        </w:rPr>
        <w:t xml:space="preserve"> (</w:t>
      </w:r>
      <w:proofErr w:type="spellStart"/>
      <w:r w:rsidR="002F5707" w:rsidRPr="00D703DD">
        <w:rPr>
          <w:rFonts w:ascii="UnitOT-Light" w:hAnsi="UnitOT-Light"/>
          <w:b/>
          <w:sz w:val="24"/>
          <w:szCs w:val="24"/>
        </w:rPr>
        <w:t>albuterolo</w:t>
      </w:r>
      <w:proofErr w:type="spellEnd"/>
      <w:r w:rsidR="002F5707" w:rsidRPr="00D703DD">
        <w:rPr>
          <w:rFonts w:ascii="UnitOT-Light" w:hAnsi="UnitOT-Light"/>
          <w:b/>
          <w:sz w:val="24"/>
          <w:szCs w:val="24"/>
        </w:rPr>
        <w:t xml:space="preserve"> </w:t>
      </w:r>
      <w:proofErr w:type="spellStart"/>
      <w:r w:rsidR="002F5707" w:rsidRPr="00D703DD">
        <w:rPr>
          <w:rFonts w:ascii="UnitOT-Light" w:hAnsi="UnitOT-Light"/>
          <w:b/>
          <w:sz w:val="24"/>
          <w:szCs w:val="24"/>
        </w:rPr>
        <w:t>sulfato</w:t>
      </w:r>
      <w:proofErr w:type="spellEnd"/>
      <w:r w:rsidR="002F5707" w:rsidRPr="00D703DD">
        <w:rPr>
          <w:rFonts w:ascii="UnitOT-Light" w:hAnsi="UnitOT-Light"/>
          <w:b/>
          <w:sz w:val="24"/>
          <w:szCs w:val="24"/>
        </w:rPr>
        <w:t xml:space="preserve">) </w:t>
      </w:r>
      <w:proofErr w:type="spellStart"/>
      <w:r w:rsidR="002F5707" w:rsidRPr="00D703DD">
        <w:rPr>
          <w:rFonts w:ascii="UnitOT-Light" w:hAnsi="UnitOT-Light"/>
          <w:b/>
          <w:sz w:val="24"/>
          <w:szCs w:val="24"/>
        </w:rPr>
        <w:t>polvere</w:t>
      </w:r>
      <w:proofErr w:type="spellEnd"/>
      <w:r w:rsidR="002F5707" w:rsidRPr="00D703DD">
        <w:rPr>
          <w:rFonts w:ascii="UnitOT-Light" w:hAnsi="UnitOT-Light"/>
          <w:b/>
          <w:sz w:val="24"/>
          <w:szCs w:val="24"/>
        </w:rPr>
        <w:t xml:space="preserve"> </w:t>
      </w:r>
      <w:proofErr w:type="spellStart"/>
      <w:r w:rsidR="002F5707" w:rsidRPr="00D703DD">
        <w:rPr>
          <w:rFonts w:ascii="UnitOT-Light" w:hAnsi="UnitOT-Light"/>
          <w:b/>
          <w:sz w:val="24"/>
          <w:szCs w:val="24"/>
        </w:rPr>
        <w:t>analatoria</w:t>
      </w:r>
      <w:proofErr w:type="spellEnd"/>
      <w:r w:rsidR="002F5707" w:rsidRPr="00D703DD">
        <w:rPr>
          <w:rFonts w:ascii="UnitOT-Light" w:hAnsi="UnitOT-Light"/>
          <w:b/>
          <w:sz w:val="24"/>
          <w:szCs w:val="24"/>
        </w:rPr>
        <w:br/>
        <w:t xml:space="preserve">#P308: </w:t>
      </w:r>
      <w:r w:rsidR="008E61E2" w:rsidRPr="00D703DD">
        <w:rPr>
          <w:rFonts w:ascii="UnitOT-Light" w:hAnsi="UnitOT-Light"/>
          <w:sz w:val="24"/>
          <w:szCs w:val="24"/>
        </w:rPr>
        <w:t xml:space="preserve">A Prospective, Open-Label Study of a New Albuterol </w:t>
      </w:r>
      <w:proofErr w:type="spellStart"/>
      <w:r w:rsidR="008E61E2" w:rsidRPr="00D703DD">
        <w:rPr>
          <w:rFonts w:ascii="UnitOT-Light" w:hAnsi="UnitOT-Light"/>
          <w:sz w:val="24"/>
          <w:szCs w:val="24"/>
        </w:rPr>
        <w:t>Multidose</w:t>
      </w:r>
      <w:proofErr w:type="spellEnd"/>
      <w:r w:rsidR="008E61E2" w:rsidRPr="00D703DD">
        <w:rPr>
          <w:rFonts w:ascii="UnitOT-Light" w:hAnsi="UnitOT-Light"/>
          <w:sz w:val="24"/>
          <w:szCs w:val="24"/>
        </w:rPr>
        <w:t xml:space="preserve"> Dry Powder Inhaler </w:t>
      </w:r>
      <w:proofErr w:type="gramStart"/>
      <w:r w:rsidR="008E61E2" w:rsidRPr="00D703DD">
        <w:rPr>
          <w:rFonts w:ascii="UnitOT-Light" w:hAnsi="UnitOT-Light"/>
          <w:sz w:val="24"/>
          <w:szCs w:val="24"/>
        </w:rPr>
        <w:t>With</w:t>
      </w:r>
      <w:proofErr w:type="gramEnd"/>
      <w:r w:rsidR="008E61E2" w:rsidRPr="00D703DD">
        <w:rPr>
          <w:rFonts w:ascii="UnitOT-Light" w:hAnsi="UnitOT-Light"/>
          <w:sz w:val="24"/>
          <w:szCs w:val="24"/>
        </w:rPr>
        <w:t xml:space="preserve"> Integrated Dose Counter.</w:t>
      </w:r>
      <w:r w:rsidR="008E61E2" w:rsidRPr="00D703DD">
        <w:rPr>
          <w:rFonts w:ascii="UnitOT-Light" w:hAnsi="UnitOT-Light"/>
          <w:sz w:val="24"/>
          <w:szCs w:val="24"/>
        </w:rPr>
        <w:br/>
      </w:r>
      <w:r w:rsidR="002F5707">
        <w:rPr>
          <w:rFonts w:ascii="UnitOT-Light" w:hAnsi="UnitOT-Light"/>
          <w:sz w:val="24"/>
          <w:szCs w:val="24"/>
          <w:lang w:val="it-IT"/>
        </w:rPr>
        <w:lastRenderedPageBreak/>
        <w:t xml:space="preserve">Questo </w:t>
      </w:r>
      <w:proofErr w:type="spellStart"/>
      <w:r w:rsidR="00110898">
        <w:rPr>
          <w:rFonts w:ascii="UnitOT-Light" w:hAnsi="UnitOT-Light"/>
          <w:sz w:val="24"/>
          <w:szCs w:val="24"/>
          <w:lang w:val="it-IT"/>
        </w:rPr>
        <w:t>abstract</w:t>
      </w:r>
      <w:proofErr w:type="spellEnd"/>
      <w:r w:rsidR="002F5707">
        <w:rPr>
          <w:rFonts w:ascii="UnitOT-Light" w:hAnsi="UnitOT-Light"/>
          <w:sz w:val="24"/>
          <w:szCs w:val="24"/>
          <w:lang w:val="it-IT"/>
        </w:rPr>
        <w:t xml:space="preserve"> </w:t>
      </w:r>
      <w:r w:rsidR="00B63A7B">
        <w:rPr>
          <w:rFonts w:ascii="UnitOT-Light" w:hAnsi="UnitOT-Light"/>
          <w:sz w:val="24"/>
          <w:szCs w:val="24"/>
          <w:lang w:val="it-IT"/>
        </w:rPr>
        <w:t xml:space="preserve">è stato </w:t>
      </w:r>
      <w:r w:rsidR="002F5707">
        <w:rPr>
          <w:rFonts w:ascii="UnitOT-Light" w:hAnsi="UnitOT-Light"/>
          <w:sz w:val="24"/>
          <w:szCs w:val="24"/>
          <w:lang w:val="it-IT"/>
        </w:rPr>
        <w:t>presentato dalle ore 11.30 alle ore 13.15 in Area C, Hall A-B presso il Colorado Convention Center.</w:t>
      </w:r>
    </w:p>
    <w:p w:rsidR="00110898" w:rsidRDefault="002F5707" w:rsidP="00C70749">
      <w:pPr>
        <w:rPr>
          <w:rFonts w:ascii="UnitOT-Light" w:hAnsi="UnitOT-Light"/>
          <w:sz w:val="24"/>
          <w:szCs w:val="24"/>
          <w:lang w:val="it-IT"/>
        </w:rPr>
      </w:pPr>
      <w:proofErr w:type="spellStart"/>
      <w:r>
        <w:rPr>
          <w:rFonts w:ascii="UnitOT-Light" w:hAnsi="UnitOT-Light"/>
          <w:b/>
          <w:sz w:val="24"/>
          <w:szCs w:val="24"/>
          <w:lang w:val="it-IT"/>
        </w:rPr>
        <w:t>Fluticasone</w:t>
      </w:r>
      <w:proofErr w:type="spellEnd"/>
      <w:r>
        <w:rPr>
          <w:rFonts w:ascii="UnitOT-Light" w:hAnsi="UnitOT-Light"/>
          <w:b/>
          <w:sz w:val="24"/>
          <w:szCs w:val="24"/>
          <w:lang w:val="it-IT"/>
        </w:rPr>
        <w:t xml:space="preserve"> </w:t>
      </w:r>
      <w:proofErr w:type="spellStart"/>
      <w:r w:rsidRPr="00B63A7B">
        <w:rPr>
          <w:rFonts w:ascii="UnitOT-Light" w:hAnsi="UnitOT-Light"/>
          <w:b/>
          <w:sz w:val="24"/>
          <w:szCs w:val="24"/>
          <w:lang w:val="it-IT"/>
        </w:rPr>
        <w:t>Propi</w:t>
      </w:r>
      <w:r w:rsidR="00D703DD" w:rsidRPr="00B63A7B">
        <w:rPr>
          <w:rFonts w:ascii="UnitOT-Light" w:hAnsi="UnitOT-Light"/>
          <w:b/>
          <w:sz w:val="24"/>
          <w:szCs w:val="24"/>
          <w:lang w:val="it-IT"/>
        </w:rPr>
        <w:t>o</w:t>
      </w:r>
      <w:r w:rsidRPr="00B63A7B">
        <w:rPr>
          <w:rFonts w:ascii="UnitOT-Light" w:hAnsi="UnitOT-Light"/>
          <w:b/>
          <w:sz w:val="24"/>
          <w:szCs w:val="24"/>
          <w:lang w:val="it-IT"/>
        </w:rPr>
        <w:t>nato</w:t>
      </w:r>
      <w:proofErr w:type="spellEnd"/>
      <w:r>
        <w:rPr>
          <w:rFonts w:ascii="UnitOT-Light" w:hAnsi="UnitOT-Light"/>
          <w:b/>
          <w:sz w:val="24"/>
          <w:szCs w:val="24"/>
          <w:lang w:val="it-IT"/>
        </w:rPr>
        <w:t xml:space="preserve"> MDPI</w:t>
      </w:r>
      <w:r>
        <w:rPr>
          <w:rFonts w:ascii="UnitOT-Light" w:hAnsi="UnitOT-Light"/>
          <w:b/>
          <w:sz w:val="24"/>
          <w:szCs w:val="24"/>
          <w:lang w:val="it-IT"/>
        </w:rPr>
        <w:br/>
        <w:t xml:space="preserve">#P258: </w:t>
      </w:r>
      <w:r w:rsidR="00BA14A5" w:rsidRPr="00BA14A5">
        <w:rPr>
          <w:rFonts w:ascii="UnitOT-Light" w:hAnsi="UnitOT-Light"/>
          <w:sz w:val="24"/>
          <w:szCs w:val="24"/>
          <w:lang w:val="it-IT"/>
        </w:rPr>
        <w:t>Dose-</w:t>
      </w:r>
      <w:proofErr w:type="spellStart"/>
      <w:r w:rsidR="00BA14A5" w:rsidRPr="00BA14A5">
        <w:rPr>
          <w:rFonts w:ascii="UnitOT-Light" w:hAnsi="UnitOT-Light"/>
          <w:sz w:val="24"/>
          <w:szCs w:val="24"/>
          <w:lang w:val="it-IT"/>
        </w:rPr>
        <w:t>Ranging</w:t>
      </w:r>
      <w:proofErr w:type="spellEnd"/>
      <w:r w:rsidR="00BA14A5" w:rsidRPr="00BA14A5">
        <w:rPr>
          <w:rFonts w:ascii="UnitOT-Light" w:hAnsi="UnitOT-Light"/>
          <w:sz w:val="24"/>
          <w:szCs w:val="24"/>
          <w:lang w:val="it-IT"/>
        </w:rPr>
        <w:t xml:space="preserve"> </w:t>
      </w:r>
      <w:proofErr w:type="spellStart"/>
      <w:r w:rsidR="00BA14A5" w:rsidRPr="00BA14A5">
        <w:rPr>
          <w:rFonts w:ascii="UnitOT-Light" w:hAnsi="UnitOT-Light"/>
          <w:sz w:val="24"/>
          <w:szCs w:val="24"/>
          <w:lang w:val="it-IT"/>
        </w:rPr>
        <w:t>Study</w:t>
      </w:r>
      <w:proofErr w:type="spellEnd"/>
      <w:r w:rsidR="00BA14A5" w:rsidRPr="00BA14A5">
        <w:rPr>
          <w:rFonts w:ascii="UnitOT-Light" w:hAnsi="UnitOT-Light"/>
          <w:sz w:val="24"/>
          <w:szCs w:val="24"/>
          <w:lang w:val="it-IT"/>
        </w:rPr>
        <w:t xml:space="preserve"> of a </w:t>
      </w:r>
      <w:proofErr w:type="spellStart"/>
      <w:r w:rsidR="00BA14A5" w:rsidRPr="00BA14A5">
        <w:rPr>
          <w:rFonts w:ascii="UnitOT-Light" w:hAnsi="UnitOT-Light"/>
          <w:sz w:val="24"/>
          <w:szCs w:val="24"/>
          <w:lang w:val="it-IT"/>
        </w:rPr>
        <w:t>Fluticasone</w:t>
      </w:r>
      <w:proofErr w:type="spellEnd"/>
      <w:r w:rsidR="00BA14A5" w:rsidRPr="00BA14A5">
        <w:rPr>
          <w:rFonts w:ascii="UnitOT-Light" w:hAnsi="UnitOT-Light"/>
          <w:sz w:val="24"/>
          <w:szCs w:val="24"/>
          <w:lang w:val="it-IT"/>
        </w:rPr>
        <w:t xml:space="preserve"> </w:t>
      </w:r>
      <w:proofErr w:type="spellStart"/>
      <w:r w:rsidR="00BA14A5" w:rsidRPr="00BA14A5">
        <w:rPr>
          <w:rFonts w:ascii="UnitOT-Light" w:hAnsi="UnitOT-Light"/>
          <w:sz w:val="24"/>
          <w:szCs w:val="24"/>
          <w:lang w:val="it-IT"/>
        </w:rPr>
        <w:t>Propionate</w:t>
      </w:r>
      <w:proofErr w:type="spellEnd"/>
      <w:r w:rsidR="00BA14A5" w:rsidRPr="00BA14A5">
        <w:rPr>
          <w:rFonts w:ascii="UnitOT-Light" w:hAnsi="UnitOT-Light"/>
          <w:sz w:val="24"/>
          <w:szCs w:val="24"/>
          <w:lang w:val="it-IT"/>
        </w:rPr>
        <w:t xml:space="preserve"> </w:t>
      </w:r>
      <w:proofErr w:type="spellStart"/>
      <w:r w:rsidR="00BA14A5" w:rsidRPr="00BA14A5">
        <w:rPr>
          <w:rFonts w:ascii="UnitOT-Light" w:hAnsi="UnitOT-Light"/>
          <w:sz w:val="24"/>
          <w:szCs w:val="24"/>
          <w:lang w:val="it-IT"/>
        </w:rPr>
        <w:t>Multidose</w:t>
      </w:r>
      <w:proofErr w:type="spellEnd"/>
      <w:r w:rsidR="00BA14A5" w:rsidRPr="00BA14A5">
        <w:rPr>
          <w:rFonts w:ascii="UnitOT-Light" w:hAnsi="UnitOT-Light"/>
          <w:sz w:val="24"/>
          <w:szCs w:val="24"/>
          <w:lang w:val="it-IT"/>
        </w:rPr>
        <w:t xml:space="preserve"> Dry </w:t>
      </w:r>
      <w:proofErr w:type="spellStart"/>
      <w:r w:rsidR="00BA14A5" w:rsidRPr="00BA14A5">
        <w:rPr>
          <w:rFonts w:ascii="UnitOT-Light" w:hAnsi="UnitOT-Light"/>
          <w:sz w:val="24"/>
          <w:szCs w:val="24"/>
          <w:lang w:val="it-IT"/>
        </w:rPr>
        <w:t>Powder</w:t>
      </w:r>
      <w:proofErr w:type="spellEnd"/>
      <w:r w:rsidR="00BA14A5" w:rsidRPr="00BA14A5">
        <w:rPr>
          <w:rFonts w:ascii="UnitOT-Light" w:hAnsi="UnitOT-Light"/>
          <w:sz w:val="24"/>
          <w:szCs w:val="24"/>
          <w:lang w:val="it-IT"/>
        </w:rPr>
        <w:t xml:space="preserve"> </w:t>
      </w:r>
      <w:proofErr w:type="spellStart"/>
      <w:r w:rsidR="00BA14A5" w:rsidRPr="00BA14A5">
        <w:rPr>
          <w:rFonts w:ascii="UnitOT-Light" w:hAnsi="UnitOT-Light"/>
          <w:sz w:val="24"/>
          <w:szCs w:val="24"/>
          <w:lang w:val="it-IT"/>
        </w:rPr>
        <w:t>Inhaler</w:t>
      </w:r>
      <w:proofErr w:type="spellEnd"/>
      <w:r w:rsidR="00BA14A5" w:rsidRPr="00BA14A5">
        <w:rPr>
          <w:rFonts w:ascii="UnitOT-Light" w:hAnsi="UnitOT-Light"/>
          <w:sz w:val="24"/>
          <w:szCs w:val="24"/>
          <w:lang w:val="it-IT"/>
        </w:rPr>
        <w:t xml:space="preserve"> in </w:t>
      </w:r>
      <w:proofErr w:type="spellStart"/>
      <w:r w:rsidR="00BA14A5" w:rsidRPr="00BA14A5">
        <w:rPr>
          <w:rFonts w:ascii="UnitOT-Light" w:hAnsi="UnitOT-Light"/>
          <w:sz w:val="24"/>
          <w:szCs w:val="24"/>
          <w:lang w:val="it-IT"/>
        </w:rPr>
        <w:t>Adolescents</w:t>
      </w:r>
      <w:proofErr w:type="spellEnd"/>
      <w:r w:rsidR="00BA14A5" w:rsidRPr="00BA14A5">
        <w:rPr>
          <w:rFonts w:ascii="UnitOT-Light" w:hAnsi="UnitOT-Light"/>
          <w:sz w:val="24"/>
          <w:szCs w:val="24"/>
          <w:lang w:val="it-IT"/>
        </w:rPr>
        <w:t xml:space="preserve"> and </w:t>
      </w:r>
      <w:proofErr w:type="spellStart"/>
      <w:r w:rsidR="00BA14A5" w:rsidRPr="00BA14A5">
        <w:rPr>
          <w:rFonts w:ascii="UnitOT-Light" w:hAnsi="UnitOT-Light"/>
          <w:sz w:val="24"/>
          <w:szCs w:val="24"/>
          <w:lang w:val="it-IT"/>
        </w:rPr>
        <w:t>Adults</w:t>
      </w:r>
      <w:proofErr w:type="spellEnd"/>
      <w:r w:rsidR="00BA14A5" w:rsidRPr="00BA14A5">
        <w:rPr>
          <w:rFonts w:ascii="UnitOT-Light" w:hAnsi="UnitOT-Light"/>
          <w:sz w:val="24"/>
          <w:szCs w:val="24"/>
          <w:lang w:val="it-IT"/>
        </w:rPr>
        <w:t xml:space="preserve"> With </w:t>
      </w:r>
      <w:proofErr w:type="spellStart"/>
      <w:r w:rsidR="00BA14A5" w:rsidRPr="00BA14A5">
        <w:rPr>
          <w:rFonts w:ascii="UnitOT-Light" w:hAnsi="UnitOT-Light"/>
          <w:sz w:val="24"/>
          <w:szCs w:val="24"/>
          <w:lang w:val="it-IT"/>
        </w:rPr>
        <w:t>Asthma</w:t>
      </w:r>
      <w:proofErr w:type="spellEnd"/>
      <w:r w:rsidR="00BA14A5" w:rsidRPr="00BA14A5">
        <w:rPr>
          <w:rFonts w:ascii="UnitOT-Light" w:hAnsi="UnitOT-Light"/>
          <w:sz w:val="24"/>
          <w:szCs w:val="24"/>
          <w:lang w:val="it-IT"/>
        </w:rPr>
        <w:t xml:space="preserve"> </w:t>
      </w:r>
      <w:proofErr w:type="spellStart"/>
      <w:r w:rsidR="00BA14A5" w:rsidRPr="00BA14A5">
        <w:rPr>
          <w:rFonts w:ascii="UnitOT-Light" w:hAnsi="UnitOT-Light"/>
          <w:sz w:val="24"/>
          <w:szCs w:val="24"/>
          <w:lang w:val="it-IT"/>
        </w:rPr>
        <w:t>Uncontrolled</w:t>
      </w:r>
      <w:proofErr w:type="spellEnd"/>
      <w:r w:rsidR="00BA14A5" w:rsidRPr="00BA14A5">
        <w:rPr>
          <w:rFonts w:ascii="UnitOT-Light" w:hAnsi="UnitOT-Light"/>
          <w:sz w:val="24"/>
          <w:szCs w:val="24"/>
          <w:lang w:val="it-IT"/>
        </w:rPr>
        <w:t xml:space="preserve"> by </w:t>
      </w:r>
      <w:proofErr w:type="spellStart"/>
      <w:r w:rsidR="00BA14A5" w:rsidRPr="00BA14A5">
        <w:rPr>
          <w:rFonts w:ascii="UnitOT-Light" w:hAnsi="UnitOT-Light"/>
          <w:sz w:val="24"/>
          <w:szCs w:val="24"/>
          <w:lang w:val="it-IT"/>
        </w:rPr>
        <w:t>Noncorticosteroid</w:t>
      </w:r>
      <w:proofErr w:type="spellEnd"/>
      <w:r w:rsidR="00BA14A5" w:rsidRPr="00BA14A5">
        <w:rPr>
          <w:rFonts w:ascii="UnitOT-Light" w:hAnsi="UnitOT-Light"/>
          <w:sz w:val="24"/>
          <w:szCs w:val="24"/>
          <w:lang w:val="it-IT"/>
        </w:rPr>
        <w:t xml:space="preserve"> </w:t>
      </w:r>
      <w:proofErr w:type="spellStart"/>
      <w:r w:rsidR="00BA14A5" w:rsidRPr="00BA14A5">
        <w:rPr>
          <w:rFonts w:ascii="UnitOT-Light" w:hAnsi="UnitOT-Light"/>
          <w:sz w:val="24"/>
          <w:szCs w:val="24"/>
          <w:lang w:val="it-IT"/>
        </w:rPr>
        <w:t>Asthma</w:t>
      </w:r>
      <w:proofErr w:type="spellEnd"/>
      <w:r w:rsidR="00BA14A5" w:rsidRPr="00BA14A5">
        <w:rPr>
          <w:rFonts w:ascii="UnitOT-Light" w:hAnsi="UnitOT-Light"/>
          <w:sz w:val="24"/>
          <w:szCs w:val="24"/>
          <w:lang w:val="it-IT"/>
        </w:rPr>
        <w:t xml:space="preserve"> </w:t>
      </w:r>
      <w:proofErr w:type="spellStart"/>
      <w:r w:rsidR="00BA14A5" w:rsidRPr="00BA14A5">
        <w:rPr>
          <w:rFonts w:ascii="UnitOT-Light" w:hAnsi="UnitOT-Light"/>
          <w:sz w:val="24"/>
          <w:szCs w:val="24"/>
          <w:lang w:val="it-IT"/>
        </w:rPr>
        <w:t>Medications</w:t>
      </w:r>
      <w:proofErr w:type="spellEnd"/>
      <w:r w:rsidR="00110898">
        <w:rPr>
          <w:rFonts w:ascii="UnitOT-Light" w:hAnsi="UnitOT-Light"/>
          <w:sz w:val="24"/>
          <w:szCs w:val="24"/>
          <w:lang w:val="it-IT"/>
        </w:rPr>
        <w:br/>
        <w:t xml:space="preserve">Questo </w:t>
      </w:r>
      <w:proofErr w:type="spellStart"/>
      <w:r w:rsidR="00110898">
        <w:rPr>
          <w:rFonts w:ascii="UnitOT-Light" w:hAnsi="UnitOT-Light"/>
          <w:sz w:val="24"/>
          <w:szCs w:val="24"/>
          <w:lang w:val="it-IT"/>
        </w:rPr>
        <w:t>abstract</w:t>
      </w:r>
      <w:proofErr w:type="spellEnd"/>
      <w:r w:rsidR="00110898">
        <w:rPr>
          <w:rFonts w:ascii="UnitOT-Light" w:hAnsi="UnitOT-Light"/>
          <w:sz w:val="24"/>
          <w:szCs w:val="24"/>
          <w:lang w:val="it-IT"/>
        </w:rPr>
        <w:t xml:space="preserve"> </w:t>
      </w:r>
      <w:r w:rsidR="00B63A7B">
        <w:rPr>
          <w:rFonts w:ascii="UnitOT-Light" w:hAnsi="UnitOT-Light"/>
          <w:sz w:val="24"/>
          <w:szCs w:val="24"/>
          <w:lang w:val="it-IT"/>
        </w:rPr>
        <w:t xml:space="preserve">è stato </w:t>
      </w:r>
      <w:r w:rsidR="00110898">
        <w:rPr>
          <w:rFonts w:ascii="UnitOT-Light" w:hAnsi="UnitOT-Light"/>
          <w:sz w:val="24"/>
          <w:szCs w:val="24"/>
          <w:lang w:val="it-IT"/>
        </w:rPr>
        <w:t xml:space="preserve">presentato </w:t>
      </w:r>
      <w:r w:rsidR="002308DC">
        <w:rPr>
          <w:rFonts w:ascii="UnitOT-Light" w:hAnsi="UnitOT-Light"/>
          <w:sz w:val="24"/>
          <w:szCs w:val="24"/>
          <w:lang w:val="it-IT"/>
        </w:rPr>
        <w:t>dalle ore 11.30 alle ore 13.15 in Area C, presso il Colorado Convention Center.</w:t>
      </w:r>
    </w:p>
    <w:p w:rsidR="002308DC" w:rsidRDefault="002308DC" w:rsidP="00C70749">
      <w:pPr>
        <w:rPr>
          <w:rFonts w:ascii="UnitOT-Light" w:hAnsi="UnitOT-Light"/>
          <w:sz w:val="24"/>
          <w:szCs w:val="24"/>
          <w:lang w:val="it-IT"/>
        </w:rPr>
      </w:pPr>
      <w:proofErr w:type="spellStart"/>
      <w:r w:rsidRPr="00D703DD">
        <w:rPr>
          <w:rFonts w:ascii="UnitOT-Light" w:hAnsi="UnitOT-Light"/>
          <w:b/>
          <w:sz w:val="24"/>
          <w:szCs w:val="24"/>
        </w:rPr>
        <w:t>Reslizumab</w:t>
      </w:r>
      <w:proofErr w:type="spellEnd"/>
      <w:r w:rsidRPr="00D703DD">
        <w:rPr>
          <w:rFonts w:ascii="UnitOT-Light" w:hAnsi="UnitOT-Light"/>
          <w:b/>
          <w:sz w:val="24"/>
          <w:szCs w:val="24"/>
        </w:rPr>
        <w:br/>
        <w:t>#1025:</w:t>
      </w:r>
      <w:r w:rsidRPr="00D703DD">
        <w:rPr>
          <w:rFonts w:ascii="UnitOT-Light" w:hAnsi="UnitOT-Light"/>
          <w:sz w:val="24"/>
          <w:szCs w:val="24"/>
        </w:rPr>
        <w:t xml:space="preserve"> </w:t>
      </w:r>
      <w:r w:rsidR="003C631D" w:rsidRPr="00D703DD">
        <w:rPr>
          <w:rFonts w:ascii="UnitOT-Light" w:hAnsi="UnitOT-Light"/>
          <w:sz w:val="24"/>
          <w:szCs w:val="24"/>
        </w:rPr>
        <w:t xml:space="preserve">Long-Term Safety and Efficacy of </w:t>
      </w:r>
      <w:proofErr w:type="spellStart"/>
      <w:r w:rsidR="003C631D" w:rsidRPr="00D703DD">
        <w:rPr>
          <w:rFonts w:ascii="UnitOT-Light" w:hAnsi="UnitOT-Light"/>
          <w:sz w:val="24"/>
          <w:szCs w:val="24"/>
        </w:rPr>
        <w:t>Reslizumab</w:t>
      </w:r>
      <w:proofErr w:type="spellEnd"/>
      <w:r w:rsidR="003C631D" w:rsidRPr="00D703DD">
        <w:rPr>
          <w:rFonts w:ascii="UnitOT-Light" w:hAnsi="UnitOT-Light"/>
          <w:sz w:val="24"/>
          <w:szCs w:val="24"/>
        </w:rPr>
        <w:t xml:space="preserve"> in Patients with Inadequately Controlled, Moderate-to-Severe Asthma and Elevated Blood Eosinophil Counts: An Open-Label Extension Study.</w:t>
      </w:r>
      <w:r w:rsidRPr="00D703DD">
        <w:rPr>
          <w:rFonts w:ascii="UnitOT-Light" w:hAnsi="UnitOT-Light"/>
          <w:sz w:val="24"/>
          <w:szCs w:val="24"/>
        </w:rPr>
        <w:br/>
      </w:r>
      <w:r>
        <w:rPr>
          <w:rFonts w:ascii="UnitOT-Light" w:hAnsi="UnitOT-Light"/>
          <w:sz w:val="24"/>
          <w:szCs w:val="24"/>
          <w:lang w:val="it-IT"/>
        </w:rPr>
        <w:t xml:space="preserve">Questo late-breaking </w:t>
      </w:r>
      <w:proofErr w:type="spellStart"/>
      <w:r>
        <w:rPr>
          <w:rFonts w:ascii="UnitOT-Light" w:hAnsi="UnitOT-Light"/>
          <w:sz w:val="24"/>
          <w:szCs w:val="24"/>
          <w:lang w:val="it-IT"/>
        </w:rPr>
        <w:t>abstract</w:t>
      </w:r>
      <w:proofErr w:type="spellEnd"/>
      <w:r>
        <w:rPr>
          <w:rFonts w:ascii="UnitOT-Light" w:hAnsi="UnitOT-Light"/>
          <w:sz w:val="24"/>
          <w:szCs w:val="24"/>
          <w:lang w:val="it-IT"/>
        </w:rPr>
        <w:t xml:space="preserve"> </w:t>
      </w:r>
      <w:r w:rsidR="00B63A7B">
        <w:rPr>
          <w:rFonts w:ascii="UnitOT-Light" w:hAnsi="UnitOT-Light"/>
          <w:sz w:val="24"/>
          <w:szCs w:val="24"/>
          <w:lang w:val="it-IT"/>
        </w:rPr>
        <w:t xml:space="preserve">è stato </w:t>
      </w:r>
      <w:r>
        <w:rPr>
          <w:rFonts w:ascii="UnitOT-Light" w:hAnsi="UnitOT-Light"/>
          <w:sz w:val="24"/>
          <w:szCs w:val="24"/>
          <w:lang w:val="it-IT"/>
        </w:rPr>
        <w:t xml:space="preserve">presentato dalle ore 14.15 alle ore 16.15 nel </w:t>
      </w:r>
      <w:proofErr w:type="spellStart"/>
      <w:r>
        <w:rPr>
          <w:rFonts w:ascii="UnitOT-Light" w:hAnsi="UnitOT-Light"/>
          <w:sz w:val="24"/>
          <w:szCs w:val="24"/>
          <w:lang w:val="it-IT"/>
        </w:rPr>
        <w:t>Capitol</w:t>
      </w:r>
      <w:proofErr w:type="spellEnd"/>
      <w:r>
        <w:rPr>
          <w:rFonts w:ascii="UnitOT-Light" w:hAnsi="UnitOT-Light"/>
          <w:sz w:val="24"/>
          <w:szCs w:val="24"/>
          <w:lang w:val="it-IT"/>
        </w:rPr>
        <w:t xml:space="preserve"> </w:t>
      </w:r>
      <w:proofErr w:type="spellStart"/>
      <w:r>
        <w:rPr>
          <w:rFonts w:ascii="UnitOT-Light" w:hAnsi="UnitOT-Light"/>
          <w:sz w:val="24"/>
          <w:szCs w:val="24"/>
          <w:lang w:val="it-IT"/>
        </w:rPr>
        <w:t>Ballroom</w:t>
      </w:r>
      <w:proofErr w:type="spellEnd"/>
      <w:r>
        <w:rPr>
          <w:rFonts w:ascii="UnitOT-Light" w:hAnsi="UnitOT-Light"/>
          <w:sz w:val="24"/>
          <w:szCs w:val="24"/>
          <w:lang w:val="it-IT"/>
        </w:rPr>
        <w:t xml:space="preserve"> all’</w:t>
      </w:r>
      <w:proofErr w:type="spellStart"/>
      <w:r>
        <w:rPr>
          <w:rFonts w:ascii="UnitOT-Light" w:hAnsi="UnitOT-Light"/>
          <w:sz w:val="24"/>
          <w:szCs w:val="24"/>
          <w:lang w:val="it-IT"/>
        </w:rPr>
        <w:t>Hyatt</w:t>
      </w:r>
      <w:proofErr w:type="spellEnd"/>
      <w:r>
        <w:rPr>
          <w:rFonts w:ascii="UnitOT-Light" w:hAnsi="UnitOT-Light"/>
          <w:sz w:val="24"/>
          <w:szCs w:val="24"/>
          <w:lang w:val="it-IT"/>
        </w:rPr>
        <w:t xml:space="preserve"> </w:t>
      </w:r>
      <w:proofErr w:type="spellStart"/>
      <w:r>
        <w:rPr>
          <w:rFonts w:ascii="UnitOT-Light" w:hAnsi="UnitOT-Light"/>
          <w:sz w:val="24"/>
          <w:szCs w:val="24"/>
          <w:lang w:val="it-IT"/>
        </w:rPr>
        <w:t>Regency</w:t>
      </w:r>
      <w:proofErr w:type="spellEnd"/>
      <w:r>
        <w:rPr>
          <w:rFonts w:ascii="UnitOT-Light" w:hAnsi="UnitOT-Light"/>
          <w:sz w:val="24"/>
          <w:szCs w:val="24"/>
          <w:lang w:val="it-IT"/>
        </w:rPr>
        <w:t xml:space="preserve"> Denver presso il Colorado Convention Center.</w:t>
      </w:r>
    </w:p>
    <w:p w:rsidR="002308DC" w:rsidRDefault="00254CD4" w:rsidP="00C70749">
      <w:pPr>
        <w:rPr>
          <w:rFonts w:ascii="UnitOT-Light" w:hAnsi="UnitOT-Light"/>
          <w:sz w:val="24"/>
          <w:szCs w:val="24"/>
          <w:lang w:val="it-IT"/>
        </w:rPr>
      </w:pPr>
      <w:proofErr w:type="spellStart"/>
      <w:r>
        <w:rPr>
          <w:rFonts w:ascii="UnitOT-Light" w:hAnsi="UnitOT-Light"/>
          <w:b/>
          <w:sz w:val="24"/>
          <w:szCs w:val="24"/>
          <w:lang w:val="it-IT"/>
        </w:rPr>
        <w:t>ProAir</w:t>
      </w:r>
      <w:proofErr w:type="spellEnd"/>
      <w:r>
        <w:rPr>
          <w:rFonts w:ascii="UnitOT-Light" w:hAnsi="UnitOT-Light"/>
          <w:b/>
          <w:sz w:val="24"/>
          <w:szCs w:val="24"/>
          <w:lang w:val="it-IT"/>
        </w:rPr>
        <w:t>®</w:t>
      </w:r>
      <w:r w:rsidR="002308DC">
        <w:rPr>
          <w:rFonts w:ascii="UnitOT-Light" w:hAnsi="UnitOT-Light"/>
          <w:b/>
          <w:sz w:val="24"/>
          <w:szCs w:val="24"/>
          <w:lang w:val="it-IT"/>
        </w:rPr>
        <w:t xml:space="preserve"> </w:t>
      </w:r>
      <w:proofErr w:type="spellStart"/>
      <w:r w:rsidR="002308DC">
        <w:rPr>
          <w:rFonts w:ascii="UnitOT-Light" w:hAnsi="UnitOT-Light"/>
          <w:b/>
          <w:sz w:val="24"/>
          <w:szCs w:val="24"/>
          <w:lang w:val="it-IT"/>
        </w:rPr>
        <w:t>RespiClick</w:t>
      </w:r>
      <w:proofErr w:type="spellEnd"/>
      <w:r w:rsidR="002308DC">
        <w:rPr>
          <w:rFonts w:ascii="UnitOT-Light" w:hAnsi="UnitOT-Light"/>
          <w:b/>
          <w:sz w:val="24"/>
          <w:szCs w:val="24"/>
          <w:lang w:val="it-IT"/>
        </w:rPr>
        <w:br/>
      </w:r>
      <w:proofErr w:type="spellStart"/>
      <w:r>
        <w:rPr>
          <w:rFonts w:ascii="UnitOT-Light" w:hAnsi="UnitOT-Light"/>
          <w:sz w:val="24"/>
          <w:szCs w:val="24"/>
          <w:lang w:val="it-IT"/>
        </w:rPr>
        <w:t>ProAir</w:t>
      </w:r>
      <w:proofErr w:type="spellEnd"/>
      <w:r>
        <w:rPr>
          <w:rFonts w:ascii="UnitOT-Light" w:hAnsi="UnitOT-Light"/>
          <w:sz w:val="24"/>
          <w:szCs w:val="24"/>
          <w:lang w:val="it-IT"/>
        </w:rPr>
        <w:t>®</w:t>
      </w:r>
      <w:r w:rsidR="002308DC">
        <w:rPr>
          <w:rFonts w:ascii="UnitOT-Light" w:hAnsi="UnitOT-Light"/>
          <w:sz w:val="24"/>
          <w:szCs w:val="24"/>
          <w:lang w:val="it-IT"/>
        </w:rPr>
        <w:t xml:space="preserve"> </w:t>
      </w:r>
      <w:proofErr w:type="spellStart"/>
      <w:r w:rsidR="002308DC">
        <w:rPr>
          <w:rFonts w:ascii="UnitOT-Light" w:hAnsi="UnitOT-Light"/>
          <w:sz w:val="24"/>
          <w:szCs w:val="24"/>
          <w:lang w:val="it-IT"/>
        </w:rPr>
        <w:t>RespiClick</w:t>
      </w:r>
      <w:proofErr w:type="spellEnd"/>
      <w:r w:rsidR="002308DC">
        <w:rPr>
          <w:rFonts w:ascii="UnitOT-Light" w:hAnsi="UnitOT-Light"/>
          <w:sz w:val="24"/>
          <w:szCs w:val="24"/>
          <w:lang w:val="it-IT"/>
        </w:rPr>
        <w:t xml:space="preserve"> (</w:t>
      </w:r>
      <w:proofErr w:type="spellStart"/>
      <w:r w:rsidR="002308DC">
        <w:rPr>
          <w:rFonts w:ascii="UnitOT-Light" w:hAnsi="UnitOT-Light"/>
          <w:sz w:val="24"/>
          <w:szCs w:val="24"/>
          <w:lang w:val="it-IT"/>
        </w:rPr>
        <w:t>albuterolo</w:t>
      </w:r>
      <w:proofErr w:type="spellEnd"/>
      <w:r w:rsidR="002308DC">
        <w:rPr>
          <w:rFonts w:ascii="UnitOT-Light" w:hAnsi="UnitOT-Light"/>
          <w:sz w:val="24"/>
          <w:szCs w:val="24"/>
          <w:lang w:val="it-IT"/>
        </w:rPr>
        <w:t xml:space="preserve"> solfato) Polvere Inalante è indicata nei pazienti dai 12 anni in su per il trattamento e la prevenzione </w:t>
      </w:r>
      <w:r w:rsidR="004020F7">
        <w:rPr>
          <w:rFonts w:ascii="UnitOT-Light" w:hAnsi="UnitOT-Light"/>
          <w:sz w:val="24"/>
          <w:szCs w:val="24"/>
          <w:lang w:val="it-IT"/>
        </w:rPr>
        <w:t>della malattia ostruttiva reversibile delle vie aeree</w:t>
      </w:r>
      <w:r w:rsidR="00BF3268">
        <w:rPr>
          <w:rFonts w:ascii="UnitOT-Light" w:hAnsi="UnitOT-Light"/>
          <w:sz w:val="24"/>
          <w:szCs w:val="24"/>
          <w:lang w:val="it-IT"/>
        </w:rPr>
        <w:t xml:space="preserve"> e del broncospasmo indotto da attività fisica.</w:t>
      </w:r>
    </w:p>
    <w:p w:rsidR="000701D9" w:rsidRDefault="00043040" w:rsidP="00C70749">
      <w:pPr>
        <w:rPr>
          <w:rFonts w:ascii="UnitOT-Light" w:hAnsi="UnitOT-Light"/>
          <w:sz w:val="24"/>
          <w:szCs w:val="24"/>
          <w:lang w:val="it-IT"/>
        </w:rPr>
      </w:pPr>
      <w:r>
        <w:rPr>
          <w:rFonts w:ascii="UnitOT-Light" w:hAnsi="UnitOT-Light"/>
          <w:b/>
          <w:sz w:val="24"/>
          <w:szCs w:val="24"/>
          <w:lang w:val="it-IT"/>
        </w:rPr>
        <w:t>Importanti informazioni per la sicurezza</w:t>
      </w:r>
      <w:r>
        <w:rPr>
          <w:rFonts w:ascii="UnitOT-Light" w:hAnsi="UnitOT-Light"/>
          <w:b/>
          <w:sz w:val="24"/>
          <w:szCs w:val="24"/>
          <w:lang w:val="it-IT"/>
        </w:rPr>
        <w:br/>
      </w:r>
      <w:r w:rsidR="000701D9" w:rsidRPr="000701D9">
        <w:rPr>
          <w:rFonts w:ascii="UnitOT-Light" w:hAnsi="UnitOT-Light"/>
          <w:sz w:val="24"/>
          <w:szCs w:val="24"/>
          <w:lang w:val="it-IT"/>
        </w:rPr>
        <w:t>Non</w:t>
      </w:r>
      <w:r w:rsidR="000701D9">
        <w:rPr>
          <w:rFonts w:ascii="UnitOT-Light" w:hAnsi="UnitOT-Light"/>
          <w:sz w:val="24"/>
          <w:szCs w:val="24"/>
          <w:lang w:val="it-IT"/>
        </w:rPr>
        <w:t xml:space="preserve"> usare </w:t>
      </w:r>
      <w:proofErr w:type="spellStart"/>
      <w:r w:rsidR="00254CD4">
        <w:rPr>
          <w:rFonts w:ascii="UnitOT-Light" w:hAnsi="UnitOT-Light"/>
          <w:sz w:val="24"/>
          <w:szCs w:val="24"/>
          <w:lang w:val="it-IT"/>
        </w:rPr>
        <w:t>ProAir</w:t>
      </w:r>
      <w:proofErr w:type="spellEnd"/>
      <w:r w:rsidR="00254CD4">
        <w:rPr>
          <w:rFonts w:ascii="UnitOT-Light" w:hAnsi="UnitOT-Light"/>
          <w:sz w:val="24"/>
          <w:szCs w:val="24"/>
          <w:lang w:val="it-IT"/>
        </w:rPr>
        <w:t>®</w:t>
      </w:r>
      <w:r w:rsidR="000701D9">
        <w:rPr>
          <w:rFonts w:ascii="UnitOT-Light" w:hAnsi="UnitOT-Light"/>
          <w:sz w:val="24"/>
          <w:szCs w:val="24"/>
          <w:lang w:val="it-IT"/>
        </w:rPr>
        <w:t xml:space="preserve"> </w:t>
      </w:r>
      <w:proofErr w:type="spellStart"/>
      <w:r w:rsidR="000701D9">
        <w:rPr>
          <w:rFonts w:ascii="UnitOT-Light" w:hAnsi="UnitOT-Light"/>
          <w:sz w:val="24"/>
          <w:szCs w:val="24"/>
          <w:lang w:val="it-IT"/>
        </w:rPr>
        <w:t>Respiclick</w:t>
      </w:r>
      <w:proofErr w:type="spellEnd"/>
      <w:r w:rsidR="000701D9">
        <w:rPr>
          <w:rFonts w:ascii="UnitOT-Light" w:hAnsi="UnitOT-Light"/>
          <w:sz w:val="24"/>
          <w:szCs w:val="24"/>
          <w:lang w:val="it-IT"/>
        </w:rPr>
        <w:t xml:space="preserve"> (</w:t>
      </w:r>
      <w:proofErr w:type="spellStart"/>
      <w:r w:rsidR="000701D9">
        <w:rPr>
          <w:rFonts w:ascii="UnitOT-Light" w:hAnsi="UnitOT-Light"/>
          <w:sz w:val="24"/>
          <w:szCs w:val="24"/>
          <w:lang w:val="it-IT"/>
        </w:rPr>
        <w:t>albuterolo</w:t>
      </w:r>
      <w:proofErr w:type="spellEnd"/>
      <w:r w:rsidR="000701D9">
        <w:rPr>
          <w:rFonts w:ascii="UnitOT-Light" w:hAnsi="UnitOT-Light"/>
          <w:sz w:val="24"/>
          <w:szCs w:val="24"/>
          <w:lang w:val="it-IT"/>
        </w:rPr>
        <w:t xml:space="preserve"> solfato) Polvere Inalante se si è allergici all’</w:t>
      </w:r>
      <w:proofErr w:type="spellStart"/>
      <w:r w:rsidR="000701D9">
        <w:rPr>
          <w:rFonts w:ascii="UnitOT-Light" w:hAnsi="UnitOT-Light"/>
          <w:sz w:val="24"/>
          <w:szCs w:val="24"/>
          <w:lang w:val="it-IT"/>
        </w:rPr>
        <w:t>albuterolo</w:t>
      </w:r>
      <w:proofErr w:type="spellEnd"/>
      <w:r w:rsidR="000701D9">
        <w:rPr>
          <w:rFonts w:ascii="UnitOT-Light" w:hAnsi="UnitOT-Light"/>
          <w:sz w:val="24"/>
          <w:szCs w:val="24"/>
          <w:lang w:val="it-IT"/>
        </w:rPr>
        <w:t xml:space="preserve"> solfato, al lattosio o alle proteine del latte. </w:t>
      </w:r>
      <w:r w:rsidR="00AB547F">
        <w:rPr>
          <w:rFonts w:ascii="UnitOT-Light" w:hAnsi="UnitOT-Light"/>
          <w:sz w:val="24"/>
          <w:szCs w:val="24"/>
          <w:lang w:val="it-IT"/>
        </w:rPr>
        <w:t xml:space="preserve">Segnalate </w:t>
      </w:r>
      <w:r w:rsidR="000701D9">
        <w:rPr>
          <w:rFonts w:ascii="UnitOT-Light" w:hAnsi="UnitOT-Light"/>
          <w:sz w:val="24"/>
          <w:szCs w:val="24"/>
          <w:lang w:val="it-IT"/>
        </w:rPr>
        <w:t>al vostro medico curante eventuali arrossamenti, ematomi, eruzioni cutanee, prurito, gonfiore alle labbra o agli occhi.</w:t>
      </w:r>
      <w:r w:rsidR="000701D9">
        <w:rPr>
          <w:rFonts w:ascii="UnitOT-Light" w:hAnsi="UnitOT-Light"/>
          <w:sz w:val="24"/>
          <w:szCs w:val="24"/>
          <w:lang w:val="it-IT"/>
        </w:rPr>
        <w:br/>
        <w:t xml:space="preserve">Se i sintomi peggiorano quando assumete </w:t>
      </w:r>
      <w:proofErr w:type="spellStart"/>
      <w:r w:rsidR="00254CD4">
        <w:rPr>
          <w:rFonts w:ascii="UnitOT-Light" w:hAnsi="UnitOT-Light"/>
          <w:sz w:val="24"/>
          <w:szCs w:val="24"/>
          <w:lang w:val="it-IT"/>
        </w:rPr>
        <w:t>ProAir</w:t>
      </w:r>
      <w:proofErr w:type="spellEnd"/>
      <w:r w:rsidR="00254CD4">
        <w:rPr>
          <w:rFonts w:ascii="UnitOT-Light" w:hAnsi="UnitOT-Light"/>
          <w:sz w:val="24"/>
          <w:szCs w:val="24"/>
          <w:lang w:val="it-IT"/>
        </w:rPr>
        <w:t>®</w:t>
      </w:r>
      <w:r w:rsidR="000701D9">
        <w:rPr>
          <w:rFonts w:ascii="UnitOT-Light" w:hAnsi="UnitOT-Light"/>
          <w:sz w:val="24"/>
          <w:szCs w:val="24"/>
          <w:lang w:val="it-IT"/>
        </w:rPr>
        <w:t xml:space="preserve"> </w:t>
      </w:r>
      <w:proofErr w:type="spellStart"/>
      <w:r w:rsidR="000701D9">
        <w:rPr>
          <w:rFonts w:ascii="UnitOT-Light" w:hAnsi="UnitOT-Light"/>
          <w:sz w:val="24"/>
          <w:szCs w:val="24"/>
          <w:lang w:val="it-IT"/>
        </w:rPr>
        <w:t>RespiClick</w:t>
      </w:r>
      <w:proofErr w:type="spellEnd"/>
      <w:r w:rsidR="000701D9">
        <w:rPr>
          <w:rFonts w:ascii="UnitOT-Light" w:hAnsi="UnitOT-Light"/>
          <w:sz w:val="24"/>
          <w:szCs w:val="24"/>
          <w:lang w:val="it-IT"/>
        </w:rPr>
        <w:t>, recatevi immediatamente da un medico. Questi sintomi potrebbero indicare sia un peggioramento della vostra asma sia una reazione allergica al farmaco. Entrambe queste opzioni potrebbero essere pericolose per la vostra vita.</w:t>
      </w:r>
      <w:r w:rsidR="000701D9">
        <w:rPr>
          <w:rFonts w:ascii="UnitOT-Light" w:hAnsi="UnitOT-Light"/>
          <w:sz w:val="24"/>
          <w:szCs w:val="24"/>
          <w:lang w:val="it-IT"/>
        </w:rPr>
        <w:br/>
        <w:t xml:space="preserve">Non aumentare il dosaggio o prendere un’extra dose di </w:t>
      </w:r>
      <w:proofErr w:type="spellStart"/>
      <w:r w:rsidR="00254CD4">
        <w:rPr>
          <w:rFonts w:ascii="UnitOT-Light" w:hAnsi="UnitOT-Light"/>
          <w:sz w:val="24"/>
          <w:szCs w:val="24"/>
          <w:lang w:val="it-IT"/>
        </w:rPr>
        <w:t>ProAir</w:t>
      </w:r>
      <w:proofErr w:type="spellEnd"/>
      <w:r w:rsidR="00254CD4">
        <w:rPr>
          <w:rFonts w:ascii="UnitOT-Light" w:hAnsi="UnitOT-Light"/>
          <w:sz w:val="24"/>
          <w:szCs w:val="24"/>
          <w:lang w:val="it-IT"/>
        </w:rPr>
        <w:t>®</w:t>
      </w:r>
      <w:r w:rsidR="000701D9">
        <w:rPr>
          <w:rFonts w:ascii="UnitOT-Light" w:hAnsi="UnitOT-Light"/>
          <w:sz w:val="24"/>
          <w:szCs w:val="24"/>
          <w:lang w:val="it-IT"/>
        </w:rPr>
        <w:t xml:space="preserve"> </w:t>
      </w:r>
      <w:proofErr w:type="spellStart"/>
      <w:r w:rsidR="000701D9">
        <w:rPr>
          <w:rFonts w:ascii="UnitOT-Light" w:hAnsi="UnitOT-Light"/>
          <w:sz w:val="24"/>
          <w:szCs w:val="24"/>
          <w:lang w:val="it-IT"/>
        </w:rPr>
        <w:t>RespiClick</w:t>
      </w:r>
      <w:proofErr w:type="spellEnd"/>
      <w:r w:rsidR="000701D9">
        <w:rPr>
          <w:rFonts w:ascii="UnitOT-Light" w:hAnsi="UnitOT-Light"/>
          <w:sz w:val="24"/>
          <w:szCs w:val="24"/>
          <w:lang w:val="it-IT"/>
        </w:rPr>
        <w:t xml:space="preserve"> senza prima aver consultato il medico.</w:t>
      </w:r>
    </w:p>
    <w:p w:rsidR="004971B6" w:rsidRDefault="004971B6" w:rsidP="00C70749">
      <w:pPr>
        <w:rPr>
          <w:rFonts w:ascii="UnitOT-Light" w:hAnsi="UnitOT-Light"/>
          <w:sz w:val="24"/>
          <w:szCs w:val="24"/>
          <w:lang w:val="it-IT"/>
        </w:rPr>
      </w:pPr>
      <w:r>
        <w:rPr>
          <w:rFonts w:ascii="UnitOT-Light" w:hAnsi="UnitOT-Light"/>
          <w:sz w:val="24"/>
          <w:szCs w:val="24"/>
          <w:lang w:val="it-IT"/>
        </w:rPr>
        <w:t xml:space="preserve">Prima di assumere </w:t>
      </w:r>
      <w:proofErr w:type="spellStart"/>
      <w:r w:rsidR="00254CD4">
        <w:rPr>
          <w:rFonts w:ascii="UnitOT-Light" w:hAnsi="UnitOT-Light"/>
          <w:sz w:val="24"/>
          <w:szCs w:val="24"/>
          <w:lang w:val="it-IT"/>
        </w:rPr>
        <w:t>ProAir</w:t>
      </w:r>
      <w:proofErr w:type="spellEnd"/>
      <w:r w:rsidR="00254CD4">
        <w:rPr>
          <w:rFonts w:ascii="UnitOT-Light" w:hAnsi="UnitOT-Light"/>
          <w:sz w:val="24"/>
          <w:szCs w:val="24"/>
          <w:lang w:val="it-IT"/>
        </w:rPr>
        <w:t>®</w:t>
      </w:r>
      <w:r>
        <w:rPr>
          <w:rFonts w:ascii="UnitOT-Light" w:hAnsi="UnitOT-Light"/>
          <w:sz w:val="24"/>
          <w:szCs w:val="24"/>
          <w:lang w:val="it-IT"/>
        </w:rPr>
        <w:t xml:space="preserve"> </w:t>
      </w:r>
      <w:proofErr w:type="spellStart"/>
      <w:r>
        <w:rPr>
          <w:rFonts w:ascii="UnitOT-Light" w:hAnsi="UnitOT-Light"/>
          <w:sz w:val="24"/>
          <w:szCs w:val="24"/>
          <w:lang w:val="it-IT"/>
        </w:rPr>
        <w:t>RespiClick</w:t>
      </w:r>
      <w:proofErr w:type="spellEnd"/>
      <w:r>
        <w:rPr>
          <w:rFonts w:ascii="UnitOT-Light" w:hAnsi="UnitOT-Light"/>
          <w:sz w:val="24"/>
          <w:szCs w:val="24"/>
          <w:lang w:val="it-IT"/>
        </w:rPr>
        <w:t>, avvisare il medico se soffrite di pressione alta, diabete, cuor</w:t>
      </w:r>
      <w:r w:rsidR="00C40ED0">
        <w:rPr>
          <w:rFonts w:ascii="UnitOT-Light" w:hAnsi="UnitOT-Light"/>
          <w:sz w:val="24"/>
          <w:szCs w:val="24"/>
          <w:lang w:val="it-IT"/>
        </w:rPr>
        <w:t>e, tiroide, disturbi convulsivi</w:t>
      </w:r>
      <w:r>
        <w:rPr>
          <w:rFonts w:ascii="UnitOT-Light" w:hAnsi="UnitOT-Light"/>
          <w:sz w:val="24"/>
          <w:szCs w:val="24"/>
          <w:lang w:val="it-IT"/>
        </w:rPr>
        <w:t>, se siete in stato di gravidanza o ne state pianificando una, o se state allattando al seno o state per farlo.</w:t>
      </w:r>
    </w:p>
    <w:p w:rsidR="004D6362" w:rsidRDefault="00254CD4" w:rsidP="00C70749">
      <w:pPr>
        <w:rPr>
          <w:rFonts w:ascii="UnitOT-Light" w:hAnsi="UnitOT-Light"/>
          <w:sz w:val="24"/>
          <w:szCs w:val="24"/>
          <w:lang w:val="it-IT"/>
        </w:rPr>
      </w:pPr>
      <w:proofErr w:type="spellStart"/>
      <w:r>
        <w:rPr>
          <w:rFonts w:ascii="UnitOT-Light" w:hAnsi="UnitOT-Light"/>
          <w:sz w:val="24"/>
          <w:szCs w:val="24"/>
          <w:lang w:val="it-IT"/>
        </w:rPr>
        <w:t>ProAir</w:t>
      </w:r>
      <w:proofErr w:type="spellEnd"/>
      <w:r>
        <w:rPr>
          <w:rFonts w:ascii="UnitOT-Light" w:hAnsi="UnitOT-Light"/>
          <w:sz w:val="24"/>
          <w:szCs w:val="24"/>
          <w:lang w:val="it-IT"/>
        </w:rPr>
        <w:t>®</w:t>
      </w:r>
      <w:r w:rsidR="004971B6">
        <w:rPr>
          <w:rFonts w:ascii="UnitOT-Light" w:hAnsi="UnitOT-Light"/>
          <w:sz w:val="24"/>
          <w:szCs w:val="24"/>
          <w:lang w:val="it-IT"/>
        </w:rPr>
        <w:t xml:space="preserve"> </w:t>
      </w:r>
      <w:proofErr w:type="spellStart"/>
      <w:r w:rsidR="004971B6">
        <w:rPr>
          <w:rFonts w:ascii="UnitOT-Light" w:hAnsi="UnitOT-Light"/>
          <w:sz w:val="24"/>
          <w:szCs w:val="24"/>
          <w:lang w:val="it-IT"/>
        </w:rPr>
        <w:t>RespiClick</w:t>
      </w:r>
      <w:proofErr w:type="spellEnd"/>
      <w:r w:rsidR="004971B6">
        <w:rPr>
          <w:rFonts w:ascii="UnitOT-Light" w:hAnsi="UnitOT-Light"/>
          <w:sz w:val="24"/>
          <w:szCs w:val="24"/>
          <w:lang w:val="it-IT"/>
        </w:rPr>
        <w:t xml:space="preserve"> può causare reazioni avverse cardio correlate, come a esempio aumento del battito cardiaco, pressione</w:t>
      </w:r>
      <w:r w:rsidR="00C40ED0">
        <w:rPr>
          <w:rFonts w:ascii="UnitOT-Light" w:hAnsi="UnitOT-Light"/>
          <w:sz w:val="24"/>
          <w:szCs w:val="24"/>
          <w:lang w:val="it-IT"/>
        </w:rPr>
        <w:t xml:space="preserve"> sanguigna e/o relativi sintomi</w:t>
      </w:r>
      <w:r w:rsidR="004971B6">
        <w:rPr>
          <w:rFonts w:ascii="UnitOT-Light" w:hAnsi="UnitOT-Light"/>
          <w:sz w:val="24"/>
          <w:szCs w:val="24"/>
          <w:lang w:val="it-IT"/>
        </w:rPr>
        <w:t xml:space="preserve">. Se incorrete in sintomi correlati al cuore, il vostro medico stabilirà se la terapia con </w:t>
      </w:r>
      <w:proofErr w:type="spellStart"/>
      <w:r>
        <w:rPr>
          <w:rFonts w:ascii="UnitOT-Light" w:hAnsi="UnitOT-Light"/>
          <w:sz w:val="24"/>
          <w:szCs w:val="24"/>
          <w:lang w:val="it-IT"/>
        </w:rPr>
        <w:t>ProAir</w:t>
      </w:r>
      <w:proofErr w:type="spellEnd"/>
      <w:r>
        <w:rPr>
          <w:rFonts w:ascii="UnitOT-Light" w:hAnsi="UnitOT-Light"/>
          <w:sz w:val="24"/>
          <w:szCs w:val="24"/>
          <w:lang w:val="it-IT"/>
        </w:rPr>
        <w:t>®</w:t>
      </w:r>
      <w:r w:rsidR="004971B6">
        <w:rPr>
          <w:rFonts w:ascii="UnitOT-Light" w:hAnsi="UnitOT-Light"/>
          <w:sz w:val="24"/>
          <w:szCs w:val="24"/>
          <w:lang w:val="it-IT"/>
        </w:rPr>
        <w:t xml:space="preserve"> Respi Click è indicata per voi.</w:t>
      </w:r>
    </w:p>
    <w:p w:rsidR="004971B6" w:rsidRDefault="004971B6" w:rsidP="00C70749">
      <w:pPr>
        <w:rPr>
          <w:rFonts w:ascii="UnitOT-Light" w:hAnsi="UnitOT-Light"/>
          <w:sz w:val="24"/>
          <w:szCs w:val="24"/>
          <w:lang w:val="it-IT"/>
        </w:rPr>
      </w:pPr>
      <w:r>
        <w:rPr>
          <w:rFonts w:ascii="UnitOT-Light" w:hAnsi="UnitOT-Light"/>
          <w:sz w:val="24"/>
          <w:szCs w:val="24"/>
          <w:lang w:val="it-IT"/>
        </w:rPr>
        <w:t xml:space="preserve">Informate il vostro medico curante sulle eventuali altre terapie in corso, in particolare </w:t>
      </w:r>
      <w:r w:rsidR="000F108F">
        <w:rPr>
          <w:rFonts w:ascii="UnitOT-Light" w:hAnsi="UnitOT-Light"/>
          <w:sz w:val="24"/>
          <w:szCs w:val="24"/>
          <w:lang w:val="it-IT"/>
        </w:rPr>
        <w:t>altre medicine inalanti, altri farmaci per asma, cuore, pressione sanguigna e terapie anti depressive, alcuni farmaci potrebbero interferire con il buon funzionamento della terapia anti asma.</w:t>
      </w:r>
    </w:p>
    <w:p w:rsidR="005B2BD8" w:rsidRDefault="005B2BD8" w:rsidP="00C70749">
      <w:pPr>
        <w:rPr>
          <w:rFonts w:ascii="UnitOT-Light" w:hAnsi="UnitOT-Light"/>
          <w:sz w:val="24"/>
          <w:szCs w:val="24"/>
          <w:lang w:val="it-IT"/>
        </w:rPr>
      </w:pPr>
      <w:r>
        <w:rPr>
          <w:rFonts w:ascii="UnitOT-Light" w:hAnsi="UnitOT-Light"/>
          <w:sz w:val="24"/>
          <w:szCs w:val="24"/>
          <w:lang w:val="it-IT"/>
        </w:rPr>
        <w:lastRenderedPageBreak/>
        <w:t xml:space="preserve">Effetti indesiderati non gravi in pazienti trattati con </w:t>
      </w:r>
      <w:proofErr w:type="spellStart"/>
      <w:r w:rsidR="00254CD4">
        <w:rPr>
          <w:rFonts w:ascii="UnitOT-Light" w:hAnsi="UnitOT-Light"/>
          <w:sz w:val="24"/>
          <w:szCs w:val="24"/>
          <w:lang w:val="it-IT"/>
        </w:rPr>
        <w:t>ProAir</w:t>
      </w:r>
      <w:proofErr w:type="spellEnd"/>
      <w:r w:rsidR="00254CD4">
        <w:rPr>
          <w:rFonts w:ascii="UnitOT-Light" w:hAnsi="UnitOT-Light"/>
          <w:sz w:val="24"/>
          <w:szCs w:val="24"/>
          <w:lang w:val="it-IT"/>
        </w:rPr>
        <w:t>®</w:t>
      </w:r>
      <w:r>
        <w:rPr>
          <w:rFonts w:ascii="UnitOT-Light" w:hAnsi="UnitOT-Light"/>
          <w:sz w:val="24"/>
          <w:szCs w:val="24"/>
          <w:lang w:val="it-IT"/>
        </w:rPr>
        <w:t xml:space="preserve"> </w:t>
      </w:r>
      <w:proofErr w:type="spellStart"/>
      <w:r>
        <w:rPr>
          <w:rFonts w:ascii="UnitOT-Light" w:hAnsi="UnitOT-Light"/>
          <w:sz w:val="24"/>
          <w:szCs w:val="24"/>
          <w:lang w:val="it-IT"/>
        </w:rPr>
        <w:t>RespiClick</w:t>
      </w:r>
      <w:proofErr w:type="spellEnd"/>
      <w:r>
        <w:rPr>
          <w:rFonts w:ascii="UnitOT-Light" w:hAnsi="UnitOT-Light"/>
          <w:sz w:val="24"/>
          <w:szCs w:val="24"/>
          <w:lang w:val="it-IT"/>
        </w:rPr>
        <w:t xml:space="preserve"> evidenziati sono: mal di schiena, dolori </w:t>
      </w:r>
      <w:r w:rsidR="00C64B18">
        <w:rPr>
          <w:rFonts w:ascii="UnitOT-Light" w:hAnsi="UnitOT-Light"/>
          <w:sz w:val="24"/>
          <w:szCs w:val="24"/>
          <w:lang w:val="it-IT"/>
        </w:rPr>
        <w:t>reumatici ed articolari</w:t>
      </w:r>
      <w:r>
        <w:rPr>
          <w:rFonts w:ascii="UnitOT-Light" w:hAnsi="UnitOT-Light"/>
          <w:sz w:val="24"/>
          <w:szCs w:val="24"/>
          <w:lang w:val="it-IT"/>
        </w:rPr>
        <w:t>, mal di stomaco, mal di testa da sinusite ed infezioni alle vie urinarie.</w:t>
      </w:r>
    </w:p>
    <w:p w:rsidR="00C70749" w:rsidRPr="00A54855" w:rsidRDefault="00C70749" w:rsidP="00C70749">
      <w:pPr>
        <w:jc w:val="both"/>
        <w:rPr>
          <w:rFonts w:ascii="UnitOT-Light" w:hAnsi="UnitOT-Light"/>
          <w:b/>
          <w:bCs/>
          <w:sz w:val="24"/>
          <w:szCs w:val="24"/>
          <w:lang w:val="it-IT"/>
        </w:rPr>
      </w:pPr>
      <w:proofErr w:type="spellStart"/>
      <w:r w:rsidRPr="00A54855">
        <w:rPr>
          <w:rFonts w:ascii="UnitOT-Light" w:hAnsi="UnitOT-Light"/>
          <w:b/>
          <w:bCs/>
          <w:sz w:val="24"/>
          <w:szCs w:val="24"/>
          <w:lang w:val="it-IT"/>
        </w:rPr>
        <w:t>Teva</w:t>
      </w:r>
      <w:proofErr w:type="spellEnd"/>
      <w:r w:rsidRPr="00A54855">
        <w:rPr>
          <w:rFonts w:ascii="UnitOT-Light" w:hAnsi="UnitOT-Light"/>
          <w:b/>
          <w:bCs/>
          <w:sz w:val="24"/>
          <w:szCs w:val="24"/>
          <w:lang w:val="it-IT"/>
        </w:rPr>
        <w:t xml:space="preserve"> </w:t>
      </w:r>
    </w:p>
    <w:p w:rsidR="00C70749" w:rsidRPr="00A54855" w:rsidRDefault="00C70749" w:rsidP="00C70749">
      <w:pPr>
        <w:jc w:val="both"/>
        <w:rPr>
          <w:rFonts w:ascii="UnitOT-Light" w:hAnsi="UnitOT-Light"/>
          <w:i/>
          <w:iCs/>
          <w:sz w:val="24"/>
          <w:szCs w:val="24"/>
          <w:lang w:val="it-IT"/>
        </w:rPr>
      </w:pPr>
      <w:proofErr w:type="spellStart"/>
      <w:r w:rsidRPr="00A54855">
        <w:rPr>
          <w:rFonts w:ascii="UnitOT-Light" w:hAnsi="UnitOT-Light"/>
          <w:i/>
          <w:iCs/>
          <w:sz w:val="24"/>
          <w:szCs w:val="24"/>
          <w:lang w:val="it-IT"/>
        </w:rPr>
        <w:t>Teva</w:t>
      </w:r>
      <w:proofErr w:type="spellEnd"/>
      <w:r w:rsidRPr="00A54855">
        <w:rPr>
          <w:rFonts w:ascii="UnitOT-Light" w:hAnsi="UnitOT-Light"/>
          <w:i/>
          <w:iCs/>
          <w:sz w:val="24"/>
          <w:szCs w:val="24"/>
          <w:lang w:val="it-IT"/>
        </w:rPr>
        <w:t xml:space="preserve"> </w:t>
      </w:r>
      <w:proofErr w:type="spellStart"/>
      <w:r w:rsidRPr="00A54855">
        <w:rPr>
          <w:rFonts w:ascii="UnitOT-Light" w:hAnsi="UnitOT-Light"/>
          <w:i/>
          <w:iCs/>
          <w:sz w:val="24"/>
          <w:szCs w:val="24"/>
          <w:lang w:val="it-IT"/>
        </w:rPr>
        <w:t>Pharmaceutical</w:t>
      </w:r>
      <w:proofErr w:type="spellEnd"/>
      <w:r w:rsidRPr="00A54855">
        <w:rPr>
          <w:rFonts w:ascii="UnitOT-Light" w:hAnsi="UnitOT-Light"/>
          <w:i/>
          <w:iCs/>
          <w:sz w:val="24"/>
          <w:szCs w:val="24"/>
          <w:lang w:val="it-IT"/>
        </w:rPr>
        <w:t xml:space="preserve"> </w:t>
      </w:r>
      <w:proofErr w:type="spellStart"/>
      <w:r w:rsidRPr="00A54855">
        <w:rPr>
          <w:rFonts w:ascii="UnitOT-Light" w:hAnsi="UnitOT-Light"/>
          <w:i/>
          <w:iCs/>
          <w:sz w:val="24"/>
          <w:szCs w:val="24"/>
          <w:lang w:val="it-IT"/>
        </w:rPr>
        <w:t>Industries</w:t>
      </w:r>
      <w:proofErr w:type="spellEnd"/>
      <w:r w:rsidRPr="00A54855">
        <w:rPr>
          <w:rFonts w:ascii="UnitOT-Light" w:hAnsi="UnitOT-Light"/>
          <w:i/>
          <w:iCs/>
          <w:sz w:val="24"/>
          <w:szCs w:val="24"/>
          <w:lang w:val="it-IT"/>
        </w:rPr>
        <w:t xml:space="preserve"> Ltd. (NYSE e TASE: TEVA) è una delle principali aziende farmaceutiche mondiali che offre soluzioni di cura di alta qualità e su misura a milioni di pazienti ogni giorno. Con sede in Israele, </w:t>
      </w:r>
      <w:proofErr w:type="spellStart"/>
      <w:r w:rsidRPr="00A54855">
        <w:rPr>
          <w:rFonts w:ascii="UnitOT-Light" w:hAnsi="UnitOT-Light"/>
          <w:i/>
          <w:iCs/>
          <w:sz w:val="24"/>
          <w:szCs w:val="24"/>
          <w:lang w:val="it-IT"/>
        </w:rPr>
        <w:t>Teva</w:t>
      </w:r>
      <w:proofErr w:type="spellEnd"/>
      <w:r w:rsidRPr="00A54855">
        <w:rPr>
          <w:rFonts w:ascii="UnitOT-Light" w:hAnsi="UnitOT-Light"/>
          <w:i/>
          <w:iCs/>
          <w:sz w:val="24"/>
          <w:szCs w:val="24"/>
          <w:lang w:val="it-IT"/>
        </w:rPr>
        <w:t xml:space="preserve"> è il più grande produttore di farmaci equivalenti al mondo e grazie al suo portfolio di oltre 1.000 molecole produce una vasta gamma di farmaci equivalenti per quasi tutte le aree terapeutiche. </w:t>
      </w:r>
      <w:proofErr w:type="spellStart"/>
      <w:r w:rsidRPr="00A54855">
        <w:rPr>
          <w:rFonts w:ascii="UnitOT-Light" w:hAnsi="UnitOT-Light"/>
          <w:i/>
          <w:iCs/>
          <w:sz w:val="24"/>
          <w:szCs w:val="24"/>
          <w:lang w:val="it-IT"/>
        </w:rPr>
        <w:t>Teva</w:t>
      </w:r>
      <w:proofErr w:type="spellEnd"/>
      <w:r w:rsidRPr="00A54855">
        <w:rPr>
          <w:rFonts w:ascii="UnitOT-Light" w:hAnsi="UnitOT-Light"/>
          <w:i/>
          <w:iCs/>
          <w:sz w:val="24"/>
          <w:szCs w:val="24"/>
          <w:lang w:val="it-IT"/>
        </w:rPr>
        <w:t xml:space="preserve">, nel settore dei farmaci specialistici, è leader mondiale per i trattamenti innovativi nelle aree del Sistema Nervoso Centrale, della terapia del dolore e del sistema respiratorio. </w:t>
      </w:r>
      <w:proofErr w:type="spellStart"/>
      <w:r w:rsidRPr="00A54855">
        <w:rPr>
          <w:rFonts w:ascii="UnitOT-Light" w:hAnsi="UnitOT-Light"/>
          <w:i/>
          <w:iCs/>
          <w:sz w:val="24"/>
          <w:szCs w:val="24"/>
          <w:lang w:val="it-IT"/>
        </w:rPr>
        <w:t>Teva</w:t>
      </w:r>
      <w:proofErr w:type="spellEnd"/>
      <w:r w:rsidRPr="00A54855">
        <w:rPr>
          <w:rFonts w:ascii="UnitOT-Light" w:hAnsi="UnitOT-Light"/>
          <w:i/>
          <w:iCs/>
          <w:sz w:val="24"/>
          <w:szCs w:val="24"/>
          <w:lang w:val="it-IT"/>
        </w:rPr>
        <w:t xml:space="preserve"> integra la ricerca e lo sviluppo globale con le proprie competenze nel campo dei farmaci equivalenti e specialistici per formulare nuove risposte ai bisogni insoddisfatti dei pazienti combinando sviluppo di farmaci, dispositivi, servizi e tecnologie. Il fatturato netto di </w:t>
      </w:r>
      <w:proofErr w:type="spellStart"/>
      <w:r w:rsidRPr="00A54855">
        <w:rPr>
          <w:rFonts w:ascii="UnitOT-Light" w:hAnsi="UnitOT-Light"/>
          <w:i/>
          <w:iCs/>
          <w:sz w:val="24"/>
          <w:szCs w:val="24"/>
          <w:lang w:val="it-IT"/>
        </w:rPr>
        <w:t>Teva</w:t>
      </w:r>
      <w:proofErr w:type="spellEnd"/>
      <w:r w:rsidRPr="00A54855">
        <w:rPr>
          <w:rFonts w:ascii="UnitOT-Light" w:hAnsi="UnitOT-Light"/>
          <w:i/>
          <w:iCs/>
          <w:sz w:val="24"/>
          <w:szCs w:val="24"/>
          <w:lang w:val="it-IT"/>
        </w:rPr>
        <w:t xml:space="preserve"> ha raggiunto $ 20,3 miliardi nel 2014. Per ulteriori informazioni </w:t>
      </w:r>
      <w:hyperlink r:id="rId7" w:history="1">
        <w:r w:rsidRPr="00A54855">
          <w:rPr>
            <w:rStyle w:val="Collegamentoipertestuale"/>
            <w:rFonts w:ascii="UnitOT-Light" w:hAnsi="UnitOT-Light"/>
            <w:i/>
            <w:iCs/>
            <w:color w:val="auto"/>
            <w:sz w:val="24"/>
            <w:szCs w:val="24"/>
            <w:lang w:val="it-IT"/>
          </w:rPr>
          <w:t>www.tevapharm.com</w:t>
        </w:r>
      </w:hyperlink>
      <w:r w:rsidRPr="00A54855">
        <w:rPr>
          <w:rFonts w:ascii="UnitOT-Light" w:hAnsi="UnitOT-Light"/>
          <w:i/>
          <w:iCs/>
          <w:sz w:val="24"/>
          <w:szCs w:val="24"/>
          <w:lang w:val="it-IT"/>
        </w:rPr>
        <w:t>.</w:t>
      </w:r>
    </w:p>
    <w:p w:rsidR="00C70749" w:rsidRPr="00A54855" w:rsidRDefault="00C70749" w:rsidP="00C70749">
      <w:pPr>
        <w:rPr>
          <w:rFonts w:ascii="UnitOT-Light" w:hAnsi="UnitOT-Light"/>
          <w:sz w:val="24"/>
          <w:szCs w:val="24"/>
          <w:lang w:val="it-IT"/>
        </w:rPr>
      </w:pPr>
    </w:p>
    <w:p w:rsidR="00C70749" w:rsidRPr="003F0CDA" w:rsidRDefault="00C70749" w:rsidP="00C70749">
      <w:pPr>
        <w:jc w:val="both"/>
        <w:rPr>
          <w:rFonts w:ascii="UnitOT-Light" w:eastAsia="Times New Roman" w:hAnsi="UnitOT-Light"/>
          <w:sz w:val="24"/>
          <w:szCs w:val="24"/>
          <w:lang w:val="it-IT"/>
        </w:rPr>
      </w:pPr>
      <w:r w:rsidRPr="003F0CDA">
        <w:rPr>
          <w:rFonts w:ascii="UnitOT-Light" w:hAnsi="UnitOT-Light"/>
          <w:b/>
          <w:sz w:val="24"/>
          <w:szCs w:val="24"/>
          <w:lang w:val="it-IT"/>
        </w:rPr>
        <w:t>Dichiarazione "</w:t>
      </w:r>
      <w:proofErr w:type="spellStart"/>
      <w:r w:rsidRPr="003F0CDA">
        <w:rPr>
          <w:rFonts w:ascii="UnitOT-Light" w:hAnsi="UnitOT-Light"/>
          <w:b/>
          <w:sz w:val="24"/>
          <w:szCs w:val="24"/>
          <w:lang w:val="it-IT"/>
        </w:rPr>
        <w:t>Safe</w:t>
      </w:r>
      <w:proofErr w:type="spellEnd"/>
      <w:r w:rsidRPr="003F0CDA">
        <w:rPr>
          <w:rFonts w:ascii="UnitOT-Light" w:hAnsi="UnitOT-Light"/>
          <w:b/>
          <w:sz w:val="24"/>
          <w:szCs w:val="24"/>
          <w:lang w:val="it-IT"/>
        </w:rPr>
        <w:t xml:space="preserve"> Harbor" di </w:t>
      </w:r>
      <w:proofErr w:type="spellStart"/>
      <w:r w:rsidRPr="003F0CDA">
        <w:rPr>
          <w:rFonts w:ascii="UnitOT-Light" w:hAnsi="UnitOT-Light"/>
          <w:b/>
          <w:sz w:val="24"/>
          <w:szCs w:val="24"/>
          <w:lang w:val="it-IT"/>
        </w:rPr>
        <w:t>Teva</w:t>
      </w:r>
      <w:proofErr w:type="spellEnd"/>
      <w:r w:rsidRPr="003F0CDA">
        <w:rPr>
          <w:rFonts w:ascii="UnitOT-Light" w:hAnsi="UnitOT-Light"/>
          <w:b/>
          <w:sz w:val="24"/>
          <w:szCs w:val="24"/>
          <w:lang w:val="it-IT"/>
        </w:rPr>
        <w:t xml:space="preserve"> ai sensi della Private Securities </w:t>
      </w:r>
      <w:proofErr w:type="spellStart"/>
      <w:r w:rsidRPr="003F0CDA">
        <w:rPr>
          <w:rFonts w:ascii="UnitOT-Light" w:hAnsi="UnitOT-Light"/>
          <w:b/>
          <w:sz w:val="24"/>
          <w:szCs w:val="24"/>
          <w:lang w:val="it-IT"/>
        </w:rPr>
        <w:t>Litigation</w:t>
      </w:r>
      <w:proofErr w:type="spellEnd"/>
      <w:r w:rsidRPr="003F0CDA">
        <w:rPr>
          <w:rFonts w:ascii="UnitOT-Light" w:hAnsi="UnitOT-Light"/>
          <w:b/>
          <w:sz w:val="24"/>
          <w:szCs w:val="24"/>
          <w:lang w:val="it-IT"/>
        </w:rPr>
        <w:t xml:space="preserve"> </w:t>
      </w:r>
      <w:proofErr w:type="spellStart"/>
      <w:r w:rsidRPr="003F0CDA">
        <w:rPr>
          <w:rFonts w:ascii="UnitOT-Light" w:hAnsi="UnitOT-Light"/>
          <w:b/>
          <w:sz w:val="24"/>
          <w:szCs w:val="24"/>
          <w:lang w:val="it-IT"/>
        </w:rPr>
        <w:t>Reform</w:t>
      </w:r>
      <w:proofErr w:type="spellEnd"/>
      <w:r w:rsidRPr="003F0CDA">
        <w:rPr>
          <w:rFonts w:ascii="UnitOT-Light" w:hAnsi="UnitOT-Light"/>
          <w:b/>
          <w:sz w:val="24"/>
          <w:szCs w:val="24"/>
          <w:lang w:val="it-IT"/>
        </w:rPr>
        <w:t xml:space="preserve"> </w:t>
      </w:r>
      <w:proofErr w:type="spellStart"/>
      <w:r w:rsidRPr="003F0CDA">
        <w:rPr>
          <w:rFonts w:ascii="UnitOT-Light" w:hAnsi="UnitOT-Light"/>
          <w:b/>
          <w:sz w:val="24"/>
          <w:szCs w:val="24"/>
          <w:lang w:val="it-IT"/>
        </w:rPr>
        <w:t>Act</w:t>
      </w:r>
      <w:proofErr w:type="spellEnd"/>
      <w:r w:rsidRPr="003F0CDA">
        <w:rPr>
          <w:rFonts w:ascii="UnitOT-Light" w:hAnsi="UnitOT-Light"/>
          <w:b/>
          <w:sz w:val="24"/>
          <w:szCs w:val="24"/>
          <w:lang w:val="it-IT"/>
        </w:rPr>
        <w:t xml:space="preserve"> statunitense del 1995:</w:t>
      </w:r>
      <w:r w:rsidRPr="003F0CDA">
        <w:rPr>
          <w:rFonts w:ascii="UnitOT-Light" w:hAnsi="UnitOT-Light"/>
          <w:sz w:val="24"/>
          <w:szCs w:val="24"/>
          <w:lang w:val="it-IT"/>
        </w:rPr>
        <w:t xml:space="preserve"> </w:t>
      </w:r>
    </w:p>
    <w:p w:rsidR="00C70749" w:rsidRPr="003F0CDA" w:rsidRDefault="00C70749" w:rsidP="00C70749">
      <w:pPr>
        <w:jc w:val="both"/>
        <w:rPr>
          <w:rFonts w:ascii="UnitOT-Light" w:eastAsia="Times New Roman" w:hAnsi="UnitOT-Light"/>
          <w:i/>
          <w:iCs/>
          <w:sz w:val="24"/>
          <w:szCs w:val="24"/>
          <w:lang w:val="it-IT"/>
        </w:rPr>
      </w:pPr>
      <w:r w:rsidRPr="003F0CDA">
        <w:rPr>
          <w:rFonts w:ascii="UnitOT-Light" w:hAnsi="UnitOT-Light"/>
          <w:i/>
          <w:sz w:val="24"/>
          <w:szCs w:val="24"/>
          <w:lang w:val="it-IT"/>
        </w:rPr>
        <w:t>Questo comunicato contiene dichiarazioni di previsione, basate su opinioni e risultati attesi dalla direzione della società, che implicano una serie di rischi noti e sconosciuti e incertezze che possono far sì che i nostri risultati o performance futuri siano significativamente diversi dai risultati e dalle performance espressi o desunti da tali dichiarazioni di previsione. Fattori importanti che potrebbero causare o contribuire a queste differenze includono rischi concernenti: la nostra capacità di sviluppare e commercializzare altri prodotti farmaceutici; la concorrenza per i prodotti più innovativi, specialmente COPAXONE</w:t>
      </w:r>
      <w:r w:rsidRPr="003F0CDA">
        <w:rPr>
          <w:rFonts w:ascii="UnitOT-Light" w:hAnsi="UnitOT-Light"/>
          <w:i/>
          <w:sz w:val="24"/>
          <w:szCs w:val="24"/>
          <w:vertAlign w:val="superscript"/>
          <w:lang w:val="it-IT"/>
        </w:rPr>
        <w:t>®</w:t>
      </w:r>
      <w:r w:rsidRPr="003F0CDA">
        <w:rPr>
          <w:rFonts w:ascii="UnitOT-Light" w:hAnsi="UnitOT-Light"/>
          <w:i/>
          <w:sz w:val="24"/>
          <w:szCs w:val="24"/>
          <w:lang w:val="it-IT"/>
        </w:rPr>
        <w:t xml:space="preserve"> (compresa la concorrenza derivante dall’introduzione di farmaci innovativi alternativi somministrati oralmente nonché da potenziali farmaci equivalenti); la possibilità di ammende o altre sanzioni materiali e altre conseguenze negative risultanti dalle indagini di conformità al </w:t>
      </w:r>
      <w:proofErr w:type="spellStart"/>
      <w:r w:rsidRPr="003F0CDA">
        <w:rPr>
          <w:rFonts w:ascii="UnitOT-Light" w:hAnsi="UnitOT-Light"/>
          <w:i/>
          <w:sz w:val="24"/>
          <w:szCs w:val="24"/>
          <w:lang w:val="it-IT"/>
        </w:rPr>
        <w:t>Foreign</w:t>
      </w:r>
      <w:proofErr w:type="spellEnd"/>
      <w:r w:rsidRPr="003F0CDA">
        <w:rPr>
          <w:rFonts w:ascii="UnitOT-Light" w:hAnsi="UnitOT-Light"/>
          <w:i/>
          <w:sz w:val="24"/>
          <w:szCs w:val="24"/>
          <w:lang w:val="it-IT"/>
        </w:rPr>
        <w:t xml:space="preserve"> </w:t>
      </w:r>
      <w:proofErr w:type="spellStart"/>
      <w:r w:rsidRPr="003F0CDA">
        <w:rPr>
          <w:rFonts w:ascii="UnitOT-Light" w:hAnsi="UnitOT-Light"/>
          <w:i/>
          <w:sz w:val="24"/>
          <w:szCs w:val="24"/>
          <w:lang w:val="it-IT"/>
        </w:rPr>
        <w:t>Corrupt</w:t>
      </w:r>
      <w:proofErr w:type="spellEnd"/>
      <w:r w:rsidRPr="003F0CDA">
        <w:rPr>
          <w:rFonts w:ascii="UnitOT-Light" w:hAnsi="UnitOT-Light"/>
          <w:i/>
          <w:sz w:val="24"/>
          <w:szCs w:val="24"/>
          <w:lang w:val="it-IT"/>
        </w:rPr>
        <w:t xml:space="preserve"> </w:t>
      </w:r>
      <w:proofErr w:type="spellStart"/>
      <w:r w:rsidRPr="003F0CDA">
        <w:rPr>
          <w:rFonts w:ascii="UnitOT-Light" w:hAnsi="UnitOT-Light"/>
          <w:i/>
          <w:sz w:val="24"/>
          <w:szCs w:val="24"/>
          <w:lang w:val="it-IT"/>
        </w:rPr>
        <w:t>Practices</w:t>
      </w:r>
      <w:proofErr w:type="spellEnd"/>
      <w:r w:rsidRPr="003F0CDA">
        <w:rPr>
          <w:rFonts w:ascii="UnitOT-Light" w:hAnsi="UnitOT-Light"/>
          <w:i/>
          <w:sz w:val="24"/>
          <w:szCs w:val="24"/>
          <w:lang w:val="it-IT"/>
        </w:rPr>
        <w:t xml:space="preserve"> </w:t>
      </w:r>
      <w:proofErr w:type="spellStart"/>
      <w:r w:rsidRPr="003F0CDA">
        <w:rPr>
          <w:rFonts w:ascii="UnitOT-Light" w:hAnsi="UnitOT-Light"/>
          <w:i/>
          <w:sz w:val="24"/>
          <w:szCs w:val="24"/>
          <w:lang w:val="it-IT"/>
        </w:rPr>
        <w:t>Act</w:t>
      </w:r>
      <w:proofErr w:type="spellEnd"/>
      <w:r w:rsidRPr="003F0CDA">
        <w:rPr>
          <w:rFonts w:ascii="UnitOT-Light" w:hAnsi="UnitOT-Light"/>
          <w:i/>
          <w:sz w:val="24"/>
          <w:szCs w:val="24"/>
          <w:lang w:val="it-IT"/>
        </w:rPr>
        <w:t xml:space="preserve"> attualmente in corso e altri aspetti ad esse connessi; la nostra capacità di raggiungere i risultati previsti attraverso l'attività di ricerca e sviluppo nella nostra pipeline di specializzazione e per altri prodotti; la nostra capacità di ridurre le spese operative nella misura e nell'arco di tempo previsti dal nostro programma di riduzione della spesa; la nostra capacità di identificare potenziali acquisizioni o opportunità di </w:t>
      </w:r>
      <w:proofErr w:type="spellStart"/>
      <w:r w:rsidRPr="003F0CDA">
        <w:rPr>
          <w:rFonts w:ascii="UnitOT-Light" w:hAnsi="UnitOT-Light"/>
          <w:i/>
          <w:sz w:val="24"/>
          <w:szCs w:val="24"/>
          <w:lang w:val="it-IT"/>
        </w:rPr>
        <w:t>licensing</w:t>
      </w:r>
      <w:proofErr w:type="spellEnd"/>
      <w:r w:rsidRPr="003F0CDA">
        <w:rPr>
          <w:rFonts w:ascii="UnitOT-Light" w:hAnsi="UnitOT-Light"/>
          <w:i/>
          <w:sz w:val="24"/>
          <w:szCs w:val="24"/>
          <w:lang w:val="it-IT"/>
        </w:rPr>
        <w:t xml:space="preserve"> e di presentare offerte di successo, o di completare e integrare le acquisizioni; la misura in cui qualsiasi problema legato alla produzione o al controllo di qualità possa danneggiare la nostra reputazione di produttori di alto livello richiedendo un intervento costoso; la nostra potenziale esposizione a richieste di risarcimento nella misura in cui i prodotti non siano coperti da assicurazione; un maggiore controllo da parte del governo sia negli Stati Uniti sia in Europa dei nostri accordi con le aziende produttrici di farmaci </w:t>
      </w:r>
      <w:proofErr w:type="spellStart"/>
      <w:r w:rsidRPr="003F0CDA">
        <w:rPr>
          <w:rFonts w:ascii="UnitOT-Light" w:hAnsi="UnitOT-Light"/>
          <w:i/>
          <w:sz w:val="24"/>
          <w:szCs w:val="24"/>
          <w:lang w:val="it-IT"/>
        </w:rPr>
        <w:t>branded</w:t>
      </w:r>
      <w:proofErr w:type="spellEnd"/>
      <w:r w:rsidRPr="003F0CDA">
        <w:rPr>
          <w:rFonts w:ascii="UnitOT-Light" w:hAnsi="UnitOT-Light"/>
          <w:i/>
          <w:sz w:val="24"/>
          <w:szCs w:val="24"/>
          <w:lang w:val="it-IT"/>
        </w:rPr>
        <w:t xml:space="preserve">; la nostra esposizione a fluttuazioni di valuta e restrizioni così come a rischi di credito; l'efficacia dei nostri brevetti, degli accordi di riservatezza e delle altre misure di tutela della proprietà intellettuale </w:t>
      </w:r>
      <w:r w:rsidRPr="003F0CDA">
        <w:rPr>
          <w:rFonts w:ascii="UnitOT-Light" w:hAnsi="UnitOT-Light"/>
          <w:i/>
          <w:sz w:val="24"/>
          <w:szCs w:val="24"/>
          <w:lang w:val="it-IT"/>
        </w:rPr>
        <w:lastRenderedPageBreak/>
        <w:t xml:space="preserve">delle nostre specialità farmaceutiche; gli effetti delle riforme nella regolamentazione sanitaria e nella determinazione dei prezzi, dei rimborsi e delle coperture nel settore farmaceutico; indagini governative sulle pratiche di vendita e commercializzazione, in particolare per le nostre specialità farmaceutiche; le incertezze derivanti dai recenti avvicendamenti nella direzione della società; gli effetti di una maggiore disponibilità dei mercati di capitale e del nostro conseguente affidamento sull'accesso a essi; l’impossibilità di assumere o mantenere personale qualificato o di attrarre ulteriori talenti direttivi e manageriali; gli effetti negativi dell'instabilità politica o economica; conflitti o atti di terrorismo che coinvolgono la nostra attività a livello mondiale; interruzioni nella catena di approvvigionamento o problemi con i nostri sistemi informativi interni o di terzi che incidono negativamente sui nostri complessi processi di produzione; guasti di grave entità del nostro sistema informatico o violazioni della sicurezza dei dati; concorrenza per i nostri medicinali equivalenti, proveniente sia da altre aziende farmaceutiche che dall'aumento delle pressioni sui prezzi da parte del governo; la concorrenza nella produzione delle nostre specialità farmaceutiche da parte di società dotate di maggiori risorse e capacità; diminuzione delle opportunità di ottenere l'esclusiva sul mercato statunitense per alcuni nuovi importanti farmaci equivalenti; la potenziale responsabilità negli Stati Uniti, Europa e altri mercati derivante dalla vendita di farmaci equivalenti prima di una risoluzione definitiva di contenziosi sui brevetti in sospeso; eventuali omissioni nel rispetto degli obblighi di report e pagamento nei confronti di Medicare e </w:t>
      </w:r>
      <w:proofErr w:type="spellStart"/>
      <w:r w:rsidRPr="003F0CDA">
        <w:rPr>
          <w:rFonts w:ascii="UnitOT-Light" w:hAnsi="UnitOT-Light"/>
          <w:i/>
          <w:sz w:val="24"/>
          <w:szCs w:val="24"/>
          <w:lang w:val="it-IT"/>
        </w:rPr>
        <w:t>Medicaid</w:t>
      </w:r>
      <w:proofErr w:type="spellEnd"/>
      <w:r w:rsidRPr="003F0CDA">
        <w:rPr>
          <w:rFonts w:ascii="UnitOT-Light" w:hAnsi="UnitOT-Light"/>
          <w:i/>
          <w:sz w:val="24"/>
          <w:szCs w:val="24"/>
          <w:lang w:val="it-IT"/>
        </w:rPr>
        <w:t xml:space="preserve">; l'impatto del consolidamento continuo dei nostri distributori e clienti; potenziali perdite significative di valore di attività immateriali e di avviamento; potenziali aumenti del debito d'imposta; l'effetto sulla nostra aliquota fiscale effettiva complessiva della risoluzione o della scadenza di programmi governativi o di benefici fiscali, o di cambiamenti nelle nostre attività; eventuali modifiche alle leggi brevettuali che possono influire negativamente sulla capacità di produrre i nostri farmaci nella maniera più efficiente; i rischi ambientali e altri fattori discussi nella nostra Relazione annuale, sul modello 20-F, per l'esercizio chiuso il 31 dicembre 2013, e negli altri documenti depositati presso la U.S. Securities and Exchange </w:t>
      </w:r>
      <w:proofErr w:type="spellStart"/>
      <w:r w:rsidRPr="003F0CDA">
        <w:rPr>
          <w:rFonts w:ascii="UnitOT-Light" w:hAnsi="UnitOT-Light"/>
          <w:i/>
          <w:sz w:val="24"/>
          <w:szCs w:val="24"/>
          <w:lang w:val="it-IT"/>
        </w:rPr>
        <w:t>Commission</w:t>
      </w:r>
      <w:proofErr w:type="spellEnd"/>
      <w:r w:rsidRPr="003F0CDA">
        <w:rPr>
          <w:rFonts w:ascii="UnitOT-Light" w:hAnsi="UnitOT-Light"/>
          <w:i/>
          <w:sz w:val="24"/>
          <w:szCs w:val="24"/>
          <w:lang w:val="it-IT"/>
        </w:rPr>
        <w:t>. Le dichiarazioni di previsione si riferiscono esclusivamente alla situazione in essere alla data in cui sono rilasciate; non ci assumiamo alcun obbligo di aggiornare o rivedere le dichiarazioni di previsione in conseguenza di nuovi dati, di eventi futuri o altro.</w:t>
      </w:r>
      <w:r w:rsidRPr="003F0CDA">
        <w:rPr>
          <w:rFonts w:ascii="UnitOT-Light" w:hAnsi="UnitOT-Light"/>
          <w:sz w:val="24"/>
          <w:szCs w:val="24"/>
          <w:lang w:val="it-IT"/>
        </w:rPr>
        <w:t xml:space="preserve"> </w:t>
      </w:r>
    </w:p>
    <w:p w:rsidR="00C70749" w:rsidRPr="003F0CDA" w:rsidRDefault="00C70749" w:rsidP="00C70749">
      <w:pPr>
        <w:pStyle w:val="Didefault"/>
        <w:rPr>
          <w:rFonts w:ascii="UnitOT-Light" w:hAnsi="UnitOT-Light"/>
          <w:color w:val="auto"/>
          <w:sz w:val="24"/>
          <w:szCs w:val="24"/>
          <w:lang w:val="it-IT"/>
        </w:rPr>
      </w:pPr>
    </w:p>
    <w:p w:rsidR="00C70749" w:rsidRPr="003F0CDA" w:rsidRDefault="00C70749" w:rsidP="00C70749">
      <w:pPr>
        <w:spacing w:after="0" w:line="240" w:lineRule="auto"/>
        <w:rPr>
          <w:rFonts w:ascii="UnitOT-Light" w:hAnsi="UnitOT-Light"/>
          <w:sz w:val="24"/>
          <w:szCs w:val="24"/>
          <w:lang w:val="it-IT"/>
        </w:rPr>
      </w:pPr>
    </w:p>
    <w:p w:rsidR="00C70749" w:rsidRPr="003F0CDA" w:rsidRDefault="00C70749" w:rsidP="00C70749">
      <w:pPr>
        <w:spacing w:after="0" w:line="240" w:lineRule="auto"/>
        <w:rPr>
          <w:rFonts w:ascii="UnitOT-Light" w:hAnsi="UnitOT-Light"/>
          <w:sz w:val="24"/>
          <w:szCs w:val="24"/>
          <w:lang w:val="it-IT"/>
        </w:rPr>
      </w:pPr>
    </w:p>
    <w:p w:rsidR="00C70749" w:rsidRPr="003F0CDA" w:rsidRDefault="00C70749" w:rsidP="00C70749">
      <w:pPr>
        <w:spacing w:after="0" w:line="240" w:lineRule="auto"/>
        <w:rPr>
          <w:rFonts w:ascii="UnitOT-Light" w:hAnsi="UnitOT-Light"/>
          <w:b/>
          <w:sz w:val="24"/>
          <w:szCs w:val="24"/>
          <w:lang w:val="it-IT"/>
        </w:rPr>
      </w:pPr>
      <w:r w:rsidRPr="003F0CDA">
        <w:rPr>
          <w:rFonts w:ascii="UnitOT-Light" w:hAnsi="UnitOT-Light"/>
          <w:b/>
          <w:sz w:val="24"/>
          <w:szCs w:val="24"/>
          <w:lang w:val="it-IT"/>
        </w:rPr>
        <w:t>Per informazioni</w:t>
      </w:r>
    </w:p>
    <w:p w:rsidR="00C70749" w:rsidRPr="003F0CDA" w:rsidRDefault="00C70749" w:rsidP="00C70749">
      <w:pPr>
        <w:spacing w:after="0" w:line="240" w:lineRule="auto"/>
        <w:rPr>
          <w:rFonts w:ascii="UnitOT-Light" w:hAnsi="UnitOT-Light"/>
          <w:sz w:val="24"/>
          <w:szCs w:val="24"/>
          <w:lang w:val="it-IT"/>
        </w:rPr>
      </w:pPr>
      <w:r w:rsidRPr="003F0CDA">
        <w:rPr>
          <w:rFonts w:ascii="UnitOT-Light" w:hAnsi="UnitOT-Light"/>
          <w:sz w:val="24"/>
          <w:szCs w:val="24"/>
          <w:lang w:val="it-IT"/>
        </w:rPr>
        <w:t xml:space="preserve">Ufficio stampa </w:t>
      </w:r>
      <w:r w:rsidRPr="003F0CDA">
        <w:rPr>
          <w:rFonts w:ascii="UnitOT-Light" w:hAnsi="UnitOT-Light"/>
          <w:b/>
          <w:noProof/>
          <w:sz w:val="24"/>
          <w:szCs w:val="24"/>
          <w:lang w:val="it-IT" w:eastAsia="it-IT"/>
        </w:rPr>
        <w:drawing>
          <wp:inline distT="0" distB="0" distL="0" distR="0">
            <wp:extent cx="1192530" cy="151130"/>
            <wp:effectExtent l="19050" t="0" r="762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192530" cy="151130"/>
                    </a:xfrm>
                    <a:prstGeom prst="rect">
                      <a:avLst/>
                    </a:prstGeom>
                    <a:noFill/>
                    <a:ln w="9525">
                      <a:noFill/>
                      <a:miter lim="800000"/>
                      <a:headEnd/>
                      <a:tailEnd/>
                    </a:ln>
                  </pic:spPr>
                </pic:pic>
              </a:graphicData>
            </a:graphic>
          </wp:inline>
        </w:drawing>
      </w:r>
      <w:r w:rsidRPr="003F0CDA">
        <w:rPr>
          <w:rFonts w:ascii="UnitOT-Light" w:hAnsi="UnitOT-Light"/>
          <w:sz w:val="24"/>
          <w:szCs w:val="24"/>
          <w:lang w:val="it-IT"/>
        </w:rPr>
        <w:t>tel. 02 2042491</w:t>
      </w:r>
    </w:p>
    <w:p w:rsidR="00C70749" w:rsidRPr="003F0CDA" w:rsidRDefault="00C70749" w:rsidP="00C70749">
      <w:pPr>
        <w:spacing w:after="0" w:line="240" w:lineRule="auto"/>
        <w:rPr>
          <w:rFonts w:ascii="UnitOT-Light" w:hAnsi="UnitOT-Light"/>
          <w:sz w:val="24"/>
          <w:szCs w:val="24"/>
          <w:lang w:val="it-IT"/>
        </w:rPr>
      </w:pPr>
      <w:r w:rsidRPr="003F0CDA">
        <w:rPr>
          <w:rFonts w:ascii="UnitOT-Light" w:hAnsi="UnitOT-Light"/>
          <w:sz w:val="24"/>
          <w:szCs w:val="24"/>
          <w:lang w:val="it-IT"/>
        </w:rPr>
        <w:t xml:space="preserve">Debora Orrico – d.orrico@vrelations.it – </w:t>
      </w:r>
      <w:proofErr w:type="spellStart"/>
      <w:r w:rsidRPr="003F0CDA">
        <w:rPr>
          <w:rFonts w:ascii="UnitOT-Light" w:hAnsi="UnitOT-Light"/>
          <w:sz w:val="24"/>
          <w:szCs w:val="24"/>
          <w:lang w:val="it-IT"/>
        </w:rPr>
        <w:t>mob</w:t>
      </w:r>
      <w:proofErr w:type="spellEnd"/>
      <w:r w:rsidRPr="003F0CDA">
        <w:rPr>
          <w:rFonts w:ascii="UnitOT-Light" w:hAnsi="UnitOT-Light"/>
          <w:sz w:val="24"/>
          <w:szCs w:val="24"/>
          <w:lang w:val="it-IT"/>
        </w:rPr>
        <w:t>. 366-6366953</w:t>
      </w:r>
    </w:p>
    <w:p w:rsidR="00C70749" w:rsidRPr="003F0CDA" w:rsidRDefault="00C70749" w:rsidP="00C70749">
      <w:pPr>
        <w:spacing w:after="0" w:line="240" w:lineRule="auto"/>
        <w:rPr>
          <w:rFonts w:ascii="UnitOT-Light" w:hAnsi="UnitOT-Light"/>
          <w:sz w:val="24"/>
          <w:szCs w:val="24"/>
          <w:lang w:val="it-IT"/>
        </w:rPr>
      </w:pPr>
      <w:r w:rsidRPr="003F0CDA">
        <w:rPr>
          <w:rFonts w:ascii="UnitOT-Light" w:hAnsi="UnitOT-Light"/>
          <w:sz w:val="24"/>
          <w:szCs w:val="24"/>
          <w:lang w:val="it-IT"/>
        </w:rPr>
        <w:t>Silvia Coltellaro – s.coltellaro@vrelations.it</w:t>
      </w:r>
    </w:p>
    <w:p w:rsidR="00C70749" w:rsidRPr="003F0CDA" w:rsidRDefault="0011513F" w:rsidP="00C70749">
      <w:pPr>
        <w:spacing w:after="0" w:line="240" w:lineRule="auto"/>
        <w:rPr>
          <w:rFonts w:ascii="UnitOT-Light" w:hAnsi="UnitOT-Light"/>
          <w:sz w:val="24"/>
          <w:szCs w:val="24"/>
          <w:lang w:val="it-IT"/>
        </w:rPr>
      </w:pPr>
      <w:r>
        <w:rPr>
          <w:rFonts w:ascii="UnitOT-Light" w:hAnsi="UnitOT-Light"/>
          <w:sz w:val="24"/>
          <w:szCs w:val="24"/>
          <w:lang w:val="it-IT"/>
        </w:rPr>
        <w:t>Alessandra Perotta – a.</w:t>
      </w:r>
      <w:r w:rsidR="00813553">
        <w:rPr>
          <w:rFonts w:ascii="UnitOT-Light" w:hAnsi="UnitOT-Light"/>
          <w:sz w:val="24"/>
          <w:szCs w:val="24"/>
          <w:lang w:val="it-IT"/>
        </w:rPr>
        <w:t xml:space="preserve">perotta@vrelations.it </w:t>
      </w:r>
      <w:r w:rsidR="00044852">
        <w:rPr>
          <w:rFonts w:ascii="UnitOT-Light" w:hAnsi="UnitOT-Light"/>
          <w:sz w:val="24"/>
          <w:szCs w:val="24"/>
          <w:lang w:val="it-IT"/>
        </w:rPr>
        <w:t xml:space="preserve">– </w:t>
      </w:r>
      <w:proofErr w:type="spellStart"/>
      <w:r w:rsidR="00044852">
        <w:rPr>
          <w:rFonts w:ascii="UnitOT-Light" w:hAnsi="UnitOT-Light"/>
          <w:sz w:val="24"/>
          <w:szCs w:val="24"/>
          <w:lang w:val="it-IT"/>
        </w:rPr>
        <w:t>mob</w:t>
      </w:r>
      <w:proofErr w:type="spellEnd"/>
      <w:r w:rsidR="00044852">
        <w:rPr>
          <w:rFonts w:ascii="UnitOT-Light" w:hAnsi="UnitOT-Light"/>
          <w:sz w:val="24"/>
          <w:szCs w:val="24"/>
          <w:lang w:val="it-IT"/>
        </w:rPr>
        <w:t>. 366-7663847</w:t>
      </w:r>
    </w:p>
    <w:p w:rsidR="00C70749" w:rsidRPr="003F0CDA" w:rsidRDefault="00C70749" w:rsidP="00C70749">
      <w:pPr>
        <w:rPr>
          <w:rFonts w:ascii="UnitOT-Light" w:hAnsi="UnitOT-Light"/>
          <w:sz w:val="24"/>
          <w:szCs w:val="24"/>
          <w:lang w:val="it-IT"/>
        </w:rPr>
      </w:pPr>
    </w:p>
    <w:p w:rsidR="00F77BAE" w:rsidRPr="00955143" w:rsidRDefault="00F77BAE" w:rsidP="00C70749">
      <w:pPr>
        <w:pStyle w:val="Didefault"/>
        <w:jc w:val="center"/>
        <w:rPr>
          <w:rFonts w:ascii="UnitOT-Light" w:hAnsi="UnitOT-Light"/>
          <w:sz w:val="18"/>
          <w:szCs w:val="18"/>
          <w:lang w:val="it-IT"/>
        </w:rPr>
      </w:pPr>
    </w:p>
    <w:sectPr w:rsidR="00F77BAE" w:rsidRPr="00955143" w:rsidSect="00147A5D">
      <w:foot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EF" w:rsidRDefault="00476AEF" w:rsidP="007F4819">
      <w:pPr>
        <w:spacing w:after="0" w:line="240" w:lineRule="auto"/>
      </w:pPr>
      <w:r>
        <w:separator/>
      </w:r>
    </w:p>
  </w:endnote>
  <w:endnote w:type="continuationSeparator" w:id="0">
    <w:p w:rsidR="00476AEF" w:rsidRDefault="00476AEF" w:rsidP="007F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tOT-Bold">
    <w:panose1 w:val="00000000000000000000"/>
    <w:charset w:val="00"/>
    <w:family w:val="modern"/>
    <w:notTrueType/>
    <w:pitch w:val="variable"/>
    <w:sig w:usb0="800000AF" w:usb1="4000206B" w:usb2="00000000" w:usb3="00000000" w:csb0="00000001" w:csb1="00000000"/>
  </w:font>
  <w:font w:name="UnitOT-Light">
    <w:panose1 w:val="02010504040101020104"/>
    <w:charset w:val="00"/>
    <w:family w:val="modern"/>
    <w:notTrueType/>
    <w:pitch w:val="variable"/>
    <w:sig w:usb0="800000AF" w:usb1="4000206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7105"/>
      <w:docPartObj>
        <w:docPartGallery w:val="Page Numbers (Bottom of Page)"/>
        <w:docPartUnique/>
      </w:docPartObj>
    </w:sdtPr>
    <w:sdtEndPr/>
    <w:sdtContent>
      <w:p w:rsidR="000A37A4" w:rsidRDefault="008B1552">
        <w:pPr>
          <w:pStyle w:val="Pidipagina"/>
          <w:jc w:val="right"/>
        </w:pPr>
        <w:r>
          <w:fldChar w:fldCharType="begin"/>
        </w:r>
        <w:r w:rsidR="001113CF">
          <w:instrText xml:space="preserve"> PAGE   \* MERGEFORMAT </w:instrText>
        </w:r>
        <w:r>
          <w:fldChar w:fldCharType="separate"/>
        </w:r>
        <w:r w:rsidR="00714FE9">
          <w:rPr>
            <w:noProof/>
          </w:rPr>
          <w:t>4</w:t>
        </w:r>
        <w:r>
          <w:rPr>
            <w:noProof/>
          </w:rPr>
          <w:fldChar w:fldCharType="end"/>
        </w:r>
      </w:p>
    </w:sdtContent>
  </w:sdt>
  <w:p w:rsidR="000A37A4" w:rsidRDefault="000A37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EF" w:rsidRDefault="00476AEF" w:rsidP="007F4819">
      <w:pPr>
        <w:spacing w:after="0" w:line="240" w:lineRule="auto"/>
      </w:pPr>
      <w:r>
        <w:separator/>
      </w:r>
    </w:p>
  </w:footnote>
  <w:footnote w:type="continuationSeparator" w:id="0">
    <w:p w:rsidR="00476AEF" w:rsidRDefault="00476AEF" w:rsidP="007F4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7A4" w:rsidRDefault="000A37A4">
    <w:pPr>
      <w:pStyle w:val="Intestazione"/>
    </w:pPr>
    <w:r w:rsidRPr="00147A5D">
      <w:rPr>
        <w:noProof/>
        <w:lang w:val="it-IT" w:eastAsia="it-IT"/>
      </w:rPr>
      <w:drawing>
        <wp:inline distT="0" distB="0" distL="0" distR="0">
          <wp:extent cx="1526540" cy="683895"/>
          <wp:effectExtent l="19050" t="0" r="0" b="0"/>
          <wp:docPr id="7" name="Immagine 4" descr="C:\Users\GPapale\Desktop\LOGHI\Logo Teva x comunicati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Papale\Desktop\LOGHI\Logo Teva x comunicati ok.JPG"/>
                  <pic:cNvPicPr>
                    <a:picLocks noChangeAspect="1" noChangeArrowheads="1"/>
                  </pic:cNvPicPr>
                </pic:nvPicPr>
                <pic:blipFill>
                  <a:blip r:embed="rId1"/>
                  <a:srcRect/>
                  <a:stretch>
                    <a:fillRect/>
                  </a:stretch>
                </pic:blipFill>
                <pic:spPr bwMode="auto">
                  <a:xfrm>
                    <a:off x="0" y="0"/>
                    <a:ext cx="1526540" cy="68389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55"/>
    <w:rsid w:val="000135DE"/>
    <w:rsid w:val="00026CBA"/>
    <w:rsid w:val="00043040"/>
    <w:rsid w:val="00044212"/>
    <w:rsid w:val="00044852"/>
    <w:rsid w:val="00060DFD"/>
    <w:rsid w:val="000701D9"/>
    <w:rsid w:val="00085B19"/>
    <w:rsid w:val="00086DB5"/>
    <w:rsid w:val="000A138B"/>
    <w:rsid w:val="000A37A4"/>
    <w:rsid w:val="000A5AAC"/>
    <w:rsid w:val="000C302C"/>
    <w:rsid w:val="000C6F49"/>
    <w:rsid w:val="000D24D1"/>
    <w:rsid w:val="000F108F"/>
    <w:rsid w:val="00110898"/>
    <w:rsid w:val="001113CF"/>
    <w:rsid w:val="0011513F"/>
    <w:rsid w:val="001431E3"/>
    <w:rsid w:val="001454F4"/>
    <w:rsid w:val="00147A5D"/>
    <w:rsid w:val="00147B4F"/>
    <w:rsid w:val="001C4518"/>
    <w:rsid w:val="001E21BF"/>
    <w:rsid w:val="002308DC"/>
    <w:rsid w:val="00254CD4"/>
    <w:rsid w:val="00275A1A"/>
    <w:rsid w:val="002E4BC0"/>
    <w:rsid w:val="002F2FE4"/>
    <w:rsid w:val="002F5707"/>
    <w:rsid w:val="00332CC0"/>
    <w:rsid w:val="0036370F"/>
    <w:rsid w:val="00373F0F"/>
    <w:rsid w:val="003A4F09"/>
    <w:rsid w:val="003C631D"/>
    <w:rsid w:val="004020F7"/>
    <w:rsid w:val="00415F12"/>
    <w:rsid w:val="00450136"/>
    <w:rsid w:val="00457A6A"/>
    <w:rsid w:val="00463E54"/>
    <w:rsid w:val="00476AEF"/>
    <w:rsid w:val="004971B6"/>
    <w:rsid w:val="004A7798"/>
    <w:rsid w:val="004C6B27"/>
    <w:rsid w:val="004D6362"/>
    <w:rsid w:val="00571EA5"/>
    <w:rsid w:val="005A5AC7"/>
    <w:rsid w:val="005B2BD8"/>
    <w:rsid w:val="005F57D7"/>
    <w:rsid w:val="006447FB"/>
    <w:rsid w:val="00663E2A"/>
    <w:rsid w:val="006B7A20"/>
    <w:rsid w:val="00704FCD"/>
    <w:rsid w:val="00714FE9"/>
    <w:rsid w:val="00722B9B"/>
    <w:rsid w:val="00730421"/>
    <w:rsid w:val="00762CE4"/>
    <w:rsid w:val="00766432"/>
    <w:rsid w:val="00766914"/>
    <w:rsid w:val="007A7D82"/>
    <w:rsid w:val="007F4819"/>
    <w:rsid w:val="00813553"/>
    <w:rsid w:val="00816355"/>
    <w:rsid w:val="008A1AE8"/>
    <w:rsid w:val="008B1552"/>
    <w:rsid w:val="008B22C9"/>
    <w:rsid w:val="008E61E2"/>
    <w:rsid w:val="00947568"/>
    <w:rsid w:val="00955143"/>
    <w:rsid w:val="00970F39"/>
    <w:rsid w:val="00975F7D"/>
    <w:rsid w:val="00976426"/>
    <w:rsid w:val="009B3EF1"/>
    <w:rsid w:val="00A32029"/>
    <w:rsid w:val="00A367F3"/>
    <w:rsid w:val="00A54855"/>
    <w:rsid w:val="00A70454"/>
    <w:rsid w:val="00A83796"/>
    <w:rsid w:val="00A9202A"/>
    <w:rsid w:val="00A95F0A"/>
    <w:rsid w:val="00AB547F"/>
    <w:rsid w:val="00AB7AEA"/>
    <w:rsid w:val="00AE0B15"/>
    <w:rsid w:val="00AF2277"/>
    <w:rsid w:val="00B36C2C"/>
    <w:rsid w:val="00B63A7B"/>
    <w:rsid w:val="00B64151"/>
    <w:rsid w:val="00B86CB9"/>
    <w:rsid w:val="00BA14A5"/>
    <w:rsid w:val="00BA60CD"/>
    <w:rsid w:val="00BF3268"/>
    <w:rsid w:val="00C04CF8"/>
    <w:rsid w:val="00C068F8"/>
    <w:rsid w:val="00C40ED0"/>
    <w:rsid w:val="00C5501E"/>
    <w:rsid w:val="00C64B18"/>
    <w:rsid w:val="00C669E0"/>
    <w:rsid w:val="00C70749"/>
    <w:rsid w:val="00C71086"/>
    <w:rsid w:val="00C76896"/>
    <w:rsid w:val="00D703DD"/>
    <w:rsid w:val="00DB3A6A"/>
    <w:rsid w:val="00DC7268"/>
    <w:rsid w:val="00DE07FD"/>
    <w:rsid w:val="00DE0BD1"/>
    <w:rsid w:val="00DE3A3F"/>
    <w:rsid w:val="00E70F22"/>
    <w:rsid w:val="00E96EAF"/>
    <w:rsid w:val="00EB0247"/>
    <w:rsid w:val="00EC0418"/>
    <w:rsid w:val="00EE210D"/>
    <w:rsid w:val="00F121B5"/>
    <w:rsid w:val="00F34E92"/>
    <w:rsid w:val="00F72774"/>
    <w:rsid w:val="00F77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4284A1E-A970-4ED1-8310-101D5879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4">
    <w:name w:val="s4"/>
    <w:basedOn w:val="Normale"/>
    <w:rsid w:val="00816355"/>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9">
    <w:name w:val="s9"/>
    <w:basedOn w:val="Carpredefinitoparagrafo"/>
    <w:rsid w:val="00816355"/>
  </w:style>
  <w:style w:type="character" w:customStyle="1" w:styleId="s5">
    <w:name w:val="s5"/>
    <w:basedOn w:val="Carpredefinitoparagrafo"/>
    <w:rsid w:val="00816355"/>
  </w:style>
  <w:style w:type="character" w:styleId="Collegamentoipertestuale">
    <w:name w:val="Hyperlink"/>
    <w:basedOn w:val="Carpredefinitoparagrafo"/>
    <w:uiPriority w:val="99"/>
    <w:unhideWhenUsed/>
    <w:rsid w:val="00F77BAE"/>
    <w:rPr>
      <w:color w:val="0000FF" w:themeColor="hyperlink"/>
      <w:u w:val="single"/>
    </w:rPr>
  </w:style>
  <w:style w:type="paragraph" w:styleId="Testofumetto">
    <w:name w:val="Balloon Text"/>
    <w:basedOn w:val="Normale"/>
    <w:link w:val="TestofumettoCarattere"/>
    <w:uiPriority w:val="99"/>
    <w:semiHidden/>
    <w:unhideWhenUsed/>
    <w:rsid w:val="00F77B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BAE"/>
    <w:rPr>
      <w:rFonts w:ascii="Tahoma" w:hAnsi="Tahoma" w:cs="Tahoma"/>
      <w:sz w:val="16"/>
      <w:szCs w:val="16"/>
    </w:rPr>
  </w:style>
  <w:style w:type="paragraph" w:styleId="Intestazione">
    <w:name w:val="header"/>
    <w:basedOn w:val="Normale"/>
    <w:link w:val="IntestazioneCarattere"/>
    <w:uiPriority w:val="99"/>
    <w:unhideWhenUsed/>
    <w:rsid w:val="007F48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4819"/>
  </w:style>
  <w:style w:type="paragraph" w:styleId="Pidipagina">
    <w:name w:val="footer"/>
    <w:basedOn w:val="Normale"/>
    <w:link w:val="PidipaginaCarattere"/>
    <w:uiPriority w:val="99"/>
    <w:unhideWhenUsed/>
    <w:rsid w:val="007F48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4819"/>
  </w:style>
  <w:style w:type="paragraph" w:customStyle="1" w:styleId="Didefault">
    <w:name w:val="Di default"/>
    <w:rsid w:val="00EC041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styleId="Nessunaspaziatura">
    <w:name w:val="No Spacing"/>
    <w:uiPriority w:val="1"/>
    <w:qFormat/>
    <w:rsid w:val="00EC0418"/>
    <w:pPr>
      <w:spacing w:after="0" w:line="240" w:lineRule="auto"/>
    </w:pPr>
    <w:rPr>
      <w:rFonts w:ascii="Calibri" w:eastAsia="Calibri" w:hAnsi="Calibri" w:cs="Arial"/>
      <w:lang w:eastAsia="it-IT" w:bidi="it-IT"/>
    </w:rPr>
  </w:style>
  <w:style w:type="paragraph" w:styleId="NormaleWeb">
    <w:name w:val="Normal (Web)"/>
    <w:basedOn w:val="Normale"/>
    <w:uiPriority w:val="99"/>
    <w:semiHidden/>
    <w:unhideWhenUsed/>
    <w:rsid w:val="00457A6A"/>
    <w:pPr>
      <w:spacing w:before="100" w:beforeAutospacing="1" w:after="100" w:afterAutospacing="1" w:line="240" w:lineRule="auto"/>
    </w:pPr>
    <w:rPr>
      <w:rFonts w:ascii="Times New Roman" w:eastAsiaTheme="minorHAnsi"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7922">
      <w:bodyDiv w:val="1"/>
      <w:marLeft w:val="0"/>
      <w:marRight w:val="0"/>
      <w:marTop w:val="0"/>
      <w:marBottom w:val="0"/>
      <w:divBdr>
        <w:top w:val="none" w:sz="0" w:space="0" w:color="auto"/>
        <w:left w:val="none" w:sz="0" w:space="0" w:color="auto"/>
        <w:bottom w:val="none" w:sz="0" w:space="0" w:color="auto"/>
        <w:right w:val="none" w:sz="0" w:space="0" w:color="auto"/>
      </w:divBdr>
    </w:div>
    <w:div w:id="14442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evaphar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773E1-CDF7-4206-812F-A4946CA8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1725</Words>
  <Characters>9836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Value Relations</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 Orrico</dc:creator>
  <cp:lastModifiedBy>Alessandra Perotta</cp:lastModifiedBy>
  <cp:revision>9</cp:revision>
  <cp:lastPrinted>2015-05-21T14:49:00Z</cp:lastPrinted>
  <dcterms:created xsi:type="dcterms:W3CDTF">2015-05-21T14:40:00Z</dcterms:created>
  <dcterms:modified xsi:type="dcterms:W3CDTF">2015-05-21T15:57:00Z</dcterms:modified>
</cp:coreProperties>
</file>