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45" w:rsidRPr="00D6547B" w:rsidRDefault="00646680" w:rsidP="00646680">
      <w:pPr>
        <w:pStyle w:val="Nessunaspaziatura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val="it-IT" w:eastAsia="it-IT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-385694</wp:posOffset>
            </wp:positionV>
            <wp:extent cx="796760" cy="850790"/>
            <wp:effectExtent l="19050" t="0" r="3340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760" cy="85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47B" w:rsidRPr="00D6547B" w:rsidRDefault="00D6547B" w:rsidP="00D6547B">
      <w:pPr>
        <w:pStyle w:val="Nessunaspaziatura"/>
        <w:jc w:val="center"/>
        <w:rPr>
          <w:rFonts w:ascii="Arial" w:hAnsi="Arial" w:cs="Arial"/>
          <w:b/>
          <w:sz w:val="21"/>
          <w:szCs w:val="21"/>
          <w:lang w:val="it-IT"/>
        </w:rPr>
      </w:pPr>
    </w:p>
    <w:p w:rsidR="00D6547B" w:rsidRPr="00D6547B" w:rsidRDefault="00D6547B" w:rsidP="00D6547B">
      <w:pPr>
        <w:pStyle w:val="Nessunaspaziatura"/>
        <w:jc w:val="center"/>
        <w:rPr>
          <w:rFonts w:ascii="Arial" w:hAnsi="Arial" w:cs="Arial"/>
          <w:b/>
          <w:sz w:val="21"/>
          <w:szCs w:val="21"/>
          <w:lang w:val="it-IT"/>
        </w:rPr>
      </w:pPr>
    </w:p>
    <w:p w:rsidR="00D6547B" w:rsidRDefault="00D6547B" w:rsidP="00D6547B">
      <w:pPr>
        <w:pStyle w:val="Nessunaspaziatura"/>
        <w:spacing w:after="80"/>
        <w:jc w:val="center"/>
        <w:rPr>
          <w:rFonts w:ascii="Arial" w:hAnsi="Arial" w:cs="Arial"/>
          <w:b/>
          <w:sz w:val="28"/>
          <w:lang w:val="it-IT"/>
        </w:rPr>
      </w:pPr>
    </w:p>
    <w:p w:rsidR="00721CAC" w:rsidRPr="00D6547B" w:rsidRDefault="001A448B" w:rsidP="00D6547B">
      <w:pPr>
        <w:pStyle w:val="Nessunaspaziatura"/>
        <w:jc w:val="center"/>
        <w:rPr>
          <w:rFonts w:ascii="Arial" w:hAnsi="Arial" w:cs="Arial"/>
          <w:b/>
          <w:sz w:val="28"/>
          <w:lang w:val="it-IT"/>
        </w:rPr>
      </w:pPr>
      <w:proofErr w:type="spellStart"/>
      <w:r w:rsidRPr="00D6547B">
        <w:rPr>
          <w:rFonts w:ascii="Arial" w:hAnsi="Arial" w:cs="Arial"/>
          <w:b/>
          <w:sz w:val="28"/>
          <w:lang w:val="it-IT"/>
        </w:rPr>
        <w:t>Biosimilar</w:t>
      </w:r>
      <w:r w:rsidR="00D6547B" w:rsidRPr="00D6547B">
        <w:rPr>
          <w:rFonts w:ascii="Arial" w:hAnsi="Arial" w:cs="Arial"/>
          <w:b/>
          <w:sz w:val="28"/>
          <w:lang w:val="it-IT"/>
        </w:rPr>
        <w:t>i</w:t>
      </w:r>
      <w:proofErr w:type="spellEnd"/>
      <w:r w:rsidR="007767D9">
        <w:rPr>
          <w:rFonts w:ascii="Arial" w:hAnsi="Arial" w:cs="Arial"/>
          <w:b/>
          <w:sz w:val="28"/>
          <w:lang w:val="it-IT"/>
        </w:rPr>
        <w:t xml:space="preserve"> - Scheda in</w:t>
      </w:r>
      <w:r w:rsidRPr="00D6547B">
        <w:rPr>
          <w:rFonts w:ascii="Arial" w:hAnsi="Arial" w:cs="Arial"/>
          <w:b/>
          <w:sz w:val="28"/>
          <w:lang w:val="it-IT"/>
        </w:rPr>
        <w:t>formativa</w:t>
      </w:r>
    </w:p>
    <w:p w:rsidR="00A25CE1" w:rsidRPr="00982C0A" w:rsidRDefault="00A25CE1" w:rsidP="00EE5879">
      <w:pPr>
        <w:pStyle w:val="Nessunaspaziatura"/>
        <w:jc w:val="both"/>
        <w:rPr>
          <w:rFonts w:ascii="Arial" w:hAnsi="Arial" w:cs="Arial"/>
          <w:b/>
          <w:sz w:val="26"/>
          <w:szCs w:val="26"/>
          <w:lang w:val="it-IT"/>
        </w:rPr>
      </w:pPr>
    </w:p>
    <w:p w:rsidR="00572822" w:rsidRPr="00982C0A" w:rsidRDefault="00572822" w:rsidP="000518A0">
      <w:pPr>
        <w:spacing w:after="0" w:line="240" w:lineRule="auto"/>
        <w:jc w:val="both"/>
        <w:rPr>
          <w:rFonts w:ascii="Arial" w:hAnsi="Arial" w:cs="Arial"/>
          <w:sz w:val="26"/>
          <w:szCs w:val="26"/>
          <w:lang w:val="it-IT"/>
        </w:rPr>
      </w:pPr>
    </w:p>
    <w:p w:rsidR="009340EB" w:rsidRPr="004105AF" w:rsidRDefault="009340EB" w:rsidP="00DA7885">
      <w:pPr>
        <w:pStyle w:val="Nessunaspaziatura"/>
        <w:spacing w:after="80"/>
        <w:rPr>
          <w:rFonts w:ascii="Arial" w:hAnsi="Arial" w:cs="Arial"/>
          <w:b/>
          <w:szCs w:val="28"/>
          <w:lang w:val="it-IT"/>
        </w:rPr>
      </w:pPr>
      <w:r w:rsidRPr="004105AF">
        <w:rPr>
          <w:rFonts w:ascii="Arial" w:hAnsi="Arial" w:cs="Arial"/>
          <w:b/>
          <w:szCs w:val="28"/>
          <w:lang w:val="it-IT"/>
        </w:rPr>
        <w:t xml:space="preserve">Che cos’è un </w:t>
      </w:r>
      <w:proofErr w:type="spellStart"/>
      <w:r w:rsidRPr="004105AF">
        <w:rPr>
          <w:rFonts w:ascii="Arial" w:hAnsi="Arial" w:cs="Arial"/>
          <w:b/>
          <w:szCs w:val="28"/>
          <w:lang w:val="it-IT"/>
        </w:rPr>
        <w:t>biosimilare</w:t>
      </w:r>
      <w:proofErr w:type="spellEnd"/>
      <w:r w:rsidRPr="004105AF">
        <w:rPr>
          <w:rFonts w:ascii="Arial" w:hAnsi="Arial" w:cs="Arial"/>
          <w:b/>
          <w:szCs w:val="28"/>
          <w:lang w:val="it-IT"/>
        </w:rPr>
        <w:t>?</w:t>
      </w:r>
    </w:p>
    <w:p w:rsidR="009340EB" w:rsidRPr="002474A1" w:rsidRDefault="009340EB" w:rsidP="009340EB">
      <w:pPr>
        <w:pStyle w:val="Nessunaspaziatura"/>
        <w:numPr>
          <w:ilvl w:val="0"/>
          <w:numId w:val="33"/>
        </w:numPr>
        <w:spacing w:after="120"/>
        <w:jc w:val="both"/>
        <w:rPr>
          <w:sz w:val="21"/>
          <w:szCs w:val="21"/>
          <w:lang w:val="it-IT"/>
        </w:rPr>
      </w:pPr>
      <w:r w:rsidRPr="00413DBB">
        <w:rPr>
          <w:rFonts w:ascii="Arial" w:hAnsi="Arial" w:cs="Arial"/>
          <w:sz w:val="21"/>
          <w:szCs w:val="21"/>
          <w:lang w:val="it-IT"/>
        </w:rPr>
        <w:t>I</w:t>
      </w:r>
      <w:r>
        <w:rPr>
          <w:rFonts w:ascii="Arial" w:hAnsi="Arial" w:cs="Arial"/>
          <w:sz w:val="21"/>
          <w:szCs w:val="21"/>
          <w:lang w:val="it-IT"/>
        </w:rPr>
        <w:t xml:space="preserve">l </w:t>
      </w:r>
      <w:proofErr w:type="spellStart"/>
      <w:r>
        <w:rPr>
          <w:rFonts w:ascii="Arial" w:hAnsi="Arial" w:cs="Arial"/>
          <w:sz w:val="21"/>
          <w:szCs w:val="21"/>
          <w:lang w:val="it-IT"/>
        </w:rPr>
        <w:t>biosimilare</w:t>
      </w:r>
      <w:proofErr w:type="spellEnd"/>
      <w:r>
        <w:rPr>
          <w:rFonts w:ascii="Arial" w:hAnsi="Arial" w:cs="Arial"/>
          <w:sz w:val="21"/>
          <w:szCs w:val="21"/>
          <w:lang w:val="it-IT"/>
        </w:rPr>
        <w:t xml:space="preserve"> è un</w:t>
      </w:r>
      <w:r w:rsidRPr="00413DBB">
        <w:rPr>
          <w:rFonts w:ascii="Arial" w:hAnsi="Arial" w:cs="Arial"/>
          <w:sz w:val="21"/>
          <w:szCs w:val="21"/>
          <w:lang w:val="it-IT"/>
        </w:rPr>
        <w:t xml:space="preserve"> </w:t>
      </w:r>
      <w:r>
        <w:rPr>
          <w:rFonts w:ascii="Arial" w:hAnsi="Arial" w:cs="Arial"/>
          <w:sz w:val="21"/>
          <w:szCs w:val="21"/>
          <w:lang w:val="it-IT"/>
        </w:rPr>
        <w:t>farmaco biologico comparabile a un altro medicinale biologico già autorizzato (il cosiddetto “medicinale di riferimento”).</w:t>
      </w:r>
    </w:p>
    <w:p w:rsidR="009340EB" w:rsidRPr="00D86F79" w:rsidRDefault="009340EB" w:rsidP="009340EB">
      <w:pPr>
        <w:pStyle w:val="Nessunaspaziatura"/>
        <w:numPr>
          <w:ilvl w:val="0"/>
          <w:numId w:val="33"/>
        </w:numPr>
        <w:spacing w:after="120"/>
        <w:jc w:val="both"/>
        <w:rPr>
          <w:sz w:val="21"/>
          <w:szCs w:val="21"/>
          <w:lang w:val="it-IT"/>
        </w:rPr>
      </w:pPr>
      <w:r w:rsidRPr="00D86F79">
        <w:rPr>
          <w:rFonts w:ascii="Arial" w:hAnsi="Arial" w:cs="Arial"/>
          <w:sz w:val="21"/>
          <w:szCs w:val="21"/>
          <w:lang w:val="it-IT"/>
        </w:rPr>
        <w:t>I biologici sono molecole complesse, di grandi dimensioni e di origine naturale: umana, animale o da microrganismi</w:t>
      </w:r>
      <w:r w:rsidRPr="00D86F79">
        <w:rPr>
          <w:rFonts w:ascii="Arial" w:hAnsi="Arial" w:cs="Arial"/>
          <w:sz w:val="21"/>
          <w:szCs w:val="21"/>
          <w:vertAlign w:val="superscript"/>
          <w:lang w:val="it-IT"/>
        </w:rPr>
        <w:t>1</w:t>
      </w:r>
      <w:r w:rsidRPr="00D86F79">
        <w:rPr>
          <w:rFonts w:ascii="Arial" w:hAnsi="Arial" w:cs="Arial"/>
          <w:sz w:val="21"/>
          <w:szCs w:val="21"/>
          <w:lang w:val="it-IT"/>
        </w:rPr>
        <w:t xml:space="preserve">. Poiché </w:t>
      </w:r>
      <w:r>
        <w:rPr>
          <w:rFonts w:ascii="Arial" w:hAnsi="Arial" w:cs="Arial"/>
          <w:sz w:val="21"/>
          <w:szCs w:val="21"/>
          <w:lang w:val="it-IT"/>
        </w:rPr>
        <w:t xml:space="preserve">sono prodotti da </w:t>
      </w:r>
      <w:r w:rsidRPr="00D86F79">
        <w:rPr>
          <w:rFonts w:ascii="Arial" w:hAnsi="Arial" w:cs="Arial"/>
          <w:sz w:val="21"/>
          <w:szCs w:val="21"/>
          <w:lang w:val="it-IT"/>
        </w:rPr>
        <w:t>organismi viventi</w:t>
      </w:r>
      <w:r>
        <w:rPr>
          <w:rFonts w:ascii="Arial" w:hAnsi="Arial" w:cs="Arial"/>
          <w:sz w:val="21"/>
          <w:szCs w:val="21"/>
          <w:lang w:val="it-IT"/>
        </w:rPr>
        <w:t>, attraverso processi</w:t>
      </w:r>
      <w:r w:rsidRPr="00D86F79">
        <w:rPr>
          <w:rFonts w:ascii="Arial" w:hAnsi="Arial" w:cs="Arial"/>
          <w:sz w:val="21"/>
          <w:szCs w:val="21"/>
          <w:lang w:val="it-IT"/>
        </w:rPr>
        <w:t xml:space="preserve"> di sintesi estremamente compless</w:t>
      </w:r>
      <w:r>
        <w:rPr>
          <w:rFonts w:ascii="Arial" w:hAnsi="Arial" w:cs="Arial"/>
          <w:sz w:val="21"/>
          <w:szCs w:val="21"/>
          <w:lang w:val="it-IT"/>
        </w:rPr>
        <w:t>i,</w:t>
      </w:r>
      <w:r w:rsidRPr="00D86F79">
        <w:rPr>
          <w:rFonts w:ascii="Arial" w:hAnsi="Arial" w:cs="Arial"/>
          <w:sz w:val="21"/>
          <w:szCs w:val="21"/>
          <w:lang w:val="it-IT"/>
        </w:rPr>
        <w:t xml:space="preserve"> con centinaia di passaggi di isolamento e purificazione</w:t>
      </w:r>
      <w:r>
        <w:rPr>
          <w:rFonts w:ascii="Arial" w:hAnsi="Arial" w:cs="Arial"/>
          <w:sz w:val="21"/>
          <w:szCs w:val="21"/>
          <w:lang w:val="it-IT"/>
        </w:rPr>
        <w:t xml:space="preserve">, </w:t>
      </w:r>
      <w:r w:rsidRPr="00D86F79">
        <w:rPr>
          <w:rFonts w:ascii="Arial" w:hAnsi="Arial" w:cs="Arial"/>
          <w:sz w:val="21"/>
          <w:szCs w:val="21"/>
          <w:lang w:val="it-IT"/>
        </w:rPr>
        <w:t xml:space="preserve">non </w:t>
      </w:r>
      <w:r>
        <w:rPr>
          <w:rFonts w:ascii="Arial" w:hAnsi="Arial" w:cs="Arial"/>
          <w:sz w:val="21"/>
          <w:szCs w:val="21"/>
          <w:lang w:val="it-IT"/>
        </w:rPr>
        <w:t xml:space="preserve">possono </w:t>
      </w:r>
      <w:r w:rsidRPr="00D86F79">
        <w:rPr>
          <w:rFonts w:ascii="Arial" w:hAnsi="Arial" w:cs="Arial"/>
          <w:sz w:val="21"/>
          <w:szCs w:val="21"/>
          <w:lang w:val="it-IT"/>
        </w:rPr>
        <w:t>esist</w:t>
      </w:r>
      <w:r>
        <w:rPr>
          <w:rFonts w:ascii="Arial" w:hAnsi="Arial" w:cs="Arial"/>
          <w:sz w:val="21"/>
          <w:szCs w:val="21"/>
          <w:lang w:val="it-IT"/>
        </w:rPr>
        <w:t>ere</w:t>
      </w:r>
      <w:r w:rsidRPr="00D86F79">
        <w:rPr>
          <w:rFonts w:ascii="Arial" w:hAnsi="Arial" w:cs="Arial"/>
          <w:sz w:val="21"/>
          <w:szCs w:val="21"/>
          <w:lang w:val="it-IT"/>
        </w:rPr>
        <w:t xml:space="preserve"> due lotti identici</w:t>
      </w:r>
      <w:r>
        <w:rPr>
          <w:rFonts w:ascii="Arial" w:hAnsi="Arial" w:cs="Arial"/>
          <w:sz w:val="21"/>
          <w:szCs w:val="21"/>
          <w:lang w:val="it-IT"/>
        </w:rPr>
        <w:t xml:space="preserve"> di un biologico, </w:t>
      </w:r>
      <w:r w:rsidRPr="00D86F79">
        <w:rPr>
          <w:rFonts w:ascii="Arial" w:hAnsi="Arial" w:cs="Arial"/>
          <w:sz w:val="21"/>
          <w:szCs w:val="21"/>
          <w:lang w:val="it-IT"/>
        </w:rPr>
        <w:t>sia esso originatore o biosimilare</w:t>
      </w:r>
      <w:r w:rsidRPr="00D86F79">
        <w:rPr>
          <w:rFonts w:ascii="Arial" w:hAnsi="Arial" w:cs="Arial"/>
          <w:sz w:val="21"/>
          <w:szCs w:val="21"/>
          <w:vertAlign w:val="superscript"/>
          <w:lang w:val="it-IT"/>
        </w:rPr>
        <w:t>2</w:t>
      </w:r>
      <w:r w:rsidRPr="00D86F79">
        <w:rPr>
          <w:rFonts w:ascii="Arial" w:hAnsi="Arial" w:cs="Arial"/>
          <w:sz w:val="21"/>
          <w:szCs w:val="21"/>
          <w:lang w:val="it-IT"/>
        </w:rPr>
        <w:t>.</w:t>
      </w:r>
      <w:r w:rsidRPr="00D86F79">
        <w:rPr>
          <w:rFonts w:ascii="Arial" w:hAnsi="Arial" w:cs="Arial"/>
          <w:sz w:val="21"/>
          <w:szCs w:val="21"/>
          <w:vertAlign w:val="superscript"/>
          <w:lang w:val="it-IT"/>
        </w:rPr>
        <w:t xml:space="preserve"> </w:t>
      </w:r>
      <w:r w:rsidRPr="00D86F79">
        <w:rPr>
          <w:rFonts w:ascii="Arial" w:hAnsi="Arial" w:cs="Arial"/>
          <w:sz w:val="21"/>
          <w:szCs w:val="21"/>
          <w:lang w:val="it-IT"/>
        </w:rPr>
        <w:t xml:space="preserve">I </w:t>
      </w:r>
      <w:r>
        <w:rPr>
          <w:rFonts w:ascii="Arial" w:hAnsi="Arial" w:cs="Arial"/>
          <w:sz w:val="21"/>
          <w:szCs w:val="21"/>
          <w:lang w:val="it-IT"/>
        </w:rPr>
        <w:t>farmaci biotecnologici</w:t>
      </w:r>
      <w:r w:rsidRPr="00D86F79">
        <w:rPr>
          <w:rFonts w:ascii="Arial" w:hAnsi="Arial" w:cs="Arial"/>
          <w:sz w:val="21"/>
          <w:szCs w:val="21"/>
          <w:lang w:val="it-IT"/>
        </w:rPr>
        <w:t xml:space="preserve"> sono diversi dai medicinali tradizionali, che s</w:t>
      </w:r>
      <w:r>
        <w:rPr>
          <w:rFonts w:ascii="Arial" w:hAnsi="Arial" w:cs="Arial"/>
          <w:sz w:val="21"/>
          <w:szCs w:val="21"/>
          <w:lang w:val="it-IT"/>
        </w:rPr>
        <w:t xml:space="preserve">i </w:t>
      </w:r>
      <w:r w:rsidRPr="00D86F79">
        <w:rPr>
          <w:rFonts w:ascii="Arial" w:hAnsi="Arial" w:cs="Arial"/>
          <w:sz w:val="21"/>
          <w:szCs w:val="21"/>
          <w:lang w:val="it-IT"/>
        </w:rPr>
        <w:t>otten</w:t>
      </w:r>
      <w:r>
        <w:rPr>
          <w:rFonts w:ascii="Arial" w:hAnsi="Arial" w:cs="Arial"/>
          <w:sz w:val="21"/>
          <w:szCs w:val="21"/>
          <w:lang w:val="it-IT"/>
        </w:rPr>
        <w:t>gono</w:t>
      </w:r>
      <w:r w:rsidRPr="00D86F79">
        <w:rPr>
          <w:rFonts w:ascii="Arial" w:hAnsi="Arial" w:cs="Arial"/>
          <w:sz w:val="21"/>
          <w:szCs w:val="21"/>
          <w:lang w:val="it-IT"/>
        </w:rPr>
        <w:t xml:space="preserve"> combinando ingredienti chimici semplici per formare molecole di piccole dimensioni</w:t>
      </w:r>
      <w:r w:rsidRPr="00D86F79">
        <w:rPr>
          <w:rFonts w:ascii="Arial" w:hAnsi="Arial" w:cs="Arial"/>
          <w:sz w:val="21"/>
          <w:szCs w:val="21"/>
          <w:vertAlign w:val="superscript"/>
          <w:lang w:val="it-IT"/>
        </w:rPr>
        <w:t>3</w:t>
      </w:r>
      <w:r w:rsidRPr="00D86F79">
        <w:rPr>
          <w:rFonts w:ascii="Arial" w:hAnsi="Arial" w:cs="Arial"/>
          <w:sz w:val="21"/>
          <w:szCs w:val="21"/>
          <w:lang w:val="it-IT"/>
        </w:rPr>
        <w:t>.</w:t>
      </w:r>
    </w:p>
    <w:p w:rsidR="009340EB" w:rsidRPr="00413DBB" w:rsidRDefault="009340EB" w:rsidP="009340EB">
      <w:pPr>
        <w:pStyle w:val="Nessunaspaziatura"/>
        <w:numPr>
          <w:ilvl w:val="0"/>
          <w:numId w:val="33"/>
        </w:numPr>
        <w:spacing w:after="120"/>
        <w:jc w:val="both"/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t xml:space="preserve">Vengono </w:t>
      </w:r>
      <w:r w:rsidRPr="00413DBB">
        <w:rPr>
          <w:rFonts w:ascii="Arial" w:hAnsi="Arial" w:cs="Arial"/>
          <w:sz w:val="21"/>
          <w:szCs w:val="21"/>
          <w:lang w:val="it-IT"/>
        </w:rPr>
        <w:t xml:space="preserve">chiamati </w:t>
      </w:r>
      <w:proofErr w:type="spellStart"/>
      <w:r w:rsidRPr="00413DBB">
        <w:rPr>
          <w:rFonts w:ascii="Arial" w:hAnsi="Arial" w:cs="Arial"/>
          <w:sz w:val="21"/>
          <w:szCs w:val="21"/>
          <w:lang w:val="it-IT"/>
        </w:rPr>
        <w:t>biosimilari</w:t>
      </w:r>
      <w:proofErr w:type="spellEnd"/>
      <w:r w:rsidRPr="00413DBB">
        <w:rPr>
          <w:rFonts w:ascii="Arial" w:hAnsi="Arial" w:cs="Arial"/>
          <w:sz w:val="21"/>
          <w:szCs w:val="21"/>
          <w:lang w:val="it-IT"/>
        </w:rPr>
        <w:t xml:space="preserve"> perché sono stati sviluppati per essere molto simili </w:t>
      </w:r>
      <w:r>
        <w:rPr>
          <w:rFonts w:ascii="Arial" w:hAnsi="Arial" w:cs="Arial"/>
          <w:sz w:val="21"/>
          <w:szCs w:val="21"/>
          <w:lang w:val="it-IT"/>
        </w:rPr>
        <w:t xml:space="preserve">(non “identici”) </w:t>
      </w:r>
      <w:r w:rsidRPr="00413DBB">
        <w:rPr>
          <w:rFonts w:ascii="Arial" w:hAnsi="Arial" w:cs="Arial"/>
          <w:sz w:val="21"/>
          <w:szCs w:val="21"/>
          <w:lang w:val="it-IT"/>
        </w:rPr>
        <w:t>a farm</w:t>
      </w:r>
      <w:r>
        <w:rPr>
          <w:rFonts w:ascii="Arial" w:hAnsi="Arial" w:cs="Arial"/>
          <w:sz w:val="21"/>
          <w:szCs w:val="21"/>
          <w:lang w:val="it-IT"/>
        </w:rPr>
        <w:t>aci biologici già in commercio</w:t>
      </w:r>
      <w:r w:rsidRPr="00413DBB">
        <w:rPr>
          <w:rFonts w:ascii="Arial" w:hAnsi="Arial" w:cs="Arial"/>
          <w:sz w:val="21"/>
          <w:szCs w:val="21"/>
          <w:vertAlign w:val="superscript"/>
          <w:lang w:val="it-IT"/>
        </w:rPr>
        <w:t>3</w:t>
      </w:r>
      <w:r w:rsidRPr="00413DBB">
        <w:rPr>
          <w:rFonts w:ascii="Arial" w:hAnsi="Arial" w:cs="Arial"/>
          <w:sz w:val="21"/>
          <w:szCs w:val="21"/>
          <w:lang w:val="it-IT"/>
        </w:rPr>
        <w:t>.</w:t>
      </w:r>
      <w:r w:rsidRPr="00413DBB">
        <w:rPr>
          <w:sz w:val="21"/>
          <w:szCs w:val="21"/>
          <w:lang w:val="it-IT"/>
        </w:rPr>
        <w:t xml:space="preserve"> </w:t>
      </w:r>
      <w:r w:rsidRPr="00413DBB">
        <w:rPr>
          <w:rFonts w:ascii="Arial" w:hAnsi="Arial" w:cs="Arial"/>
          <w:sz w:val="21"/>
          <w:szCs w:val="21"/>
          <w:lang w:val="it-IT"/>
        </w:rPr>
        <w:t xml:space="preserve">I </w:t>
      </w:r>
      <w:proofErr w:type="spellStart"/>
      <w:r w:rsidRPr="00413DBB">
        <w:rPr>
          <w:rFonts w:ascii="Arial" w:hAnsi="Arial" w:cs="Arial"/>
          <w:sz w:val="21"/>
          <w:szCs w:val="21"/>
          <w:lang w:val="it-IT"/>
        </w:rPr>
        <w:t>biosimilari</w:t>
      </w:r>
      <w:proofErr w:type="spellEnd"/>
      <w:r w:rsidRPr="00413DBB">
        <w:rPr>
          <w:rFonts w:ascii="Arial" w:hAnsi="Arial" w:cs="Arial"/>
          <w:sz w:val="21"/>
          <w:szCs w:val="21"/>
          <w:lang w:val="it-IT"/>
        </w:rPr>
        <w:t xml:space="preserve"> sono generalmente introdotti sul mercato a un prezzo inferiore rispetto al loro farmaco di riferimento, dopo che siano scaduti brevetto e Certificato di Protezione Complementare dell’originatore</w:t>
      </w:r>
      <w:r w:rsidRPr="00413DBB">
        <w:rPr>
          <w:rFonts w:ascii="Arial" w:hAnsi="Arial" w:cs="Arial"/>
          <w:sz w:val="21"/>
          <w:szCs w:val="21"/>
          <w:vertAlign w:val="superscript"/>
          <w:lang w:val="it-IT"/>
        </w:rPr>
        <w:t>4</w:t>
      </w:r>
      <w:r w:rsidRPr="00413DBB">
        <w:rPr>
          <w:rFonts w:ascii="Arial" w:hAnsi="Arial" w:cs="Arial"/>
          <w:sz w:val="21"/>
          <w:szCs w:val="21"/>
          <w:lang w:val="it-IT"/>
        </w:rPr>
        <w:t>.</w:t>
      </w:r>
    </w:p>
    <w:p w:rsidR="009340EB" w:rsidRPr="00413DBB" w:rsidRDefault="009340EB" w:rsidP="00BB1827">
      <w:pPr>
        <w:pStyle w:val="Paragrafoelenco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hAnsi="Arial" w:cs="Arial"/>
          <w:sz w:val="21"/>
          <w:szCs w:val="21"/>
          <w:lang w:val="it-IT"/>
        </w:rPr>
      </w:pPr>
      <w:r w:rsidRPr="00413DBB">
        <w:rPr>
          <w:rFonts w:ascii="Arial" w:hAnsi="Arial" w:cs="Arial"/>
          <w:sz w:val="21"/>
          <w:szCs w:val="21"/>
          <w:lang w:val="it-IT"/>
        </w:rPr>
        <w:t xml:space="preserve">Prima di essere approvati dall’Agenzia Europea per i Medicinali (EMA), </w:t>
      </w:r>
      <w:r>
        <w:rPr>
          <w:rFonts w:ascii="Arial" w:hAnsi="Arial" w:cs="Arial"/>
          <w:sz w:val="21"/>
          <w:szCs w:val="21"/>
          <w:lang w:val="it-IT"/>
        </w:rPr>
        <w:t>i</w:t>
      </w:r>
      <w:r w:rsidRPr="00413DBB">
        <w:rPr>
          <w:rFonts w:ascii="Arial" w:hAnsi="Arial" w:cs="Arial"/>
          <w:sz w:val="21"/>
          <w:szCs w:val="21"/>
          <w:lang w:val="it-IT"/>
        </w:rPr>
        <w:t xml:space="preserve"> </w:t>
      </w:r>
      <w:proofErr w:type="spellStart"/>
      <w:r w:rsidRPr="00413DBB">
        <w:rPr>
          <w:rFonts w:ascii="Arial" w:hAnsi="Arial" w:cs="Arial"/>
          <w:sz w:val="21"/>
          <w:szCs w:val="21"/>
          <w:lang w:val="it-IT"/>
        </w:rPr>
        <w:t>biosimilari</w:t>
      </w:r>
      <w:proofErr w:type="spellEnd"/>
      <w:r w:rsidRPr="00413DBB">
        <w:rPr>
          <w:rFonts w:ascii="Arial" w:hAnsi="Arial" w:cs="Arial"/>
          <w:sz w:val="21"/>
          <w:szCs w:val="21"/>
          <w:lang w:val="it-IT"/>
        </w:rPr>
        <w:t xml:space="preserve"> sono sottoposti a </w:t>
      </w:r>
      <w:r w:rsidR="00976835">
        <w:rPr>
          <w:rFonts w:ascii="Arial" w:hAnsi="Arial" w:cs="Arial"/>
          <w:sz w:val="21"/>
          <w:szCs w:val="21"/>
          <w:lang w:val="it-IT"/>
        </w:rPr>
        <w:t>severi</w:t>
      </w:r>
      <w:r w:rsidRPr="00413DBB">
        <w:rPr>
          <w:rFonts w:ascii="Arial" w:hAnsi="Arial" w:cs="Arial"/>
          <w:sz w:val="21"/>
          <w:szCs w:val="21"/>
          <w:lang w:val="it-IT"/>
        </w:rPr>
        <w:t xml:space="preserve"> </w:t>
      </w:r>
      <w:r w:rsidRPr="00976835">
        <w:rPr>
          <w:rFonts w:ascii="Arial" w:hAnsi="Arial" w:cs="Arial"/>
          <w:sz w:val="21"/>
          <w:szCs w:val="21"/>
          <w:u w:val="single"/>
          <w:lang w:val="it-IT"/>
        </w:rPr>
        <w:t>test di comparabilità</w:t>
      </w:r>
      <w:r w:rsidRPr="00413DBB">
        <w:rPr>
          <w:rFonts w:ascii="Arial" w:hAnsi="Arial" w:cs="Arial"/>
          <w:sz w:val="21"/>
          <w:szCs w:val="21"/>
          <w:lang w:val="it-IT"/>
        </w:rPr>
        <w:t xml:space="preserve"> per garantire che siano equivalenti al prodotto di riferimento</w:t>
      </w:r>
      <w:r w:rsidRPr="00413DBB">
        <w:rPr>
          <w:rStyle w:val="Rimandonotadichiusura"/>
          <w:rFonts w:ascii="Arial" w:hAnsi="Arial" w:cs="Arial"/>
          <w:sz w:val="21"/>
          <w:szCs w:val="21"/>
          <w:lang w:val="it-IT"/>
        </w:rPr>
        <w:t>5</w:t>
      </w:r>
      <w:r w:rsidRPr="00413DBB">
        <w:rPr>
          <w:rFonts w:ascii="Arial" w:hAnsi="Arial" w:cs="Arial"/>
          <w:sz w:val="21"/>
          <w:szCs w:val="21"/>
          <w:lang w:val="it-IT"/>
        </w:rPr>
        <w:t>.</w:t>
      </w:r>
    </w:p>
    <w:p w:rsidR="00A0460C" w:rsidRPr="0077166F" w:rsidRDefault="00A0460C" w:rsidP="00EE5879">
      <w:pPr>
        <w:pStyle w:val="Nessunaspaziatura"/>
        <w:jc w:val="both"/>
        <w:rPr>
          <w:rFonts w:ascii="Arial" w:hAnsi="Arial" w:cs="Arial"/>
          <w:b/>
          <w:lang w:val="it-IT"/>
        </w:rPr>
      </w:pPr>
    </w:p>
    <w:p w:rsidR="009340EB" w:rsidRPr="0077166F" w:rsidRDefault="009340EB" w:rsidP="00EE5879">
      <w:pPr>
        <w:pStyle w:val="Nessunaspaziatura"/>
        <w:jc w:val="both"/>
        <w:rPr>
          <w:rFonts w:ascii="Arial" w:hAnsi="Arial" w:cs="Arial"/>
          <w:b/>
          <w:lang w:val="it-IT"/>
        </w:rPr>
      </w:pPr>
    </w:p>
    <w:p w:rsidR="00B50FB6" w:rsidRPr="00D175BA" w:rsidRDefault="00BF6232" w:rsidP="00DA7885">
      <w:pPr>
        <w:pStyle w:val="Nessunaspaziatura"/>
        <w:spacing w:after="80"/>
        <w:jc w:val="both"/>
        <w:rPr>
          <w:rFonts w:ascii="Arial" w:hAnsi="Arial" w:cs="Arial"/>
          <w:b/>
          <w:lang w:val="it-IT"/>
        </w:rPr>
      </w:pPr>
      <w:r w:rsidRPr="00D175BA">
        <w:rPr>
          <w:rFonts w:ascii="Arial" w:hAnsi="Arial" w:cs="Arial"/>
          <w:b/>
          <w:lang w:val="it-IT"/>
        </w:rPr>
        <w:t>Re</w:t>
      </w:r>
      <w:r w:rsidR="00B50FB6" w:rsidRPr="00D175BA">
        <w:rPr>
          <w:rFonts w:ascii="Arial" w:hAnsi="Arial" w:cs="Arial"/>
          <w:b/>
          <w:lang w:val="it-IT"/>
        </w:rPr>
        <w:t>g</w:t>
      </w:r>
      <w:r w:rsidR="00F679AD" w:rsidRPr="00D175BA">
        <w:rPr>
          <w:rFonts w:ascii="Arial" w:hAnsi="Arial" w:cs="Arial"/>
          <w:b/>
          <w:lang w:val="it-IT"/>
        </w:rPr>
        <w:t>olamentazione</w:t>
      </w:r>
    </w:p>
    <w:p w:rsidR="00B50FB6" w:rsidRPr="00D6547B" w:rsidRDefault="004C6D1D" w:rsidP="00EE5879">
      <w:pPr>
        <w:pStyle w:val="Nessunaspaziatura"/>
        <w:numPr>
          <w:ilvl w:val="0"/>
          <w:numId w:val="9"/>
        </w:numPr>
        <w:spacing w:after="80"/>
        <w:jc w:val="both"/>
        <w:rPr>
          <w:rFonts w:ascii="Arial" w:hAnsi="Arial" w:cs="Arial"/>
          <w:sz w:val="21"/>
          <w:szCs w:val="21"/>
          <w:lang w:val="it-IT"/>
        </w:rPr>
      </w:pPr>
      <w:r w:rsidRPr="00D6547B">
        <w:rPr>
          <w:rFonts w:ascii="Arial" w:hAnsi="Arial" w:cs="Arial"/>
          <w:sz w:val="21"/>
          <w:szCs w:val="21"/>
          <w:lang w:val="it-IT"/>
        </w:rPr>
        <w:t xml:space="preserve">È stato sviluppato un sistema rigoroso per la valutazione dei medicinali </w:t>
      </w:r>
      <w:proofErr w:type="spellStart"/>
      <w:r w:rsidRPr="00D6547B">
        <w:rPr>
          <w:rFonts w:ascii="Arial" w:hAnsi="Arial" w:cs="Arial"/>
          <w:sz w:val="21"/>
          <w:szCs w:val="21"/>
          <w:lang w:val="it-IT"/>
        </w:rPr>
        <w:t>biosimilari</w:t>
      </w:r>
      <w:proofErr w:type="spellEnd"/>
      <w:r w:rsidR="00BF6232" w:rsidRPr="00D6547B">
        <w:rPr>
          <w:rFonts w:ascii="Arial" w:hAnsi="Arial" w:cs="Arial"/>
          <w:sz w:val="21"/>
          <w:szCs w:val="21"/>
          <w:lang w:val="it-IT"/>
        </w:rPr>
        <w:t xml:space="preserve"> </w:t>
      </w:r>
      <w:r w:rsidR="00F2461A" w:rsidRPr="00D6547B">
        <w:rPr>
          <w:rFonts w:ascii="Arial" w:hAnsi="Arial" w:cs="Arial"/>
          <w:sz w:val="21"/>
          <w:szCs w:val="21"/>
          <w:lang w:val="it-IT"/>
        </w:rPr>
        <w:t>che confronta</w:t>
      </w:r>
      <w:r w:rsidR="00C96AD0">
        <w:rPr>
          <w:rFonts w:ascii="Arial" w:hAnsi="Arial" w:cs="Arial"/>
          <w:sz w:val="21"/>
          <w:szCs w:val="21"/>
          <w:lang w:val="it-IT"/>
        </w:rPr>
        <w:t xml:space="preserve"> -</w:t>
      </w:r>
      <w:r w:rsidR="00F2461A" w:rsidRPr="00D6547B">
        <w:rPr>
          <w:rFonts w:ascii="Arial" w:hAnsi="Arial" w:cs="Arial"/>
          <w:sz w:val="21"/>
          <w:szCs w:val="21"/>
          <w:lang w:val="it-IT"/>
        </w:rPr>
        <w:t xml:space="preserve"> secondo criteri severi</w:t>
      </w:r>
      <w:r w:rsidR="00C96AD0">
        <w:rPr>
          <w:rFonts w:ascii="Arial" w:hAnsi="Arial" w:cs="Arial"/>
          <w:sz w:val="21"/>
          <w:szCs w:val="21"/>
          <w:lang w:val="it-IT"/>
        </w:rPr>
        <w:t xml:space="preserve"> -</w:t>
      </w:r>
      <w:r w:rsidR="00F2461A" w:rsidRPr="00D6547B">
        <w:rPr>
          <w:rFonts w:ascii="Arial" w:hAnsi="Arial" w:cs="Arial"/>
          <w:sz w:val="21"/>
          <w:szCs w:val="21"/>
          <w:lang w:val="it-IT"/>
        </w:rPr>
        <w:t xml:space="preserve"> qualità, sicurezza ed efficacia del </w:t>
      </w:r>
      <w:proofErr w:type="spellStart"/>
      <w:r w:rsidR="00F2461A" w:rsidRPr="00D6547B">
        <w:rPr>
          <w:rFonts w:ascii="Arial" w:hAnsi="Arial" w:cs="Arial"/>
          <w:sz w:val="21"/>
          <w:szCs w:val="21"/>
          <w:lang w:val="it-IT"/>
        </w:rPr>
        <w:t>biosimilare</w:t>
      </w:r>
      <w:proofErr w:type="spellEnd"/>
      <w:r w:rsidR="00F2461A" w:rsidRPr="00D6547B">
        <w:rPr>
          <w:rFonts w:ascii="Arial" w:hAnsi="Arial" w:cs="Arial"/>
          <w:sz w:val="21"/>
          <w:szCs w:val="21"/>
          <w:lang w:val="it-IT"/>
        </w:rPr>
        <w:t xml:space="preserve"> rispetto al prodotto di riferimento</w:t>
      </w:r>
      <w:r w:rsidR="00EE5879" w:rsidRPr="00D6547B">
        <w:rPr>
          <w:rFonts w:ascii="Arial" w:hAnsi="Arial" w:cs="Arial"/>
          <w:sz w:val="21"/>
          <w:szCs w:val="21"/>
          <w:lang w:val="it-IT"/>
        </w:rPr>
        <w:t>.</w:t>
      </w:r>
      <w:r w:rsidR="00F2461A" w:rsidRPr="00D6547B">
        <w:rPr>
          <w:rFonts w:ascii="Arial" w:hAnsi="Arial" w:cs="Arial"/>
          <w:sz w:val="21"/>
          <w:szCs w:val="21"/>
          <w:lang w:val="it-IT"/>
        </w:rPr>
        <w:t xml:space="preserve"> </w:t>
      </w:r>
    </w:p>
    <w:p w:rsidR="00EE5879" w:rsidRPr="00D6547B" w:rsidRDefault="00E44665" w:rsidP="00EE5879">
      <w:pPr>
        <w:pStyle w:val="Nessunaspaziatura"/>
        <w:numPr>
          <w:ilvl w:val="1"/>
          <w:numId w:val="9"/>
        </w:numPr>
        <w:spacing w:after="80"/>
        <w:jc w:val="both"/>
        <w:rPr>
          <w:rFonts w:ascii="Arial" w:hAnsi="Arial" w:cs="Arial"/>
          <w:sz w:val="21"/>
          <w:szCs w:val="21"/>
          <w:lang w:val="it-IT"/>
        </w:rPr>
      </w:pPr>
      <w:r w:rsidRPr="00D6547B">
        <w:rPr>
          <w:rFonts w:ascii="Arial" w:hAnsi="Arial" w:cs="Arial"/>
          <w:sz w:val="21"/>
          <w:szCs w:val="21"/>
          <w:lang w:val="it-IT"/>
        </w:rPr>
        <w:t xml:space="preserve">Al momento della presentazione </w:t>
      </w:r>
      <w:r w:rsidR="00C96AD0">
        <w:rPr>
          <w:rFonts w:ascii="Arial" w:hAnsi="Arial" w:cs="Arial"/>
          <w:sz w:val="21"/>
          <w:szCs w:val="21"/>
          <w:lang w:val="it-IT"/>
        </w:rPr>
        <w:t xml:space="preserve">del dossier </w:t>
      </w:r>
      <w:proofErr w:type="spellStart"/>
      <w:r w:rsidR="00C96AD0">
        <w:rPr>
          <w:rFonts w:ascii="Arial" w:hAnsi="Arial" w:cs="Arial"/>
          <w:sz w:val="21"/>
          <w:szCs w:val="21"/>
          <w:lang w:val="it-IT"/>
        </w:rPr>
        <w:t>registrativo</w:t>
      </w:r>
      <w:proofErr w:type="spellEnd"/>
      <w:r w:rsidR="00C96AD0">
        <w:rPr>
          <w:rFonts w:ascii="Arial" w:hAnsi="Arial" w:cs="Arial"/>
          <w:sz w:val="21"/>
          <w:szCs w:val="21"/>
          <w:lang w:val="it-IT"/>
        </w:rPr>
        <w:t xml:space="preserve"> </w:t>
      </w:r>
      <w:r w:rsidRPr="00D6547B">
        <w:rPr>
          <w:rFonts w:ascii="Arial" w:hAnsi="Arial" w:cs="Arial"/>
          <w:sz w:val="21"/>
          <w:szCs w:val="21"/>
          <w:lang w:val="it-IT"/>
        </w:rPr>
        <w:t xml:space="preserve">ai fini dell’approvazione, i produttori di biosimilari sono tenuti a fornire </w:t>
      </w:r>
      <w:r w:rsidR="00FB1779" w:rsidRPr="00D6547B">
        <w:rPr>
          <w:rFonts w:ascii="Arial" w:hAnsi="Arial" w:cs="Arial"/>
          <w:sz w:val="21"/>
          <w:szCs w:val="21"/>
          <w:lang w:val="it-IT"/>
        </w:rPr>
        <w:t xml:space="preserve">sia </w:t>
      </w:r>
      <w:r w:rsidRPr="00D6547B">
        <w:rPr>
          <w:rFonts w:ascii="Arial" w:hAnsi="Arial" w:cs="Arial"/>
          <w:sz w:val="21"/>
          <w:szCs w:val="21"/>
          <w:lang w:val="it-IT"/>
        </w:rPr>
        <w:t>dati di sicurezza ed efficacia provenienti da studi sia non-clinici che clinici</w:t>
      </w:r>
      <w:r w:rsidR="004D4F3E">
        <w:rPr>
          <w:rFonts w:ascii="Arial" w:hAnsi="Arial" w:cs="Arial"/>
          <w:sz w:val="21"/>
          <w:szCs w:val="21"/>
          <w:lang w:val="it-IT"/>
        </w:rPr>
        <w:t xml:space="preserve"> (</w:t>
      </w:r>
      <w:r w:rsidRPr="00D6547B">
        <w:rPr>
          <w:rFonts w:ascii="Arial" w:hAnsi="Arial" w:cs="Arial"/>
          <w:sz w:val="21"/>
          <w:szCs w:val="21"/>
          <w:lang w:val="it-IT"/>
        </w:rPr>
        <w:t xml:space="preserve">per garantire la piena </w:t>
      </w:r>
      <w:r w:rsidR="00FB1779" w:rsidRPr="00D6547B">
        <w:rPr>
          <w:rFonts w:ascii="Arial" w:hAnsi="Arial" w:cs="Arial"/>
          <w:sz w:val="21"/>
          <w:szCs w:val="21"/>
          <w:lang w:val="it-IT"/>
        </w:rPr>
        <w:t>comparabilità</w:t>
      </w:r>
      <w:r w:rsidRPr="00D6547B">
        <w:rPr>
          <w:rFonts w:ascii="Arial" w:hAnsi="Arial" w:cs="Arial"/>
          <w:sz w:val="21"/>
          <w:szCs w:val="21"/>
          <w:lang w:val="it-IT"/>
        </w:rPr>
        <w:t xml:space="preserve"> in termini di qualità, efficacia e sicurezza</w:t>
      </w:r>
      <w:r w:rsidR="004D4F3E">
        <w:rPr>
          <w:rFonts w:ascii="Arial" w:hAnsi="Arial" w:cs="Arial"/>
          <w:sz w:val="21"/>
          <w:szCs w:val="21"/>
          <w:lang w:val="it-IT"/>
        </w:rPr>
        <w:t>)</w:t>
      </w:r>
      <w:r w:rsidR="00FB1779" w:rsidRPr="00D6547B">
        <w:rPr>
          <w:rFonts w:ascii="Arial" w:hAnsi="Arial" w:cs="Arial"/>
          <w:sz w:val="21"/>
          <w:szCs w:val="21"/>
          <w:lang w:val="it-IT"/>
        </w:rPr>
        <w:t>, sia un monitoraggio post-autorizzativo e un piano di gestione del rischio</w:t>
      </w:r>
      <w:r w:rsidR="00FB1779" w:rsidRPr="00D6547B">
        <w:rPr>
          <w:rFonts w:ascii="Arial" w:hAnsi="Arial" w:cs="Arial"/>
          <w:sz w:val="21"/>
          <w:szCs w:val="21"/>
          <w:vertAlign w:val="superscript"/>
          <w:lang w:val="it-IT"/>
        </w:rPr>
        <w:t>5</w:t>
      </w:r>
      <w:r w:rsidR="00EE5879" w:rsidRPr="00D6547B">
        <w:rPr>
          <w:rFonts w:ascii="Arial" w:hAnsi="Arial" w:cs="Arial"/>
          <w:sz w:val="21"/>
          <w:szCs w:val="21"/>
          <w:lang w:val="it-IT"/>
        </w:rPr>
        <w:t>.</w:t>
      </w:r>
    </w:p>
    <w:p w:rsidR="00B50FB6" w:rsidRPr="00D6547B" w:rsidRDefault="00FB1779" w:rsidP="00EE5879">
      <w:pPr>
        <w:pStyle w:val="Nessunaspaziatura"/>
        <w:numPr>
          <w:ilvl w:val="1"/>
          <w:numId w:val="9"/>
        </w:numPr>
        <w:spacing w:after="80"/>
        <w:jc w:val="both"/>
        <w:rPr>
          <w:rFonts w:ascii="Arial" w:hAnsi="Arial" w:cs="Arial"/>
          <w:sz w:val="21"/>
          <w:szCs w:val="21"/>
          <w:lang w:val="it-IT"/>
        </w:rPr>
      </w:pPr>
      <w:r w:rsidRPr="00D6547B">
        <w:rPr>
          <w:rFonts w:ascii="Arial" w:hAnsi="Arial" w:cs="Arial"/>
          <w:sz w:val="21"/>
          <w:szCs w:val="21"/>
          <w:lang w:val="it-IT"/>
        </w:rPr>
        <w:t>Anche la presentazione di “dati di comparabilità” è essenziale per dimostrare che il biosimilare non presenta differenze significative rispetto al prodotto di riferimento</w:t>
      </w:r>
      <w:r w:rsidRPr="00D6547B">
        <w:rPr>
          <w:rFonts w:ascii="Arial" w:hAnsi="Arial" w:cs="Arial"/>
          <w:sz w:val="21"/>
          <w:szCs w:val="21"/>
          <w:vertAlign w:val="superscript"/>
          <w:lang w:val="it-IT"/>
        </w:rPr>
        <w:t>5</w:t>
      </w:r>
      <w:r w:rsidR="00EE5879" w:rsidRPr="00D6547B">
        <w:rPr>
          <w:rFonts w:ascii="Arial" w:hAnsi="Arial" w:cs="Arial"/>
          <w:sz w:val="21"/>
          <w:szCs w:val="21"/>
          <w:lang w:val="it-IT"/>
        </w:rPr>
        <w:t>.</w:t>
      </w:r>
    </w:p>
    <w:p w:rsidR="00FC7BBB" w:rsidRPr="00D6547B" w:rsidRDefault="008A5841" w:rsidP="00EE5879">
      <w:pPr>
        <w:pStyle w:val="Nessunaspaziatura"/>
        <w:numPr>
          <w:ilvl w:val="0"/>
          <w:numId w:val="9"/>
        </w:numPr>
        <w:spacing w:after="80"/>
        <w:ind w:left="357" w:hanging="357"/>
        <w:jc w:val="both"/>
        <w:rPr>
          <w:rFonts w:ascii="Arial" w:hAnsi="Arial" w:cs="Arial"/>
          <w:sz w:val="21"/>
          <w:szCs w:val="21"/>
          <w:lang w:val="it-IT"/>
        </w:rPr>
      </w:pPr>
      <w:r w:rsidRPr="00D6547B">
        <w:rPr>
          <w:rFonts w:ascii="Arial" w:hAnsi="Arial" w:cs="Arial"/>
          <w:sz w:val="21"/>
          <w:szCs w:val="21"/>
          <w:lang w:val="it-IT"/>
        </w:rPr>
        <w:t>Il principio attivo di un biosimilare e del suo medicinale di riferimento è lo stesso, sebbene po</w:t>
      </w:r>
      <w:r w:rsidR="00E3080A">
        <w:rPr>
          <w:rFonts w:ascii="Arial" w:hAnsi="Arial" w:cs="Arial"/>
          <w:sz w:val="21"/>
          <w:szCs w:val="21"/>
          <w:lang w:val="it-IT"/>
        </w:rPr>
        <w:t>ssano</w:t>
      </w:r>
      <w:r w:rsidRPr="00D6547B">
        <w:rPr>
          <w:rFonts w:ascii="Arial" w:hAnsi="Arial" w:cs="Arial"/>
          <w:sz w:val="21"/>
          <w:szCs w:val="21"/>
          <w:lang w:val="it-IT"/>
        </w:rPr>
        <w:t xml:space="preserve"> esser</w:t>
      </w:r>
      <w:r w:rsidR="00E3080A">
        <w:rPr>
          <w:rFonts w:ascii="Arial" w:hAnsi="Arial" w:cs="Arial"/>
          <w:sz w:val="21"/>
          <w:szCs w:val="21"/>
          <w:lang w:val="it-IT"/>
        </w:rPr>
        <w:t>v</w:t>
      </w:r>
      <w:r w:rsidRPr="00D6547B">
        <w:rPr>
          <w:rFonts w:ascii="Arial" w:hAnsi="Arial" w:cs="Arial"/>
          <w:sz w:val="21"/>
          <w:szCs w:val="21"/>
          <w:lang w:val="it-IT"/>
        </w:rPr>
        <w:t xml:space="preserve">i differenze di minore entità a causa </w:t>
      </w:r>
      <w:r w:rsidR="00F02A03">
        <w:rPr>
          <w:rFonts w:ascii="Arial" w:hAnsi="Arial" w:cs="Arial"/>
          <w:sz w:val="21"/>
          <w:szCs w:val="21"/>
          <w:lang w:val="it-IT"/>
        </w:rPr>
        <w:t xml:space="preserve">della natura complessa di queste molecole e </w:t>
      </w:r>
      <w:r w:rsidR="0011361E" w:rsidRPr="00D6547B">
        <w:rPr>
          <w:rFonts w:ascii="Arial" w:hAnsi="Arial" w:cs="Arial"/>
          <w:sz w:val="21"/>
          <w:szCs w:val="21"/>
          <w:lang w:val="it-IT"/>
        </w:rPr>
        <w:t>dei</w:t>
      </w:r>
      <w:r w:rsidRPr="00D6547B">
        <w:rPr>
          <w:rFonts w:ascii="Arial" w:hAnsi="Arial" w:cs="Arial"/>
          <w:sz w:val="21"/>
          <w:szCs w:val="21"/>
          <w:lang w:val="it-IT"/>
        </w:rPr>
        <w:t xml:space="preserve"> complessi metodi di </w:t>
      </w:r>
      <w:r w:rsidR="0011361E" w:rsidRPr="00D6547B">
        <w:rPr>
          <w:rFonts w:ascii="Arial" w:hAnsi="Arial" w:cs="Arial"/>
          <w:sz w:val="21"/>
          <w:szCs w:val="21"/>
          <w:lang w:val="it-IT"/>
        </w:rPr>
        <w:t>p</w:t>
      </w:r>
      <w:r w:rsidRPr="00D6547B">
        <w:rPr>
          <w:rFonts w:ascii="Arial" w:hAnsi="Arial" w:cs="Arial"/>
          <w:sz w:val="21"/>
          <w:szCs w:val="21"/>
          <w:lang w:val="it-IT"/>
        </w:rPr>
        <w:t>roduzione</w:t>
      </w:r>
      <w:r w:rsidR="0011361E" w:rsidRPr="00D6547B">
        <w:rPr>
          <w:rFonts w:ascii="Arial" w:hAnsi="Arial" w:cs="Arial"/>
          <w:sz w:val="21"/>
          <w:szCs w:val="21"/>
          <w:lang w:val="it-IT"/>
        </w:rPr>
        <w:t>.</w:t>
      </w:r>
      <w:r w:rsidR="00CD08F4" w:rsidRPr="00D6547B">
        <w:rPr>
          <w:rFonts w:ascii="Arial" w:hAnsi="Arial" w:cs="Arial"/>
          <w:sz w:val="21"/>
          <w:szCs w:val="21"/>
          <w:lang w:val="it-IT"/>
        </w:rPr>
        <w:t xml:space="preserve"> Dal momento che sia</w:t>
      </w:r>
      <w:r w:rsidR="0011361E" w:rsidRPr="00D6547B">
        <w:rPr>
          <w:rFonts w:ascii="Arial" w:hAnsi="Arial" w:cs="Arial"/>
          <w:sz w:val="21"/>
          <w:szCs w:val="21"/>
          <w:lang w:val="it-IT"/>
        </w:rPr>
        <w:t xml:space="preserve"> il </w:t>
      </w:r>
      <w:r w:rsidR="00CD08F4" w:rsidRPr="00D6547B">
        <w:rPr>
          <w:rFonts w:ascii="Arial" w:hAnsi="Arial" w:cs="Arial"/>
          <w:sz w:val="21"/>
          <w:szCs w:val="21"/>
          <w:lang w:val="it-IT"/>
        </w:rPr>
        <w:t>medicinale di riferimento che</w:t>
      </w:r>
      <w:r w:rsidR="0011361E" w:rsidRPr="00D6547B">
        <w:rPr>
          <w:rFonts w:ascii="Arial" w:hAnsi="Arial" w:cs="Arial"/>
          <w:sz w:val="21"/>
          <w:szCs w:val="21"/>
          <w:lang w:val="it-IT"/>
        </w:rPr>
        <w:t xml:space="preserve"> il biosimilare ha</w:t>
      </w:r>
      <w:r w:rsidR="00CD08F4" w:rsidRPr="00D6547B">
        <w:rPr>
          <w:rFonts w:ascii="Arial" w:hAnsi="Arial" w:cs="Arial"/>
          <w:sz w:val="21"/>
          <w:szCs w:val="21"/>
          <w:lang w:val="it-IT"/>
        </w:rPr>
        <w:t>nno</w:t>
      </w:r>
      <w:r w:rsidR="0011361E" w:rsidRPr="00D6547B">
        <w:rPr>
          <w:rFonts w:ascii="Arial" w:hAnsi="Arial" w:cs="Arial"/>
          <w:sz w:val="21"/>
          <w:szCs w:val="21"/>
          <w:lang w:val="it-IT"/>
        </w:rPr>
        <w:t xml:space="preserve"> u</w:t>
      </w:r>
      <w:r w:rsidR="00CD08F4" w:rsidRPr="00D6547B">
        <w:rPr>
          <w:rFonts w:ascii="Arial" w:hAnsi="Arial" w:cs="Arial"/>
          <w:sz w:val="21"/>
          <w:szCs w:val="21"/>
          <w:lang w:val="it-IT"/>
        </w:rPr>
        <w:t>n grado di variabilità naturale, vengono condotti studi</w:t>
      </w:r>
      <w:r w:rsidR="00FC7BBB" w:rsidRPr="00D6547B">
        <w:rPr>
          <w:rFonts w:ascii="Arial" w:hAnsi="Arial" w:cs="Arial"/>
          <w:sz w:val="21"/>
          <w:szCs w:val="21"/>
          <w:lang w:val="it-IT"/>
        </w:rPr>
        <w:t xml:space="preserve"> per assicurarsi che tali differenze non influiscano sulla sicurezza e </w:t>
      </w:r>
      <w:r w:rsidR="00B24081">
        <w:rPr>
          <w:rFonts w:ascii="Arial" w:hAnsi="Arial" w:cs="Arial"/>
          <w:sz w:val="21"/>
          <w:szCs w:val="21"/>
          <w:lang w:val="it-IT"/>
        </w:rPr>
        <w:t>sul</w:t>
      </w:r>
      <w:r w:rsidR="00FC7BBB" w:rsidRPr="00D6547B">
        <w:rPr>
          <w:rFonts w:ascii="Arial" w:hAnsi="Arial" w:cs="Arial"/>
          <w:sz w:val="21"/>
          <w:szCs w:val="21"/>
          <w:lang w:val="it-IT"/>
        </w:rPr>
        <w:t>l’efficacia del biosimilare</w:t>
      </w:r>
      <w:r w:rsidR="00FC7BBB" w:rsidRPr="00D6547B">
        <w:rPr>
          <w:rFonts w:ascii="Arial" w:hAnsi="Arial" w:cs="Arial"/>
          <w:sz w:val="21"/>
          <w:szCs w:val="21"/>
          <w:vertAlign w:val="superscript"/>
          <w:lang w:val="it-IT"/>
        </w:rPr>
        <w:t>6</w:t>
      </w:r>
      <w:r w:rsidR="00EE5879" w:rsidRPr="00D6547B">
        <w:rPr>
          <w:rFonts w:ascii="Arial" w:hAnsi="Arial" w:cs="Arial"/>
          <w:sz w:val="21"/>
          <w:szCs w:val="21"/>
          <w:lang w:val="it-IT"/>
        </w:rPr>
        <w:t>.</w:t>
      </w:r>
    </w:p>
    <w:p w:rsidR="00EE5879" w:rsidRPr="00BA5509" w:rsidRDefault="00BA5509" w:rsidP="00BA5509">
      <w:pPr>
        <w:pStyle w:val="Nessunaspaziatura"/>
        <w:numPr>
          <w:ilvl w:val="0"/>
          <w:numId w:val="9"/>
        </w:numPr>
        <w:spacing w:after="80"/>
        <w:ind w:left="357" w:hanging="357"/>
        <w:jc w:val="both"/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t>La p</w:t>
      </w:r>
      <w:r w:rsidRPr="00BA5509">
        <w:rPr>
          <w:rFonts w:ascii="Arial" w:hAnsi="Arial" w:cs="Arial"/>
          <w:sz w:val="21"/>
          <w:szCs w:val="21"/>
          <w:lang w:val="it-IT"/>
        </w:rPr>
        <w:t>rocedura di registrazione è la stessa per tutti i farmaci biologici</w:t>
      </w:r>
      <w:r>
        <w:rPr>
          <w:rFonts w:ascii="Arial" w:hAnsi="Arial" w:cs="Arial"/>
          <w:sz w:val="21"/>
          <w:szCs w:val="21"/>
          <w:lang w:val="it-IT"/>
        </w:rPr>
        <w:t xml:space="preserve">: </w:t>
      </w:r>
      <w:r w:rsidRPr="00BA5509">
        <w:rPr>
          <w:rFonts w:ascii="Arial" w:hAnsi="Arial" w:cs="Arial"/>
          <w:sz w:val="21"/>
          <w:szCs w:val="21"/>
          <w:lang w:val="it-IT"/>
        </w:rPr>
        <w:t>è centralizzata a livello europeo ed è vincolante per ogni Stato membro</w:t>
      </w:r>
      <w:r w:rsidRPr="00BA5509">
        <w:rPr>
          <w:rFonts w:ascii="Arial" w:hAnsi="Arial" w:cs="Arial"/>
          <w:sz w:val="21"/>
          <w:szCs w:val="21"/>
          <w:vertAlign w:val="superscript"/>
          <w:lang w:val="it-IT"/>
        </w:rPr>
        <w:t>7</w:t>
      </w:r>
      <w:r>
        <w:rPr>
          <w:rFonts w:ascii="Arial" w:hAnsi="Arial" w:cs="Arial"/>
          <w:sz w:val="21"/>
          <w:szCs w:val="21"/>
          <w:lang w:val="it-IT"/>
        </w:rPr>
        <w:t>. L</w:t>
      </w:r>
      <w:r w:rsidRPr="00BA5509">
        <w:rPr>
          <w:rFonts w:ascii="Arial" w:hAnsi="Arial" w:cs="Arial"/>
          <w:sz w:val="21"/>
          <w:szCs w:val="21"/>
          <w:lang w:val="it-IT"/>
        </w:rPr>
        <w:t xml:space="preserve">’EMA (Agenzia Europea </w:t>
      </w:r>
      <w:r>
        <w:rPr>
          <w:rFonts w:ascii="Arial" w:hAnsi="Arial" w:cs="Arial"/>
          <w:sz w:val="21"/>
          <w:szCs w:val="21"/>
          <w:lang w:val="it-IT"/>
        </w:rPr>
        <w:t xml:space="preserve">per </w:t>
      </w:r>
      <w:r w:rsidRPr="00BA5509">
        <w:rPr>
          <w:rFonts w:ascii="Arial" w:hAnsi="Arial" w:cs="Arial"/>
          <w:sz w:val="21"/>
          <w:szCs w:val="21"/>
          <w:lang w:val="it-IT"/>
        </w:rPr>
        <w:t>i Medicinali)</w:t>
      </w:r>
      <w:r>
        <w:rPr>
          <w:rFonts w:ascii="Arial" w:hAnsi="Arial" w:cs="Arial"/>
          <w:sz w:val="21"/>
          <w:szCs w:val="21"/>
          <w:lang w:val="it-IT"/>
        </w:rPr>
        <w:t>,</w:t>
      </w:r>
      <w:r w:rsidRPr="00BA5509">
        <w:rPr>
          <w:rFonts w:ascii="Arial" w:hAnsi="Arial" w:cs="Arial"/>
          <w:sz w:val="21"/>
          <w:szCs w:val="21"/>
          <w:lang w:val="it-IT"/>
        </w:rPr>
        <w:t xml:space="preserve"> attraverso il Comitato per i Prodotti Medicinali ad uso umano (CHMP)</w:t>
      </w:r>
      <w:r>
        <w:rPr>
          <w:rFonts w:ascii="Arial" w:hAnsi="Arial" w:cs="Arial"/>
          <w:sz w:val="21"/>
          <w:szCs w:val="21"/>
          <w:lang w:val="it-IT"/>
        </w:rPr>
        <w:t>,</w:t>
      </w:r>
      <w:r w:rsidRPr="00BA5509">
        <w:rPr>
          <w:rFonts w:ascii="Arial" w:hAnsi="Arial" w:cs="Arial"/>
          <w:sz w:val="21"/>
          <w:szCs w:val="21"/>
          <w:lang w:val="it-IT"/>
        </w:rPr>
        <w:t xml:space="preserve"> rilascia l'autorizzazione all'immissione in commercio dopo aver valutato informazioni generali, materie prime (principio attivo ed eccipienti), processo di produzione, controlli di qualità, caratterizzazione e controllo della sostanza attiva e i risultati degli studi clinici di fase I e III. In Italia, l’AIFA valuta la rimborsabilità del farmaco </w:t>
      </w:r>
      <w:proofErr w:type="spellStart"/>
      <w:r w:rsidRPr="00BA5509">
        <w:rPr>
          <w:rFonts w:ascii="Arial" w:hAnsi="Arial" w:cs="Arial"/>
          <w:sz w:val="21"/>
          <w:szCs w:val="21"/>
          <w:lang w:val="it-IT"/>
        </w:rPr>
        <w:t>biosimilare</w:t>
      </w:r>
      <w:proofErr w:type="spellEnd"/>
      <w:r w:rsidRPr="00BA5509">
        <w:rPr>
          <w:rFonts w:ascii="Arial" w:hAnsi="Arial" w:cs="Arial"/>
          <w:sz w:val="21"/>
          <w:szCs w:val="21"/>
          <w:lang w:val="it-IT"/>
        </w:rPr>
        <w:t>, ne deci</w:t>
      </w:r>
      <w:r>
        <w:rPr>
          <w:rFonts w:ascii="Arial" w:hAnsi="Arial" w:cs="Arial"/>
          <w:sz w:val="21"/>
          <w:szCs w:val="21"/>
          <w:lang w:val="it-IT"/>
        </w:rPr>
        <w:t>de il regime di dispensazione e</w:t>
      </w:r>
      <w:r w:rsidRPr="00BA5509">
        <w:rPr>
          <w:rFonts w:ascii="Arial" w:hAnsi="Arial" w:cs="Arial"/>
          <w:sz w:val="21"/>
          <w:szCs w:val="21"/>
          <w:lang w:val="it-IT"/>
        </w:rPr>
        <w:t xml:space="preserve"> ne </w:t>
      </w:r>
      <w:r w:rsidR="00D54E22">
        <w:rPr>
          <w:rFonts w:ascii="Arial" w:hAnsi="Arial" w:cs="Arial"/>
          <w:sz w:val="21"/>
          <w:szCs w:val="21"/>
          <w:lang w:val="it-IT"/>
        </w:rPr>
        <w:t>negozia</w:t>
      </w:r>
      <w:r w:rsidRPr="00BA5509">
        <w:rPr>
          <w:rFonts w:ascii="Arial" w:hAnsi="Arial" w:cs="Arial"/>
          <w:sz w:val="21"/>
          <w:szCs w:val="21"/>
          <w:lang w:val="it-IT"/>
        </w:rPr>
        <w:t xml:space="preserve"> il prezzo</w:t>
      </w:r>
      <w:r w:rsidR="0027462E">
        <w:rPr>
          <w:rFonts w:ascii="Arial" w:hAnsi="Arial" w:cs="Arial"/>
          <w:sz w:val="21"/>
          <w:szCs w:val="21"/>
          <w:lang w:val="it-IT"/>
        </w:rPr>
        <w:t xml:space="preserve"> con il produttore</w:t>
      </w:r>
      <w:r w:rsidRPr="00BA5509">
        <w:rPr>
          <w:rFonts w:ascii="Arial" w:hAnsi="Arial" w:cs="Arial"/>
          <w:sz w:val="21"/>
          <w:szCs w:val="21"/>
          <w:lang w:val="it-IT"/>
        </w:rPr>
        <w:t>.</w:t>
      </w:r>
    </w:p>
    <w:p w:rsidR="00CB2C71" w:rsidRDefault="001D2097" w:rsidP="00EE5879">
      <w:pPr>
        <w:pStyle w:val="Paragrafoelenco"/>
        <w:numPr>
          <w:ilvl w:val="0"/>
          <w:numId w:val="2"/>
        </w:numPr>
        <w:spacing w:after="8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  <w:lang w:val="it-IT"/>
        </w:rPr>
      </w:pPr>
      <w:r w:rsidRPr="00D6547B">
        <w:rPr>
          <w:rFonts w:ascii="Arial" w:hAnsi="Arial" w:cs="Arial"/>
          <w:sz w:val="21"/>
          <w:szCs w:val="21"/>
          <w:lang w:val="it-IT"/>
        </w:rPr>
        <w:t>Il primo biosimilare ad essere approvato da</w:t>
      </w:r>
      <w:r w:rsidR="00207359">
        <w:rPr>
          <w:rFonts w:ascii="Arial" w:hAnsi="Arial" w:cs="Arial"/>
          <w:sz w:val="21"/>
          <w:szCs w:val="21"/>
          <w:lang w:val="it-IT"/>
        </w:rPr>
        <w:t xml:space="preserve"> </w:t>
      </w:r>
      <w:r w:rsidRPr="00D6547B">
        <w:rPr>
          <w:rFonts w:ascii="Arial" w:hAnsi="Arial" w:cs="Arial"/>
          <w:sz w:val="21"/>
          <w:szCs w:val="21"/>
          <w:lang w:val="it-IT"/>
        </w:rPr>
        <w:t xml:space="preserve">EMA è stato </w:t>
      </w:r>
      <w:r w:rsidR="00C9135F" w:rsidRPr="00D6547B">
        <w:rPr>
          <w:rFonts w:ascii="Arial" w:hAnsi="Arial" w:cs="Arial"/>
          <w:sz w:val="21"/>
          <w:szCs w:val="21"/>
          <w:lang w:val="it-IT"/>
        </w:rPr>
        <w:t xml:space="preserve">l’ormone della crescita umano </w:t>
      </w:r>
      <w:proofErr w:type="spellStart"/>
      <w:r w:rsidR="00C9135F" w:rsidRPr="00D6547B">
        <w:rPr>
          <w:rFonts w:ascii="Arial" w:hAnsi="Arial" w:cs="Arial"/>
          <w:sz w:val="21"/>
          <w:szCs w:val="21"/>
          <w:lang w:val="it-IT"/>
        </w:rPr>
        <w:t>Omnitrope</w:t>
      </w:r>
      <w:proofErr w:type="spellEnd"/>
      <w:r w:rsidR="00C9135F" w:rsidRPr="00D6547B">
        <w:rPr>
          <w:rFonts w:ascii="Arial" w:hAnsi="Arial" w:cs="Arial"/>
          <w:sz w:val="21"/>
          <w:szCs w:val="21"/>
          <w:vertAlign w:val="superscript"/>
          <w:lang w:val="it-IT"/>
        </w:rPr>
        <w:t>®</w:t>
      </w:r>
      <w:r w:rsidR="00C9135F" w:rsidRPr="00D6547B">
        <w:rPr>
          <w:rFonts w:ascii="Arial" w:hAnsi="Arial" w:cs="Arial"/>
          <w:sz w:val="21"/>
          <w:szCs w:val="21"/>
          <w:lang w:val="it-IT"/>
        </w:rPr>
        <w:t xml:space="preserve"> (</w:t>
      </w:r>
      <w:proofErr w:type="spellStart"/>
      <w:r w:rsidR="00C9135F" w:rsidRPr="00D6547B">
        <w:rPr>
          <w:rFonts w:ascii="Arial" w:hAnsi="Arial" w:cs="Arial"/>
          <w:sz w:val="21"/>
          <w:szCs w:val="21"/>
          <w:lang w:val="it-IT"/>
        </w:rPr>
        <w:t>somatropina</w:t>
      </w:r>
      <w:proofErr w:type="spellEnd"/>
      <w:r w:rsidR="00C9135F" w:rsidRPr="00D6547B">
        <w:rPr>
          <w:rFonts w:ascii="Arial" w:hAnsi="Arial" w:cs="Arial"/>
          <w:sz w:val="21"/>
          <w:szCs w:val="21"/>
          <w:lang w:val="it-IT"/>
        </w:rPr>
        <w:t>)</w:t>
      </w:r>
      <w:r w:rsidR="00217A01" w:rsidRPr="00D6547B">
        <w:rPr>
          <w:rFonts w:ascii="Arial" w:hAnsi="Arial" w:cs="Arial"/>
          <w:sz w:val="21"/>
          <w:szCs w:val="21"/>
          <w:lang w:val="it-IT"/>
        </w:rPr>
        <w:t xml:space="preserve"> nel 2006</w:t>
      </w:r>
      <w:r w:rsidR="00F65103" w:rsidRPr="00D6547B">
        <w:rPr>
          <w:rFonts w:ascii="Arial" w:hAnsi="Arial" w:cs="Arial"/>
          <w:sz w:val="21"/>
          <w:szCs w:val="21"/>
          <w:lang w:val="it-IT"/>
        </w:rPr>
        <w:t xml:space="preserve">. Attualmente </w:t>
      </w:r>
      <w:r w:rsidR="00217A01" w:rsidRPr="00D6547B">
        <w:rPr>
          <w:rFonts w:ascii="Arial" w:hAnsi="Arial" w:cs="Arial"/>
          <w:sz w:val="21"/>
          <w:szCs w:val="21"/>
          <w:lang w:val="it-IT"/>
        </w:rPr>
        <w:t xml:space="preserve">in Europa </w:t>
      </w:r>
      <w:r w:rsidR="00F65103" w:rsidRPr="00D6547B">
        <w:rPr>
          <w:rFonts w:ascii="Arial" w:hAnsi="Arial" w:cs="Arial"/>
          <w:sz w:val="21"/>
          <w:szCs w:val="21"/>
          <w:lang w:val="it-IT"/>
        </w:rPr>
        <w:t>ci sono 20 biosimilari approvati</w:t>
      </w:r>
      <w:r w:rsidR="00217A01" w:rsidRPr="00D6547B">
        <w:rPr>
          <w:rFonts w:ascii="Arial" w:hAnsi="Arial" w:cs="Arial"/>
          <w:sz w:val="21"/>
          <w:szCs w:val="21"/>
          <w:lang w:val="it-IT"/>
        </w:rPr>
        <w:t xml:space="preserve"> per il trattamento di patologie quali tumore, diabete, malattie infiammatorie autoimmuni, infarto, ictus e sclerosi multipla</w:t>
      </w:r>
      <w:r w:rsidR="00217A01" w:rsidRPr="00D6547B">
        <w:rPr>
          <w:rFonts w:ascii="Arial" w:hAnsi="Arial" w:cs="Arial"/>
          <w:sz w:val="21"/>
          <w:szCs w:val="21"/>
          <w:vertAlign w:val="superscript"/>
          <w:lang w:val="it-IT"/>
        </w:rPr>
        <w:t>3,8</w:t>
      </w:r>
      <w:r w:rsidR="00EE5879" w:rsidRPr="00D6547B">
        <w:rPr>
          <w:rFonts w:ascii="Arial" w:hAnsi="Arial" w:cs="Arial"/>
          <w:sz w:val="21"/>
          <w:szCs w:val="21"/>
          <w:lang w:val="it-IT"/>
        </w:rPr>
        <w:t xml:space="preserve">. </w:t>
      </w:r>
      <w:r w:rsidR="00F11B57" w:rsidRPr="00D6547B">
        <w:rPr>
          <w:rFonts w:ascii="Arial" w:hAnsi="Arial" w:cs="Arial"/>
          <w:sz w:val="21"/>
          <w:szCs w:val="21"/>
          <w:lang w:val="it-IT"/>
        </w:rPr>
        <w:t xml:space="preserve">Sia </w:t>
      </w:r>
      <w:r w:rsidR="00EE5879" w:rsidRPr="00D6547B">
        <w:rPr>
          <w:rFonts w:ascii="Arial" w:hAnsi="Arial" w:cs="Arial"/>
          <w:sz w:val="21"/>
          <w:szCs w:val="21"/>
          <w:lang w:val="it-IT"/>
        </w:rPr>
        <w:t>i</w:t>
      </w:r>
      <w:r w:rsidR="00F11B57" w:rsidRPr="00D6547B">
        <w:rPr>
          <w:rFonts w:ascii="Arial" w:hAnsi="Arial" w:cs="Arial"/>
          <w:sz w:val="21"/>
          <w:szCs w:val="21"/>
          <w:lang w:val="it-IT"/>
        </w:rPr>
        <w:t xml:space="preserve"> </w:t>
      </w:r>
      <w:r w:rsidR="00C967BA">
        <w:rPr>
          <w:rFonts w:ascii="Arial" w:hAnsi="Arial" w:cs="Arial"/>
          <w:sz w:val="21"/>
          <w:szCs w:val="21"/>
          <w:lang w:val="it-IT"/>
        </w:rPr>
        <w:t>farmaci</w:t>
      </w:r>
      <w:r w:rsidR="00F11B57" w:rsidRPr="00D6547B">
        <w:rPr>
          <w:rFonts w:ascii="Arial" w:hAnsi="Arial" w:cs="Arial"/>
          <w:sz w:val="21"/>
          <w:szCs w:val="21"/>
          <w:lang w:val="it-IT"/>
        </w:rPr>
        <w:t xml:space="preserve"> di riferimento che i medicinali biosimilari sono prodotti in condizioni rigorosamente controllate</w:t>
      </w:r>
      <w:r w:rsidR="00C967BA">
        <w:rPr>
          <w:rFonts w:ascii="Arial" w:hAnsi="Arial" w:cs="Arial"/>
          <w:sz w:val="21"/>
          <w:szCs w:val="21"/>
          <w:lang w:val="it-IT"/>
        </w:rPr>
        <w:t>,</w:t>
      </w:r>
      <w:r w:rsidR="00F11B57" w:rsidRPr="00D6547B">
        <w:rPr>
          <w:rFonts w:ascii="Arial" w:hAnsi="Arial" w:cs="Arial"/>
          <w:sz w:val="21"/>
          <w:szCs w:val="21"/>
          <w:lang w:val="it-IT"/>
        </w:rPr>
        <w:t xml:space="preserve"> per garantire che siano</w:t>
      </w:r>
      <w:r w:rsidR="00CB2C71" w:rsidRPr="00D6547B">
        <w:rPr>
          <w:rFonts w:ascii="Arial" w:hAnsi="Arial" w:cs="Arial"/>
          <w:sz w:val="21"/>
          <w:szCs w:val="21"/>
          <w:lang w:val="it-IT"/>
        </w:rPr>
        <w:t xml:space="preserve"> conformi e della qualità richiesta, secondo la cosiddetta Buona Pratica di Fabbricazione (GMP - </w:t>
      </w:r>
      <w:proofErr w:type="spellStart"/>
      <w:r w:rsidR="00CB2C71" w:rsidRPr="00D6547B">
        <w:rPr>
          <w:rFonts w:ascii="Arial" w:hAnsi="Arial" w:cs="Arial"/>
          <w:sz w:val="21"/>
          <w:szCs w:val="21"/>
          <w:lang w:val="it-IT"/>
        </w:rPr>
        <w:t>Good</w:t>
      </w:r>
      <w:proofErr w:type="spellEnd"/>
      <w:r w:rsidR="00CB2C71" w:rsidRPr="00D6547B">
        <w:rPr>
          <w:rFonts w:ascii="Arial" w:hAnsi="Arial" w:cs="Arial"/>
          <w:sz w:val="21"/>
          <w:szCs w:val="21"/>
          <w:lang w:val="it-IT"/>
        </w:rPr>
        <w:t xml:space="preserve"> Manufacturing </w:t>
      </w:r>
      <w:proofErr w:type="spellStart"/>
      <w:r w:rsidR="00CB2C71" w:rsidRPr="00D6547B">
        <w:rPr>
          <w:rFonts w:ascii="Arial" w:hAnsi="Arial" w:cs="Arial"/>
          <w:sz w:val="21"/>
          <w:szCs w:val="21"/>
          <w:lang w:val="it-IT"/>
        </w:rPr>
        <w:t>Practice</w:t>
      </w:r>
      <w:proofErr w:type="spellEnd"/>
      <w:r w:rsidR="00CB2C71" w:rsidRPr="00D6547B">
        <w:rPr>
          <w:rFonts w:ascii="Arial" w:hAnsi="Arial" w:cs="Arial"/>
          <w:sz w:val="21"/>
          <w:szCs w:val="21"/>
          <w:lang w:val="it-IT"/>
        </w:rPr>
        <w:t>)</w:t>
      </w:r>
      <w:r w:rsidR="00CB2C71" w:rsidRPr="00D6547B">
        <w:rPr>
          <w:rFonts w:ascii="Arial" w:hAnsi="Arial" w:cs="Arial"/>
          <w:sz w:val="21"/>
          <w:szCs w:val="21"/>
          <w:vertAlign w:val="superscript"/>
          <w:lang w:val="it-IT"/>
        </w:rPr>
        <w:t>7</w:t>
      </w:r>
      <w:r w:rsidR="00EE5879" w:rsidRPr="00D6547B">
        <w:rPr>
          <w:rFonts w:ascii="Arial" w:hAnsi="Arial" w:cs="Arial"/>
          <w:sz w:val="21"/>
          <w:szCs w:val="21"/>
          <w:lang w:val="it-IT"/>
        </w:rPr>
        <w:t>.</w:t>
      </w:r>
    </w:p>
    <w:p w:rsidR="00E16F2A" w:rsidRDefault="00E16F2A" w:rsidP="00E16F2A">
      <w:pPr>
        <w:pStyle w:val="Paragrafoelenco"/>
        <w:spacing w:after="8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  <w:lang w:val="it-IT"/>
        </w:rPr>
      </w:pPr>
    </w:p>
    <w:p w:rsidR="00E16F2A" w:rsidRPr="00D6547B" w:rsidRDefault="00E16F2A" w:rsidP="00E16F2A">
      <w:pPr>
        <w:pStyle w:val="Paragrafoelenco"/>
        <w:spacing w:after="8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  <w:lang w:val="it-IT"/>
        </w:rPr>
      </w:pPr>
    </w:p>
    <w:p w:rsidR="0073773F" w:rsidRPr="00E16F2A" w:rsidRDefault="00970B53" w:rsidP="00EE5879">
      <w:pPr>
        <w:pStyle w:val="Paragrafoelenco"/>
        <w:numPr>
          <w:ilvl w:val="0"/>
          <w:numId w:val="2"/>
        </w:numPr>
        <w:spacing w:after="8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  <w:lang w:val="it-IT"/>
        </w:rPr>
      </w:pPr>
      <w:r w:rsidRPr="00D6547B">
        <w:rPr>
          <w:rFonts w:ascii="Arial" w:hAnsi="Arial" w:cs="Arial"/>
          <w:sz w:val="21"/>
          <w:szCs w:val="21"/>
          <w:lang w:val="it-IT"/>
        </w:rPr>
        <w:lastRenderedPageBreak/>
        <w:t>Se il prodotto di riferimento ha più di un’indicazione terapeutica, la sicurezza e l’efficacia del biosimilare vengono verificate nella popolazione di pazienti più sensibili</w:t>
      </w:r>
      <w:r w:rsidR="00FB157E">
        <w:rPr>
          <w:rFonts w:ascii="Arial" w:hAnsi="Arial" w:cs="Arial"/>
          <w:sz w:val="21"/>
          <w:szCs w:val="21"/>
          <w:lang w:val="it-IT"/>
        </w:rPr>
        <w:t xml:space="preserve">, </w:t>
      </w:r>
      <w:r w:rsidRPr="00D6547B">
        <w:rPr>
          <w:rFonts w:ascii="Arial" w:hAnsi="Arial" w:cs="Arial"/>
          <w:sz w:val="21"/>
          <w:szCs w:val="21"/>
          <w:lang w:val="it-IT"/>
        </w:rPr>
        <w:t xml:space="preserve">ovvero la/le indicazione/i in cui eventuali differenze tra biosimilare e prodotto di riferimento abbiano maggiori probabilità di manifestarsi. </w:t>
      </w:r>
      <w:r w:rsidRPr="00E16F2A">
        <w:rPr>
          <w:rFonts w:ascii="Arial" w:hAnsi="Arial" w:cs="Arial"/>
          <w:sz w:val="21"/>
          <w:szCs w:val="21"/>
          <w:lang w:val="it-IT"/>
        </w:rPr>
        <w:t>Questi dati</w:t>
      </w:r>
      <w:r w:rsidR="00E16F2A">
        <w:rPr>
          <w:rFonts w:ascii="Arial" w:hAnsi="Arial" w:cs="Arial"/>
          <w:sz w:val="21"/>
          <w:szCs w:val="21"/>
          <w:lang w:val="it-IT"/>
        </w:rPr>
        <w:t xml:space="preserve">, previo giudizio di EMA e del CHMP, </w:t>
      </w:r>
      <w:r w:rsidRPr="00E16F2A">
        <w:rPr>
          <w:rFonts w:ascii="Arial" w:hAnsi="Arial" w:cs="Arial"/>
          <w:sz w:val="21"/>
          <w:szCs w:val="21"/>
          <w:lang w:val="it-IT"/>
        </w:rPr>
        <w:t>possono quindi essere estrapolati per altre indicazioni</w:t>
      </w:r>
      <w:r w:rsidRPr="00E16F2A">
        <w:rPr>
          <w:rFonts w:ascii="Arial" w:hAnsi="Arial" w:cs="Arial"/>
          <w:sz w:val="21"/>
          <w:szCs w:val="21"/>
          <w:vertAlign w:val="superscript"/>
          <w:lang w:val="it-IT"/>
        </w:rPr>
        <w:t>9</w:t>
      </w:r>
      <w:r w:rsidR="00EE5879" w:rsidRPr="00E16F2A">
        <w:rPr>
          <w:rFonts w:ascii="Arial" w:hAnsi="Arial" w:cs="Arial"/>
          <w:sz w:val="21"/>
          <w:szCs w:val="21"/>
          <w:lang w:val="it-IT"/>
        </w:rPr>
        <w:t>.</w:t>
      </w:r>
    </w:p>
    <w:p w:rsidR="00B50FB6" w:rsidRPr="00D6547B" w:rsidRDefault="006211F1" w:rsidP="00EE5879">
      <w:pPr>
        <w:pStyle w:val="Paragrafoelenco"/>
        <w:numPr>
          <w:ilvl w:val="0"/>
          <w:numId w:val="2"/>
        </w:numPr>
        <w:spacing w:after="8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  <w:lang w:val="it-IT"/>
        </w:rPr>
      </w:pPr>
      <w:r w:rsidRPr="00D6547B">
        <w:rPr>
          <w:rFonts w:ascii="Arial" w:hAnsi="Arial" w:cs="Arial"/>
          <w:sz w:val="21"/>
          <w:szCs w:val="21"/>
          <w:lang w:val="it-IT"/>
        </w:rPr>
        <w:t>L’</w:t>
      </w:r>
      <w:r w:rsidRPr="00F45560">
        <w:rPr>
          <w:rFonts w:ascii="Arial" w:hAnsi="Arial" w:cs="Arial"/>
          <w:sz w:val="21"/>
          <w:szCs w:val="21"/>
          <w:u w:val="single"/>
          <w:lang w:val="it-IT"/>
        </w:rPr>
        <w:t>estrapolazione dei dati</w:t>
      </w:r>
      <w:r w:rsidRPr="00F45560">
        <w:rPr>
          <w:rFonts w:ascii="Arial" w:hAnsi="Arial" w:cs="Arial"/>
          <w:sz w:val="21"/>
          <w:szCs w:val="21"/>
          <w:lang w:val="it-IT"/>
        </w:rPr>
        <w:t xml:space="preserve"> </w:t>
      </w:r>
      <w:r w:rsidRPr="00D6547B">
        <w:rPr>
          <w:rFonts w:ascii="Arial" w:hAnsi="Arial" w:cs="Arial"/>
          <w:sz w:val="21"/>
          <w:szCs w:val="21"/>
          <w:lang w:val="it-IT"/>
        </w:rPr>
        <w:t xml:space="preserve">è un </w:t>
      </w:r>
      <w:r w:rsidR="00BD7DD8" w:rsidRPr="00D6547B">
        <w:rPr>
          <w:rFonts w:ascii="Arial" w:hAnsi="Arial" w:cs="Arial"/>
          <w:sz w:val="21"/>
          <w:szCs w:val="21"/>
          <w:lang w:val="it-IT"/>
        </w:rPr>
        <w:t xml:space="preserve">consolidato </w:t>
      </w:r>
      <w:r w:rsidRPr="00D6547B">
        <w:rPr>
          <w:rFonts w:ascii="Arial" w:hAnsi="Arial" w:cs="Arial"/>
          <w:sz w:val="21"/>
          <w:szCs w:val="21"/>
          <w:lang w:val="it-IT"/>
        </w:rPr>
        <w:t>strumento scientifico e regolatorio</w:t>
      </w:r>
      <w:r w:rsidR="009411FD" w:rsidRPr="00D6547B">
        <w:rPr>
          <w:rFonts w:ascii="Arial" w:hAnsi="Arial" w:cs="Arial"/>
          <w:sz w:val="21"/>
          <w:szCs w:val="21"/>
          <w:lang w:val="it-IT"/>
        </w:rPr>
        <w:t xml:space="preserve">, utilizzato </w:t>
      </w:r>
      <w:r w:rsidR="00BD7DD8" w:rsidRPr="00D6547B">
        <w:rPr>
          <w:rFonts w:ascii="Arial" w:hAnsi="Arial" w:cs="Arial"/>
          <w:sz w:val="21"/>
          <w:szCs w:val="21"/>
          <w:lang w:val="it-IT"/>
        </w:rPr>
        <w:t xml:space="preserve">per molti anni </w:t>
      </w:r>
      <w:r w:rsidR="009411FD" w:rsidRPr="00D6547B">
        <w:rPr>
          <w:rFonts w:ascii="Arial" w:hAnsi="Arial" w:cs="Arial"/>
          <w:sz w:val="21"/>
          <w:szCs w:val="21"/>
          <w:lang w:val="it-IT"/>
        </w:rPr>
        <w:t>nell’Unione Europea</w:t>
      </w:r>
      <w:r w:rsidR="00686F0D">
        <w:rPr>
          <w:rFonts w:ascii="Arial" w:hAnsi="Arial" w:cs="Arial"/>
          <w:sz w:val="21"/>
          <w:szCs w:val="21"/>
          <w:lang w:val="it-IT"/>
        </w:rPr>
        <w:t>:</w:t>
      </w:r>
      <w:r w:rsidR="00A12A5F" w:rsidRPr="00D6547B">
        <w:rPr>
          <w:rFonts w:ascii="Arial" w:hAnsi="Arial" w:cs="Arial"/>
          <w:sz w:val="21"/>
          <w:szCs w:val="21"/>
          <w:lang w:val="it-IT"/>
        </w:rPr>
        <w:t xml:space="preserve"> è stata ammessa</w:t>
      </w:r>
      <w:r w:rsidR="00686F0D">
        <w:rPr>
          <w:rFonts w:ascii="Arial" w:hAnsi="Arial" w:cs="Arial"/>
          <w:sz w:val="21"/>
          <w:szCs w:val="21"/>
          <w:lang w:val="it-IT"/>
        </w:rPr>
        <w:t>, ad esempio,</w:t>
      </w:r>
      <w:r w:rsidR="00A12A5F" w:rsidRPr="00D6547B">
        <w:rPr>
          <w:rFonts w:ascii="Arial" w:hAnsi="Arial" w:cs="Arial"/>
          <w:sz w:val="21"/>
          <w:szCs w:val="21"/>
          <w:lang w:val="it-IT"/>
        </w:rPr>
        <w:t xml:space="preserve"> in caso di cambiamenti nel processo di fabbricazione di un biologico di riferimento </w:t>
      </w:r>
      <w:r w:rsidR="00A12A5F" w:rsidRPr="00D6547B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e</w:t>
      </w:r>
      <w:r w:rsidR="00A12A5F" w:rsidRPr="00D6547B">
        <w:rPr>
          <w:rFonts w:ascii="Arial" w:hAnsi="Arial" w:cs="Arial"/>
          <w:color w:val="222222"/>
          <w:sz w:val="21"/>
          <w:szCs w:val="21"/>
          <w:lang w:val="it-IT"/>
        </w:rPr>
        <w:t xml:space="preserve"> </w:t>
      </w:r>
      <w:r w:rsidR="00A12A5F" w:rsidRPr="00D6547B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di introduzione</w:t>
      </w:r>
      <w:r w:rsidR="00A12A5F" w:rsidRPr="00D6547B">
        <w:rPr>
          <w:rFonts w:ascii="Arial" w:hAnsi="Arial" w:cs="Arial"/>
          <w:color w:val="222222"/>
          <w:sz w:val="21"/>
          <w:szCs w:val="21"/>
          <w:lang w:val="it-IT"/>
        </w:rPr>
        <w:t xml:space="preserve"> </w:t>
      </w:r>
      <w:r w:rsidR="00A12A5F" w:rsidRPr="00D6547B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di una nuova formulazione</w:t>
      </w:r>
      <w:r w:rsidR="00A12A5F" w:rsidRPr="00D6547B">
        <w:rPr>
          <w:rFonts w:ascii="Arial" w:hAnsi="Arial" w:cs="Arial"/>
          <w:color w:val="222222"/>
          <w:sz w:val="21"/>
          <w:szCs w:val="21"/>
          <w:lang w:val="it-IT"/>
        </w:rPr>
        <w:t xml:space="preserve"> </w:t>
      </w:r>
      <w:r w:rsidR="00A12A5F" w:rsidRPr="00D6547B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sottocutanea di</w:t>
      </w:r>
      <w:r w:rsidR="00A12A5F" w:rsidRPr="00D6547B">
        <w:rPr>
          <w:rFonts w:ascii="Arial" w:hAnsi="Arial" w:cs="Arial"/>
          <w:color w:val="222222"/>
          <w:sz w:val="21"/>
          <w:szCs w:val="21"/>
          <w:lang w:val="it-IT"/>
        </w:rPr>
        <w:t xml:space="preserve"> </w:t>
      </w:r>
      <w:r w:rsidR="00A12A5F" w:rsidRPr="00D6547B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un farmaco</w:t>
      </w:r>
      <w:r w:rsidR="00A12A5F" w:rsidRPr="00D6547B">
        <w:rPr>
          <w:rFonts w:ascii="Arial" w:hAnsi="Arial" w:cs="Arial"/>
          <w:color w:val="222222"/>
          <w:sz w:val="21"/>
          <w:szCs w:val="21"/>
          <w:lang w:val="it-IT"/>
        </w:rPr>
        <w:t xml:space="preserve"> </w:t>
      </w:r>
      <w:r w:rsidR="00A12A5F" w:rsidRPr="00D6547B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endovenoso</w:t>
      </w:r>
      <w:r w:rsidR="00A12A5F" w:rsidRPr="00D6547B">
        <w:rPr>
          <w:rStyle w:val="hps"/>
          <w:rFonts w:ascii="Arial" w:hAnsi="Arial" w:cs="Arial"/>
          <w:color w:val="222222"/>
          <w:sz w:val="21"/>
          <w:szCs w:val="21"/>
          <w:vertAlign w:val="superscript"/>
          <w:lang w:val="it-IT"/>
        </w:rPr>
        <w:t>10</w:t>
      </w:r>
      <w:r w:rsidR="00A12A5F" w:rsidRPr="00D6547B">
        <w:rPr>
          <w:rFonts w:ascii="Arial" w:hAnsi="Arial" w:cs="Arial"/>
          <w:sz w:val="21"/>
          <w:szCs w:val="21"/>
          <w:lang w:val="it-IT"/>
        </w:rPr>
        <w:t>.</w:t>
      </w:r>
      <w:r w:rsidR="00686F0D">
        <w:rPr>
          <w:rFonts w:ascii="Arial" w:hAnsi="Arial" w:cs="Arial"/>
          <w:sz w:val="21"/>
          <w:szCs w:val="21"/>
          <w:lang w:val="it-IT"/>
        </w:rPr>
        <w:t xml:space="preserve"> </w:t>
      </w:r>
      <w:r w:rsidR="00514E2D">
        <w:rPr>
          <w:rFonts w:ascii="Arial" w:hAnsi="Arial" w:cs="Arial"/>
          <w:sz w:val="21"/>
          <w:szCs w:val="21"/>
          <w:lang w:val="it-IT"/>
        </w:rPr>
        <w:t xml:space="preserve">Può essere applicata se la </w:t>
      </w:r>
      <w:proofErr w:type="spellStart"/>
      <w:r w:rsidR="00514E2D">
        <w:rPr>
          <w:rFonts w:ascii="Arial" w:hAnsi="Arial" w:cs="Arial"/>
          <w:sz w:val="21"/>
          <w:szCs w:val="21"/>
          <w:lang w:val="it-IT"/>
        </w:rPr>
        <w:t>biosimilarità</w:t>
      </w:r>
      <w:proofErr w:type="spellEnd"/>
      <w:r w:rsidR="00514E2D">
        <w:rPr>
          <w:rFonts w:ascii="Arial" w:hAnsi="Arial" w:cs="Arial"/>
          <w:sz w:val="21"/>
          <w:szCs w:val="21"/>
          <w:lang w:val="it-IT"/>
        </w:rPr>
        <w:t xml:space="preserve"> al prodotto di riferimento è stata dimostrata da un </w:t>
      </w:r>
      <w:r w:rsidR="005134FD">
        <w:rPr>
          <w:rFonts w:ascii="Arial" w:hAnsi="Arial" w:cs="Arial"/>
          <w:sz w:val="21"/>
          <w:szCs w:val="21"/>
          <w:lang w:val="it-IT"/>
        </w:rPr>
        <w:t>esercizio di comparabilità</w:t>
      </w:r>
      <w:r w:rsidR="00514E2D">
        <w:rPr>
          <w:rFonts w:ascii="Arial" w:hAnsi="Arial" w:cs="Arial"/>
          <w:sz w:val="21"/>
          <w:szCs w:val="21"/>
          <w:lang w:val="it-IT"/>
        </w:rPr>
        <w:t xml:space="preserve"> completo</w:t>
      </w:r>
      <w:r w:rsidR="00550E2E">
        <w:rPr>
          <w:rFonts w:ascii="Arial" w:hAnsi="Arial" w:cs="Arial"/>
          <w:sz w:val="21"/>
          <w:szCs w:val="21"/>
          <w:lang w:val="it-IT"/>
        </w:rPr>
        <w:t>, comprensivo della valutazione dell’efficacia</w:t>
      </w:r>
      <w:r w:rsidR="00424C76">
        <w:rPr>
          <w:rFonts w:ascii="Arial" w:hAnsi="Arial" w:cs="Arial"/>
          <w:sz w:val="21"/>
          <w:szCs w:val="21"/>
          <w:lang w:val="it-IT"/>
        </w:rPr>
        <w:t xml:space="preserve">, della </w:t>
      </w:r>
      <w:r w:rsidR="00550E2E">
        <w:rPr>
          <w:rFonts w:ascii="Arial" w:hAnsi="Arial" w:cs="Arial"/>
          <w:sz w:val="21"/>
          <w:szCs w:val="21"/>
          <w:lang w:val="it-IT"/>
        </w:rPr>
        <w:t>sicurezza</w:t>
      </w:r>
      <w:r w:rsidR="00424C76">
        <w:rPr>
          <w:rFonts w:ascii="Arial" w:hAnsi="Arial" w:cs="Arial"/>
          <w:sz w:val="21"/>
          <w:szCs w:val="21"/>
          <w:lang w:val="it-IT"/>
        </w:rPr>
        <w:t xml:space="preserve"> e dell’</w:t>
      </w:r>
      <w:proofErr w:type="spellStart"/>
      <w:r w:rsidR="00424C76">
        <w:rPr>
          <w:rFonts w:ascii="Arial" w:hAnsi="Arial" w:cs="Arial"/>
          <w:sz w:val="21"/>
          <w:szCs w:val="21"/>
          <w:lang w:val="it-IT"/>
        </w:rPr>
        <w:t>immunogenicità</w:t>
      </w:r>
      <w:proofErr w:type="spellEnd"/>
      <w:r w:rsidR="00424C76">
        <w:rPr>
          <w:rFonts w:ascii="Arial" w:hAnsi="Arial" w:cs="Arial"/>
          <w:sz w:val="21"/>
          <w:szCs w:val="21"/>
          <w:lang w:val="it-IT"/>
        </w:rPr>
        <w:t xml:space="preserve"> </w:t>
      </w:r>
      <w:proofErr w:type="spellStart"/>
      <w:r w:rsidR="00FA42BC">
        <w:rPr>
          <w:rFonts w:ascii="Arial" w:hAnsi="Arial" w:cs="Arial"/>
          <w:sz w:val="21"/>
          <w:szCs w:val="21"/>
          <w:lang w:val="it-IT"/>
        </w:rPr>
        <w:t>biosimilare</w:t>
      </w:r>
      <w:proofErr w:type="spellEnd"/>
      <w:r w:rsidR="00FA42BC">
        <w:rPr>
          <w:rFonts w:ascii="Arial" w:hAnsi="Arial" w:cs="Arial"/>
          <w:sz w:val="21"/>
          <w:szCs w:val="21"/>
          <w:lang w:val="it-IT"/>
        </w:rPr>
        <w:t xml:space="preserve"> in un’indicazione chiave</w:t>
      </w:r>
      <w:r w:rsidR="009411FD" w:rsidRPr="00D6547B">
        <w:rPr>
          <w:rFonts w:ascii="Arial" w:hAnsi="Arial" w:cs="Arial"/>
          <w:sz w:val="21"/>
          <w:szCs w:val="21"/>
          <w:lang w:val="it-IT"/>
        </w:rPr>
        <w:t xml:space="preserve">. </w:t>
      </w:r>
    </w:p>
    <w:p w:rsidR="006165EE" w:rsidRPr="00D6547B" w:rsidRDefault="005B45EE" w:rsidP="00BB1827">
      <w:pPr>
        <w:pStyle w:val="Nessunaspaziatura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1"/>
          <w:szCs w:val="21"/>
          <w:lang w:val="it-IT"/>
        </w:rPr>
      </w:pPr>
      <w:r w:rsidRPr="00D6547B">
        <w:rPr>
          <w:rFonts w:ascii="Arial" w:hAnsi="Arial" w:cs="Arial"/>
          <w:sz w:val="21"/>
          <w:szCs w:val="21"/>
          <w:lang w:val="it-IT"/>
        </w:rPr>
        <w:t xml:space="preserve">I biosimilari possono essere commercializzati solo quando i diritti di esclusiva del medicinale di riferimento sono scaduti; </w:t>
      </w:r>
      <w:r w:rsidR="006165EE" w:rsidRPr="00D6547B">
        <w:rPr>
          <w:rFonts w:ascii="Arial" w:hAnsi="Arial" w:cs="Arial"/>
          <w:sz w:val="21"/>
          <w:szCs w:val="21"/>
          <w:lang w:val="it-IT"/>
        </w:rPr>
        <w:t>devono essere trascorsi almeno 10 anni dall’autorizzazione de</w:t>
      </w:r>
      <w:r w:rsidRPr="00D6547B">
        <w:rPr>
          <w:rFonts w:ascii="Arial" w:hAnsi="Arial" w:cs="Arial"/>
          <w:sz w:val="21"/>
          <w:szCs w:val="21"/>
          <w:lang w:val="it-IT"/>
        </w:rPr>
        <w:t>l prodotto di riferimento</w:t>
      </w:r>
      <w:r w:rsidR="00810C06">
        <w:rPr>
          <w:rFonts w:ascii="Arial" w:hAnsi="Arial" w:cs="Arial"/>
          <w:sz w:val="21"/>
          <w:szCs w:val="21"/>
          <w:lang w:val="it-IT"/>
        </w:rPr>
        <w:t>,</w:t>
      </w:r>
      <w:r w:rsidRPr="00D6547B">
        <w:rPr>
          <w:rFonts w:ascii="Arial" w:hAnsi="Arial" w:cs="Arial"/>
          <w:sz w:val="21"/>
          <w:szCs w:val="21"/>
          <w:lang w:val="it-IT"/>
        </w:rPr>
        <w:t xml:space="preserve"> prima che un biosimilare possa </w:t>
      </w:r>
      <w:r w:rsidR="006165EE" w:rsidRPr="00D6547B">
        <w:rPr>
          <w:rFonts w:ascii="Arial" w:hAnsi="Arial" w:cs="Arial"/>
          <w:sz w:val="21"/>
          <w:szCs w:val="21"/>
          <w:lang w:val="it-IT"/>
        </w:rPr>
        <w:t xml:space="preserve">essere immesso in commercio da un’altra </w:t>
      </w:r>
      <w:r w:rsidR="00530EF2" w:rsidRPr="00D6547B">
        <w:rPr>
          <w:rFonts w:ascii="Arial" w:hAnsi="Arial" w:cs="Arial"/>
          <w:sz w:val="21"/>
          <w:szCs w:val="21"/>
          <w:lang w:val="it-IT"/>
        </w:rPr>
        <w:t>azienda</w:t>
      </w:r>
      <w:r w:rsidR="006165EE" w:rsidRPr="00D6547B">
        <w:rPr>
          <w:rFonts w:ascii="Arial" w:hAnsi="Arial" w:cs="Arial"/>
          <w:sz w:val="21"/>
          <w:szCs w:val="21"/>
          <w:vertAlign w:val="superscript"/>
          <w:lang w:val="it-IT"/>
        </w:rPr>
        <w:t>11</w:t>
      </w:r>
      <w:r w:rsidR="00EE5879" w:rsidRPr="00D6547B">
        <w:rPr>
          <w:rFonts w:ascii="Arial" w:hAnsi="Arial" w:cs="Arial"/>
          <w:sz w:val="21"/>
          <w:szCs w:val="21"/>
          <w:lang w:val="it-IT"/>
        </w:rPr>
        <w:t>.</w:t>
      </w:r>
    </w:p>
    <w:p w:rsidR="0034363C" w:rsidRPr="0077166F" w:rsidRDefault="0034363C" w:rsidP="00017091">
      <w:pPr>
        <w:pStyle w:val="Nessunaspaziatura"/>
        <w:jc w:val="both"/>
        <w:rPr>
          <w:rFonts w:ascii="Arial" w:hAnsi="Arial" w:cs="Arial"/>
          <w:b/>
          <w:sz w:val="20"/>
          <w:lang w:val="it-IT"/>
        </w:rPr>
      </w:pPr>
    </w:p>
    <w:p w:rsidR="00017091" w:rsidRPr="0077166F" w:rsidRDefault="00017091" w:rsidP="00017091">
      <w:pPr>
        <w:pStyle w:val="Nessunaspaziatura"/>
        <w:jc w:val="both"/>
        <w:rPr>
          <w:rFonts w:ascii="Arial" w:hAnsi="Arial" w:cs="Arial"/>
          <w:b/>
          <w:sz w:val="20"/>
          <w:lang w:val="it-IT"/>
        </w:rPr>
      </w:pPr>
    </w:p>
    <w:p w:rsidR="0034363C" w:rsidRPr="00D175BA" w:rsidRDefault="0034363C" w:rsidP="00DA7885">
      <w:pPr>
        <w:pStyle w:val="Nessunaspaziatura"/>
        <w:spacing w:after="80"/>
        <w:jc w:val="both"/>
        <w:rPr>
          <w:rFonts w:ascii="Arial" w:hAnsi="Arial" w:cs="Arial"/>
          <w:b/>
          <w:lang w:val="it-IT"/>
        </w:rPr>
      </w:pPr>
      <w:r w:rsidRPr="00D175BA">
        <w:rPr>
          <w:rFonts w:ascii="Arial" w:hAnsi="Arial" w:cs="Arial"/>
          <w:b/>
          <w:lang w:val="it-IT"/>
        </w:rPr>
        <w:t>Profilo di sicurezza</w:t>
      </w:r>
    </w:p>
    <w:p w:rsidR="00B50FB6" w:rsidRPr="00E14A84" w:rsidRDefault="0034363C" w:rsidP="00EE5879">
      <w:pPr>
        <w:pStyle w:val="Nessunaspaziatura"/>
        <w:numPr>
          <w:ilvl w:val="0"/>
          <w:numId w:val="2"/>
        </w:numPr>
        <w:spacing w:after="80"/>
        <w:ind w:left="357" w:hanging="357"/>
        <w:jc w:val="both"/>
        <w:rPr>
          <w:rFonts w:ascii="Arial" w:hAnsi="Arial" w:cs="Arial"/>
          <w:sz w:val="21"/>
          <w:szCs w:val="21"/>
          <w:lang w:val="it-IT"/>
        </w:rPr>
      </w:pPr>
      <w:r w:rsidRPr="00E14A84">
        <w:rPr>
          <w:rFonts w:ascii="Arial" w:hAnsi="Arial" w:cs="Arial"/>
          <w:sz w:val="21"/>
          <w:szCs w:val="21"/>
          <w:lang w:val="it-IT"/>
        </w:rPr>
        <w:t xml:space="preserve">I </w:t>
      </w:r>
      <w:proofErr w:type="spellStart"/>
      <w:r w:rsidRPr="00E14A84">
        <w:rPr>
          <w:rFonts w:ascii="Arial" w:hAnsi="Arial" w:cs="Arial"/>
          <w:sz w:val="21"/>
          <w:szCs w:val="21"/>
          <w:lang w:val="it-IT"/>
        </w:rPr>
        <w:t>biosimilari</w:t>
      </w:r>
      <w:proofErr w:type="spellEnd"/>
      <w:r w:rsidRPr="00E14A84">
        <w:rPr>
          <w:rFonts w:ascii="Arial" w:hAnsi="Arial" w:cs="Arial"/>
          <w:sz w:val="21"/>
          <w:szCs w:val="21"/>
          <w:lang w:val="it-IT"/>
        </w:rPr>
        <w:t xml:space="preserve"> d</w:t>
      </w:r>
      <w:r w:rsidR="00377DE7">
        <w:rPr>
          <w:rFonts w:ascii="Arial" w:hAnsi="Arial" w:cs="Arial"/>
          <w:sz w:val="21"/>
          <w:szCs w:val="21"/>
          <w:lang w:val="it-IT"/>
        </w:rPr>
        <w:t>evono</w:t>
      </w:r>
      <w:r w:rsidRPr="00E14A84">
        <w:rPr>
          <w:rFonts w:ascii="Arial" w:hAnsi="Arial" w:cs="Arial"/>
          <w:sz w:val="21"/>
          <w:szCs w:val="21"/>
          <w:lang w:val="it-IT"/>
        </w:rPr>
        <w:t xml:space="preserve"> avere lo stesso profilo di sicurezza del loro medicinale di riferimento. Un documento informativo di consenso </w:t>
      </w:r>
      <w:r w:rsidR="00BB4786" w:rsidRPr="00E14A84">
        <w:rPr>
          <w:rFonts w:ascii="Arial" w:hAnsi="Arial" w:cs="Arial"/>
          <w:sz w:val="21"/>
          <w:szCs w:val="21"/>
          <w:lang w:val="it-IT"/>
        </w:rPr>
        <w:t xml:space="preserve">pubblicato dalla Commissione Europea nel 2013 </w:t>
      </w:r>
      <w:r w:rsidR="00BB4786" w:rsidRPr="00E14A84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afferma che,</w:t>
      </w:r>
      <w:r w:rsidR="00BB4786" w:rsidRPr="00E14A84">
        <w:rPr>
          <w:rFonts w:ascii="Arial" w:hAnsi="Arial" w:cs="Arial"/>
          <w:color w:val="222222"/>
          <w:sz w:val="21"/>
          <w:szCs w:val="21"/>
          <w:lang w:val="it-IT"/>
        </w:rPr>
        <w:t xml:space="preserve"> </w:t>
      </w:r>
      <w:r w:rsidR="00BB4786" w:rsidRPr="00E14A84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al momento della</w:t>
      </w:r>
      <w:r w:rsidR="00BB4786" w:rsidRPr="00E14A84">
        <w:rPr>
          <w:rFonts w:ascii="Arial" w:hAnsi="Arial" w:cs="Arial"/>
          <w:color w:val="222222"/>
          <w:sz w:val="21"/>
          <w:szCs w:val="21"/>
          <w:lang w:val="it-IT"/>
        </w:rPr>
        <w:t xml:space="preserve"> </w:t>
      </w:r>
      <w:r w:rsidR="00BB4786" w:rsidRPr="00E14A84">
        <w:rPr>
          <w:rStyle w:val="hps"/>
          <w:rFonts w:ascii="Arial" w:hAnsi="Arial" w:cs="Arial"/>
          <w:color w:val="222222"/>
          <w:sz w:val="21"/>
          <w:szCs w:val="21"/>
          <w:lang w:val="it-IT"/>
        </w:rPr>
        <w:t xml:space="preserve">pubblicazione, non </w:t>
      </w:r>
      <w:r w:rsidR="00BE345E" w:rsidRPr="00E14A84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erano</w:t>
      </w:r>
      <w:r w:rsidR="00BB4786" w:rsidRPr="00E14A84">
        <w:rPr>
          <w:rStyle w:val="hps"/>
          <w:rFonts w:ascii="Arial" w:hAnsi="Arial" w:cs="Arial"/>
          <w:color w:val="222222"/>
          <w:sz w:val="21"/>
          <w:szCs w:val="21"/>
          <w:lang w:val="it-IT"/>
        </w:rPr>
        <w:t xml:space="preserve"> stati</w:t>
      </w:r>
      <w:r w:rsidR="00BB4786" w:rsidRPr="00E14A84">
        <w:rPr>
          <w:rFonts w:ascii="Arial" w:hAnsi="Arial" w:cs="Arial"/>
          <w:color w:val="222222"/>
          <w:sz w:val="21"/>
          <w:szCs w:val="21"/>
          <w:lang w:val="it-IT"/>
        </w:rPr>
        <w:t xml:space="preserve"> rilevati </w:t>
      </w:r>
      <w:r w:rsidR="00BB4786" w:rsidRPr="00E14A84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particolari</w:t>
      </w:r>
      <w:r w:rsidR="00BB4786" w:rsidRPr="00E14A84">
        <w:rPr>
          <w:rFonts w:ascii="Arial" w:hAnsi="Arial" w:cs="Arial"/>
          <w:color w:val="222222"/>
          <w:sz w:val="21"/>
          <w:szCs w:val="21"/>
          <w:lang w:val="it-IT"/>
        </w:rPr>
        <w:t xml:space="preserve"> </w:t>
      </w:r>
      <w:r w:rsidR="00BB4786" w:rsidRPr="00E14A84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problemi di sicurezza</w:t>
      </w:r>
      <w:r w:rsidR="00BB4786" w:rsidRPr="00E14A84">
        <w:rPr>
          <w:rFonts w:ascii="Arial" w:hAnsi="Arial" w:cs="Arial"/>
          <w:color w:val="222222"/>
          <w:sz w:val="21"/>
          <w:szCs w:val="21"/>
          <w:lang w:val="it-IT"/>
        </w:rPr>
        <w:t xml:space="preserve"> </w:t>
      </w:r>
      <w:r w:rsidR="00BB4786" w:rsidRPr="00E14A84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per i medicinali</w:t>
      </w:r>
      <w:r w:rsidR="00BB4786" w:rsidRPr="00E14A84">
        <w:rPr>
          <w:rFonts w:ascii="Arial" w:hAnsi="Arial" w:cs="Arial"/>
          <w:color w:val="222222"/>
          <w:sz w:val="21"/>
          <w:szCs w:val="21"/>
          <w:lang w:val="it-IT"/>
        </w:rPr>
        <w:t xml:space="preserve"> </w:t>
      </w:r>
      <w:proofErr w:type="spellStart"/>
      <w:r w:rsidR="00BB4786" w:rsidRPr="00E14A84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biosimilari</w:t>
      </w:r>
      <w:proofErr w:type="spellEnd"/>
      <w:r w:rsidR="00BB4786" w:rsidRPr="00E14A84">
        <w:rPr>
          <w:rFonts w:ascii="Arial" w:hAnsi="Arial" w:cs="Arial"/>
          <w:color w:val="222222"/>
          <w:sz w:val="21"/>
          <w:szCs w:val="21"/>
          <w:lang w:val="it-IT"/>
        </w:rPr>
        <w:t xml:space="preserve"> </w:t>
      </w:r>
      <w:r w:rsidR="00BB4786" w:rsidRPr="00E14A84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approvati</w:t>
      </w:r>
      <w:r w:rsidR="00BB4786" w:rsidRPr="00E14A84">
        <w:rPr>
          <w:rFonts w:ascii="Arial" w:hAnsi="Arial" w:cs="Arial"/>
          <w:color w:val="222222"/>
          <w:sz w:val="21"/>
          <w:szCs w:val="21"/>
          <w:lang w:val="it-IT"/>
        </w:rPr>
        <w:t xml:space="preserve"> </w:t>
      </w:r>
      <w:r w:rsidR="00BB4786" w:rsidRPr="00E14A84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e commercializzati</w:t>
      </w:r>
      <w:r w:rsidR="001956ED" w:rsidRPr="00E14A84">
        <w:rPr>
          <w:rStyle w:val="Rimandonotadichiusura"/>
          <w:rFonts w:ascii="Arial" w:hAnsi="Arial" w:cs="Arial"/>
          <w:sz w:val="21"/>
          <w:szCs w:val="21"/>
          <w:lang w:val="it-IT"/>
        </w:rPr>
        <w:t>4</w:t>
      </w:r>
      <w:r w:rsidR="00EE5879" w:rsidRPr="00E14A84">
        <w:rPr>
          <w:rFonts w:ascii="Arial" w:hAnsi="Arial" w:cs="Arial"/>
          <w:sz w:val="21"/>
          <w:szCs w:val="21"/>
          <w:lang w:val="it-IT"/>
        </w:rPr>
        <w:t>.</w:t>
      </w:r>
    </w:p>
    <w:p w:rsidR="00B50FB6" w:rsidRPr="00D6547B" w:rsidRDefault="00BE345E" w:rsidP="00EE5879">
      <w:pPr>
        <w:pStyle w:val="Nessunaspaziatura"/>
        <w:numPr>
          <w:ilvl w:val="0"/>
          <w:numId w:val="15"/>
        </w:numPr>
        <w:spacing w:after="80"/>
        <w:ind w:left="357" w:hanging="357"/>
        <w:jc w:val="both"/>
        <w:rPr>
          <w:rFonts w:ascii="Arial" w:hAnsi="Arial" w:cs="Arial"/>
          <w:b/>
          <w:sz w:val="21"/>
          <w:szCs w:val="21"/>
          <w:lang w:val="it-IT"/>
        </w:rPr>
      </w:pPr>
      <w:r w:rsidRPr="00D6547B">
        <w:rPr>
          <w:rFonts w:ascii="Arial" w:hAnsi="Arial" w:cs="Arial"/>
          <w:sz w:val="21"/>
          <w:szCs w:val="21"/>
          <w:lang w:val="it-IT"/>
        </w:rPr>
        <w:t xml:space="preserve">Come per tutti </w:t>
      </w:r>
      <w:r w:rsidR="001B1DD0">
        <w:rPr>
          <w:rFonts w:ascii="Arial" w:hAnsi="Arial" w:cs="Arial"/>
          <w:sz w:val="21"/>
          <w:szCs w:val="21"/>
          <w:lang w:val="it-IT"/>
        </w:rPr>
        <w:t>i</w:t>
      </w:r>
      <w:r w:rsidRPr="00D6547B">
        <w:rPr>
          <w:rFonts w:ascii="Arial" w:hAnsi="Arial" w:cs="Arial"/>
          <w:sz w:val="21"/>
          <w:szCs w:val="21"/>
          <w:lang w:val="it-IT"/>
        </w:rPr>
        <w:t xml:space="preserve"> medicinali, sono istituiti sistemi di farmacovigilanza per monitorare la sicurezza dei </w:t>
      </w:r>
      <w:proofErr w:type="spellStart"/>
      <w:r w:rsidRPr="00D6547B">
        <w:rPr>
          <w:rFonts w:ascii="Arial" w:hAnsi="Arial" w:cs="Arial"/>
          <w:sz w:val="21"/>
          <w:szCs w:val="21"/>
          <w:lang w:val="it-IT"/>
        </w:rPr>
        <w:t>biosimilari</w:t>
      </w:r>
      <w:proofErr w:type="spellEnd"/>
      <w:r w:rsidRPr="00D6547B">
        <w:rPr>
          <w:rFonts w:ascii="Arial" w:hAnsi="Arial" w:cs="Arial"/>
          <w:sz w:val="21"/>
          <w:szCs w:val="21"/>
          <w:lang w:val="it-IT"/>
        </w:rPr>
        <w:t xml:space="preserve"> dopo l’autorizzazione</w:t>
      </w:r>
      <w:r w:rsidRPr="00D6547B">
        <w:rPr>
          <w:rFonts w:ascii="Arial" w:hAnsi="Arial" w:cs="Arial"/>
          <w:sz w:val="21"/>
          <w:szCs w:val="21"/>
          <w:vertAlign w:val="superscript"/>
          <w:lang w:val="it-IT"/>
        </w:rPr>
        <w:t>6</w:t>
      </w:r>
      <w:r w:rsidR="00EE5879" w:rsidRPr="00D6547B">
        <w:rPr>
          <w:rFonts w:ascii="Arial" w:hAnsi="Arial" w:cs="Arial"/>
          <w:sz w:val="21"/>
          <w:szCs w:val="21"/>
          <w:lang w:val="it-IT"/>
        </w:rPr>
        <w:t>.</w:t>
      </w:r>
    </w:p>
    <w:p w:rsidR="00044306" w:rsidRPr="00044306" w:rsidRDefault="009424F6" w:rsidP="00BB1827">
      <w:pPr>
        <w:pStyle w:val="Nessunaspaziatura"/>
        <w:numPr>
          <w:ilvl w:val="0"/>
          <w:numId w:val="15"/>
        </w:numPr>
        <w:ind w:left="357" w:hanging="357"/>
        <w:jc w:val="both"/>
        <w:rPr>
          <w:rStyle w:val="hps"/>
          <w:rFonts w:ascii="Arial" w:hAnsi="Arial" w:cs="Arial"/>
          <w:b/>
          <w:sz w:val="21"/>
          <w:szCs w:val="21"/>
          <w:lang w:val="it-IT"/>
        </w:rPr>
      </w:pPr>
      <w:r w:rsidRPr="004105AF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Con l</w:t>
      </w:r>
      <w:r w:rsidR="00BE345E" w:rsidRPr="004105AF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a nuova legislazione comunitaria di farmacovigilanza</w:t>
      </w:r>
      <w:r w:rsidRPr="004105AF">
        <w:rPr>
          <w:rStyle w:val="hps"/>
          <w:rFonts w:ascii="Arial" w:hAnsi="Arial" w:cs="Arial"/>
          <w:color w:val="222222"/>
          <w:sz w:val="21"/>
          <w:szCs w:val="21"/>
          <w:lang w:val="it-IT"/>
        </w:rPr>
        <w:t xml:space="preserve">, i </w:t>
      </w:r>
      <w:proofErr w:type="spellStart"/>
      <w:r w:rsidRPr="004105AF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biosimilari</w:t>
      </w:r>
      <w:proofErr w:type="spellEnd"/>
      <w:r w:rsidRPr="004105AF">
        <w:rPr>
          <w:rStyle w:val="hps"/>
          <w:rFonts w:ascii="Arial" w:hAnsi="Arial" w:cs="Arial"/>
          <w:color w:val="222222"/>
          <w:sz w:val="21"/>
          <w:szCs w:val="21"/>
          <w:lang w:val="it-IT"/>
        </w:rPr>
        <w:t xml:space="preserve"> fanno parte del gruppo di medicinali identificati da un triangolo nero. </w:t>
      </w:r>
      <w:r w:rsidRPr="00A05090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Non essendo identici</w:t>
      </w:r>
      <w:r w:rsidRPr="00A05090">
        <w:rPr>
          <w:rFonts w:ascii="Arial" w:hAnsi="Arial" w:cs="Arial"/>
          <w:color w:val="222222"/>
          <w:sz w:val="21"/>
          <w:szCs w:val="21"/>
          <w:lang w:val="it-IT"/>
        </w:rPr>
        <w:t xml:space="preserve"> </w:t>
      </w:r>
      <w:r w:rsidRPr="00A05090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al prodotto di riferimento</w:t>
      </w:r>
      <w:r w:rsidRPr="00A05090">
        <w:rPr>
          <w:rFonts w:ascii="Arial" w:hAnsi="Arial" w:cs="Arial"/>
          <w:color w:val="222222"/>
          <w:sz w:val="21"/>
          <w:szCs w:val="21"/>
          <w:lang w:val="it-IT"/>
        </w:rPr>
        <w:t xml:space="preserve">, </w:t>
      </w:r>
      <w:r w:rsidRPr="00A05090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sono</w:t>
      </w:r>
      <w:r w:rsidRPr="00A05090">
        <w:rPr>
          <w:rFonts w:ascii="Arial" w:hAnsi="Arial" w:cs="Arial"/>
          <w:color w:val="222222"/>
          <w:sz w:val="21"/>
          <w:szCs w:val="21"/>
          <w:lang w:val="it-IT"/>
        </w:rPr>
        <w:t xml:space="preserve"> </w:t>
      </w:r>
      <w:r w:rsidRPr="00A05090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di conseguenza soggetti</w:t>
      </w:r>
      <w:r w:rsidRPr="00A05090">
        <w:rPr>
          <w:rFonts w:ascii="Arial" w:hAnsi="Arial" w:cs="Arial"/>
          <w:color w:val="222222"/>
          <w:sz w:val="21"/>
          <w:szCs w:val="21"/>
          <w:lang w:val="it-IT"/>
        </w:rPr>
        <w:t xml:space="preserve"> </w:t>
      </w:r>
      <w:r w:rsidRPr="00A05090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a monitoraggio addizionale</w:t>
      </w:r>
      <w:r w:rsidRPr="00A05090">
        <w:rPr>
          <w:rFonts w:ascii="Arial" w:hAnsi="Arial" w:cs="Arial"/>
          <w:color w:val="222222"/>
          <w:sz w:val="21"/>
          <w:szCs w:val="21"/>
          <w:lang w:val="it-IT"/>
        </w:rPr>
        <w:t xml:space="preserve"> </w:t>
      </w:r>
      <w:r w:rsidRPr="00A05090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per la sicurezza</w:t>
      </w:r>
      <w:r w:rsidRPr="00A05090">
        <w:rPr>
          <w:rFonts w:ascii="Arial" w:hAnsi="Arial" w:cs="Arial"/>
          <w:color w:val="222222"/>
          <w:sz w:val="21"/>
          <w:szCs w:val="21"/>
          <w:lang w:val="it-IT"/>
        </w:rPr>
        <w:t xml:space="preserve"> </w:t>
      </w:r>
      <w:r w:rsidRPr="00A05090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e l'efficacia</w:t>
      </w:r>
      <w:r w:rsidRPr="00A05090">
        <w:rPr>
          <w:rStyle w:val="hps"/>
          <w:rFonts w:ascii="Arial" w:hAnsi="Arial" w:cs="Arial"/>
          <w:color w:val="222222"/>
          <w:sz w:val="21"/>
          <w:szCs w:val="21"/>
          <w:vertAlign w:val="superscript"/>
          <w:lang w:val="it-IT"/>
        </w:rPr>
        <w:t>12</w:t>
      </w:r>
      <w:r w:rsidR="00CD150A" w:rsidRPr="00A05090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.</w:t>
      </w:r>
    </w:p>
    <w:p w:rsidR="00F50E98" w:rsidRPr="004105AF" w:rsidRDefault="00F50E98" w:rsidP="004105AF">
      <w:pPr>
        <w:spacing w:after="80" w:line="240" w:lineRule="auto"/>
        <w:jc w:val="both"/>
        <w:rPr>
          <w:rFonts w:ascii="Arial" w:hAnsi="Arial" w:cs="Arial"/>
          <w:sz w:val="20"/>
          <w:lang w:val="it-IT"/>
        </w:rPr>
      </w:pPr>
      <w:bookmarkStart w:id="0" w:name="_GoBack"/>
      <w:bookmarkEnd w:id="0"/>
    </w:p>
    <w:p w:rsidR="00BF6232" w:rsidRPr="0077166F" w:rsidRDefault="00BF6232" w:rsidP="00EE5879">
      <w:pPr>
        <w:pStyle w:val="Nessunaspaziatura"/>
        <w:jc w:val="both"/>
        <w:rPr>
          <w:rFonts w:ascii="Arial" w:hAnsi="Arial" w:cs="Arial"/>
          <w:b/>
          <w:sz w:val="20"/>
          <w:szCs w:val="28"/>
          <w:lang w:val="it-IT"/>
        </w:rPr>
      </w:pPr>
    </w:p>
    <w:p w:rsidR="00F40ED4" w:rsidRPr="00D175BA" w:rsidRDefault="00BF6232" w:rsidP="00DA7885">
      <w:pPr>
        <w:pStyle w:val="Nessunaspaziatura"/>
        <w:spacing w:after="80"/>
        <w:jc w:val="both"/>
        <w:rPr>
          <w:rFonts w:ascii="Arial" w:hAnsi="Arial" w:cs="Arial"/>
          <w:b/>
          <w:sz w:val="24"/>
          <w:szCs w:val="28"/>
        </w:rPr>
      </w:pPr>
      <w:proofErr w:type="spellStart"/>
      <w:r w:rsidRPr="00D175BA">
        <w:rPr>
          <w:rFonts w:ascii="Arial" w:hAnsi="Arial" w:cs="Arial"/>
          <w:b/>
          <w:szCs w:val="28"/>
        </w:rPr>
        <w:t>Biosimilar</w:t>
      </w:r>
      <w:r w:rsidR="007E3ED7" w:rsidRPr="00D175BA">
        <w:rPr>
          <w:rFonts w:ascii="Arial" w:hAnsi="Arial" w:cs="Arial"/>
          <w:b/>
          <w:szCs w:val="28"/>
        </w:rPr>
        <w:t>i</w:t>
      </w:r>
      <w:proofErr w:type="spellEnd"/>
      <w:r w:rsidRPr="00D175BA">
        <w:rPr>
          <w:rFonts w:ascii="Arial" w:hAnsi="Arial" w:cs="Arial"/>
          <w:b/>
          <w:szCs w:val="28"/>
        </w:rPr>
        <w:t xml:space="preserve"> </w:t>
      </w:r>
      <w:proofErr w:type="spellStart"/>
      <w:r w:rsidRPr="00D175BA">
        <w:rPr>
          <w:rFonts w:ascii="Arial" w:hAnsi="Arial" w:cs="Arial"/>
          <w:b/>
          <w:szCs w:val="28"/>
        </w:rPr>
        <w:t>v</w:t>
      </w:r>
      <w:r w:rsidR="007E3ED7" w:rsidRPr="00D175BA">
        <w:rPr>
          <w:rFonts w:ascii="Arial" w:hAnsi="Arial" w:cs="Arial"/>
          <w:b/>
          <w:szCs w:val="28"/>
        </w:rPr>
        <w:t>s</w:t>
      </w:r>
      <w:proofErr w:type="spellEnd"/>
      <w:r w:rsidRPr="00D175BA">
        <w:rPr>
          <w:rFonts w:ascii="Arial" w:hAnsi="Arial" w:cs="Arial"/>
          <w:b/>
          <w:szCs w:val="28"/>
        </w:rPr>
        <w:t xml:space="preserve"> </w:t>
      </w:r>
      <w:proofErr w:type="spellStart"/>
      <w:r w:rsidRPr="00D175BA">
        <w:rPr>
          <w:rFonts w:ascii="Arial" w:hAnsi="Arial" w:cs="Arial"/>
          <w:b/>
          <w:szCs w:val="28"/>
        </w:rPr>
        <w:t>generic</w:t>
      </w:r>
      <w:r w:rsidR="007E3ED7" w:rsidRPr="00D175BA">
        <w:rPr>
          <w:rFonts w:ascii="Arial" w:hAnsi="Arial" w:cs="Arial"/>
          <w:b/>
          <w:szCs w:val="28"/>
        </w:rPr>
        <w:t>i</w:t>
      </w:r>
      <w:proofErr w:type="spellEnd"/>
    </w:p>
    <w:p w:rsidR="00F0034A" w:rsidRPr="00CD150A" w:rsidRDefault="007E3ED7" w:rsidP="00413DBB">
      <w:pPr>
        <w:pStyle w:val="Nessunaspaziatura"/>
        <w:numPr>
          <w:ilvl w:val="0"/>
          <w:numId w:val="16"/>
        </w:numPr>
        <w:spacing w:after="80"/>
        <w:ind w:left="360"/>
        <w:jc w:val="both"/>
        <w:rPr>
          <w:rFonts w:ascii="Arial" w:hAnsi="Arial" w:cs="Arial"/>
          <w:sz w:val="21"/>
          <w:szCs w:val="21"/>
          <w:lang w:val="it-IT"/>
        </w:rPr>
      </w:pPr>
      <w:r w:rsidRPr="00CD150A">
        <w:rPr>
          <w:rFonts w:ascii="Arial" w:hAnsi="Arial" w:cs="Arial"/>
          <w:sz w:val="21"/>
          <w:szCs w:val="21"/>
          <w:lang w:val="it-IT"/>
        </w:rPr>
        <w:t>I medicinali generic</w:t>
      </w:r>
      <w:r w:rsidR="003C0891" w:rsidRPr="00CD150A">
        <w:rPr>
          <w:rFonts w:ascii="Arial" w:hAnsi="Arial" w:cs="Arial"/>
          <w:sz w:val="21"/>
          <w:szCs w:val="21"/>
          <w:lang w:val="it-IT"/>
        </w:rPr>
        <w:t>i</w:t>
      </w:r>
      <w:r w:rsidRPr="00CD150A">
        <w:rPr>
          <w:rFonts w:ascii="Arial" w:hAnsi="Arial" w:cs="Arial"/>
          <w:sz w:val="21"/>
          <w:szCs w:val="21"/>
          <w:lang w:val="it-IT"/>
        </w:rPr>
        <w:t xml:space="preserve"> sono molecole di piccole dimensioni, identici ai loro </w:t>
      </w:r>
      <w:r w:rsidR="003C0891" w:rsidRPr="00CD150A">
        <w:rPr>
          <w:rFonts w:ascii="Arial" w:hAnsi="Arial" w:cs="Arial"/>
          <w:sz w:val="21"/>
          <w:szCs w:val="21"/>
          <w:lang w:val="it-IT"/>
        </w:rPr>
        <w:t>prodotti</w:t>
      </w:r>
      <w:r w:rsidRPr="00CD150A">
        <w:rPr>
          <w:rFonts w:ascii="Arial" w:hAnsi="Arial" w:cs="Arial"/>
          <w:sz w:val="21"/>
          <w:szCs w:val="21"/>
          <w:lang w:val="it-IT"/>
        </w:rPr>
        <w:t xml:space="preserve"> di riferimento</w:t>
      </w:r>
      <w:r w:rsidR="003C0891" w:rsidRPr="00CD150A">
        <w:rPr>
          <w:rFonts w:ascii="Arial" w:hAnsi="Arial" w:cs="Arial"/>
          <w:sz w:val="21"/>
          <w:szCs w:val="21"/>
          <w:lang w:val="it-IT"/>
        </w:rPr>
        <w:t xml:space="preserve"> per forma farmaceutica, sicurezza, </w:t>
      </w:r>
      <w:r w:rsidR="00254733">
        <w:rPr>
          <w:rFonts w:ascii="Arial" w:hAnsi="Arial" w:cs="Arial"/>
          <w:sz w:val="21"/>
          <w:szCs w:val="21"/>
          <w:lang w:val="it-IT"/>
        </w:rPr>
        <w:t>efficacia</w:t>
      </w:r>
      <w:r w:rsidR="003C0891" w:rsidRPr="00CD150A">
        <w:rPr>
          <w:rFonts w:ascii="Arial" w:hAnsi="Arial" w:cs="Arial"/>
          <w:sz w:val="21"/>
          <w:szCs w:val="21"/>
          <w:lang w:val="it-IT"/>
        </w:rPr>
        <w:t>, via di somministrazione, qualità e funzionalità</w:t>
      </w:r>
      <w:r w:rsidR="003C0891" w:rsidRPr="00413DBB">
        <w:rPr>
          <w:rFonts w:ascii="Arial" w:hAnsi="Arial" w:cs="Arial"/>
          <w:sz w:val="21"/>
          <w:szCs w:val="21"/>
          <w:vertAlign w:val="superscript"/>
          <w:lang w:val="it-IT"/>
        </w:rPr>
        <w:t>16</w:t>
      </w:r>
      <w:r w:rsidR="00EE5879" w:rsidRPr="00CD150A">
        <w:rPr>
          <w:rFonts w:ascii="Arial" w:hAnsi="Arial" w:cs="Arial"/>
          <w:sz w:val="21"/>
          <w:szCs w:val="21"/>
          <w:lang w:val="it-IT"/>
        </w:rPr>
        <w:t>.</w:t>
      </w:r>
    </w:p>
    <w:p w:rsidR="00B26CF7" w:rsidRPr="00CD150A" w:rsidRDefault="003C0891" w:rsidP="00413DBB">
      <w:pPr>
        <w:pStyle w:val="Nessunaspaziatura"/>
        <w:numPr>
          <w:ilvl w:val="0"/>
          <w:numId w:val="16"/>
        </w:numPr>
        <w:spacing w:after="80"/>
        <w:ind w:left="360"/>
        <w:jc w:val="both"/>
        <w:rPr>
          <w:rFonts w:ascii="Arial" w:hAnsi="Arial" w:cs="Arial"/>
          <w:sz w:val="21"/>
          <w:szCs w:val="21"/>
          <w:lang w:val="it-IT"/>
        </w:rPr>
      </w:pPr>
      <w:r w:rsidRPr="00CD150A">
        <w:rPr>
          <w:rFonts w:ascii="Arial" w:hAnsi="Arial" w:cs="Arial"/>
          <w:sz w:val="21"/>
          <w:szCs w:val="21"/>
          <w:lang w:val="it-IT"/>
        </w:rPr>
        <w:t xml:space="preserve">A differenza dei generici, i biosimilari non sono copie del biologico di rifermento. Per </w:t>
      </w:r>
      <w:r w:rsidR="00807DD7" w:rsidRPr="00CD150A">
        <w:rPr>
          <w:rFonts w:ascii="Arial" w:hAnsi="Arial" w:cs="Arial"/>
          <w:sz w:val="21"/>
          <w:szCs w:val="21"/>
          <w:lang w:val="it-IT"/>
        </w:rPr>
        <w:t>ottenere l’approvazione</w:t>
      </w:r>
      <w:r w:rsidRPr="00CD150A">
        <w:rPr>
          <w:rFonts w:ascii="Arial" w:hAnsi="Arial" w:cs="Arial"/>
          <w:sz w:val="21"/>
          <w:szCs w:val="21"/>
          <w:lang w:val="it-IT"/>
        </w:rPr>
        <w:t xml:space="preserve">, </w:t>
      </w:r>
      <w:r w:rsidR="00807DD7" w:rsidRPr="00CD150A">
        <w:rPr>
          <w:rFonts w:ascii="Arial" w:hAnsi="Arial" w:cs="Arial"/>
          <w:sz w:val="21"/>
          <w:szCs w:val="21"/>
          <w:lang w:val="it-IT"/>
        </w:rPr>
        <w:t>deve essere condotto un esercizio di comparabilità approfondita, che include valutazioni sia precliniche che cliniche, volto a dimostrare che un biosimilare è equivalente al prodotto di riferimento in termini di qualità, sicurezza ed efficacia</w:t>
      </w:r>
      <w:r w:rsidR="00807DD7" w:rsidRPr="00413DBB">
        <w:rPr>
          <w:rFonts w:ascii="Arial" w:hAnsi="Arial" w:cs="Arial"/>
          <w:sz w:val="21"/>
          <w:szCs w:val="21"/>
          <w:vertAlign w:val="superscript"/>
          <w:lang w:val="it-IT"/>
        </w:rPr>
        <w:t>5</w:t>
      </w:r>
      <w:r w:rsidR="00EE5879" w:rsidRPr="00CD150A">
        <w:rPr>
          <w:rFonts w:ascii="Arial" w:hAnsi="Arial" w:cs="Arial"/>
          <w:sz w:val="21"/>
          <w:szCs w:val="21"/>
          <w:lang w:val="it-IT"/>
        </w:rPr>
        <w:t>.</w:t>
      </w:r>
    </w:p>
    <w:p w:rsidR="00134CA5" w:rsidRPr="00BE6E19" w:rsidRDefault="00482F03" w:rsidP="00413DBB">
      <w:pPr>
        <w:pStyle w:val="Nessunaspaziatura"/>
        <w:numPr>
          <w:ilvl w:val="0"/>
          <w:numId w:val="16"/>
        </w:numPr>
        <w:spacing w:after="80"/>
        <w:ind w:left="360"/>
        <w:jc w:val="both"/>
        <w:rPr>
          <w:rFonts w:ascii="Arial" w:hAnsi="Arial" w:cs="Arial"/>
          <w:sz w:val="21"/>
          <w:szCs w:val="21"/>
          <w:lang w:val="it-IT"/>
        </w:rPr>
      </w:pPr>
      <w:r w:rsidRPr="00BE6E19">
        <w:rPr>
          <w:rFonts w:ascii="Arial" w:hAnsi="Arial" w:cs="Arial"/>
          <w:sz w:val="21"/>
          <w:szCs w:val="21"/>
          <w:lang w:val="it-IT"/>
        </w:rPr>
        <w:t>I medicinali generici seguono un processo meno rigoroso e non sono richiesti studi clinici per la valutazione di sicurezza ed efficacia.</w:t>
      </w:r>
      <w:r w:rsidR="00B26CF7" w:rsidRPr="00BE6E19">
        <w:rPr>
          <w:rFonts w:ascii="Arial" w:hAnsi="Arial" w:cs="Arial"/>
          <w:sz w:val="21"/>
          <w:szCs w:val="21"/>
          <w:lang w:val="it-IT"/>
        </w:rPr>
        <w:t xml:space="preserve"> </w:t>
      </w:r>
      <w:r w:rsidRPr="00BE6E19">
        <w:rPr>
          <w:rFonts w:ascii="Arial" w:hAnsi="Arial" w:cs="Arial"/>
          <w:sz w:val="21"/>
          <w:szCs w:val="21"/>
          <w:lang w:val="it-IT"/>
        </w:rPr>
        <w:t>Una società che richie</w:t>
      </w:r>
      <w:r w:rsidR="00A238AD">
        <w:rPr>
          <w:rFonts w:ascii="Arial" w:hAnsi="Arial" w:cs="Arial"/>
          <w:sz w:val="21"/>
          <w:szCs w:val="21"/>
          <w:lang w:val="it-IT"/>
        </w:rPr>
        <w:t>de</w:t>
      </w:r>
      <w:r w:rsidRPr="00BE6E19">
        <w:rPr>
          <w:rFonts w:ascii="Arial" w:hAnsi="Arial" w:cs="Arial"/>
          <w:sz w:val="21"/>
          <w:szCs w:val="21"/>
          <w:lang w:val="it-IT"/>
        </w:rPr>
        <w:t xml:space="preserve"> all’EMA</w:t>
      </w:r>
      <w:r w:rsidR="00B6415E" w:rsidRPr="00BE6E19">
        <w:rPr>
          <w:rFonts w:ascii="Arial" w:hAnsi="Arial" w:cs="Arial"/>
          <w:sz w:val="21"/>
          <w:szCs w:val="21"/>
          <w:lang w:val="it-IT"/>
        </w:rPr>
        <w:t xml:space="preserve"> </w:t>
      </w:r>
      <w:r w:rsidR="00A238AD">
        <w:rPr>
          <w:rFonts w:ascii="Arial" w:hAnsi="Arial" w:cs="Arial"/>
          <w:sz w:val="21"/>
          <w:szCs w:val="21"/>
          <w:lang w:val="it-IT"/>
        </w:rPr>
        <w:t xml:space="preserve">l’autorizzazione all’immissione in commercio </w:t>
      </w:r>
      <w:r w:rsidR="00B6415E" w:rsidRPr="00BE6E19">
        <w:rPr>
          <w:rFonts w:ascii="Arial" w:hAnsi="Arial" w:cs="Arial"/>
          <w:sz w:val="21"/>
          <w:szCs w:val="21"/>
          <w:lang w:val="it-IT"/>
        </w:rPr>
        <w:t xml:space="preserve">deve fornire informazioni sulla qualità del medicinale generico </w:t>
      </w:r>
      <w:r w:rsidR="00B6415E" w:rsidRPr="00A238AD">
        <w:rPr>
          <w:rFonts w:ascii="Arial" w:hAnsi="Arial" w:cs="Arial"/>
          <w:sz w:val="21"/>
          <w:szCs w:val="21"/>
          <w:lang w:val="it-IT"/>
        </w:rPr>
        <w:t>e solitamente</w:t>
      </w:r>
      <w:r w:rsidR="00B6415E" w:rsidRPr="00BE6E19">
        <w:rPr>
          <w:rFonts w:ascii="Arial" w:hAnsi="Arial" w:cs="Arial"/>
          <w:sz w:val="21"/>
          <w:szCs w:val="21"/>
          <w:lang w:val="it-IT"/>
        </w:rPr>
        <w:t xml:space="preserve"> </w:t>
      </w:r>
      <w:r w:rsidR="00B6415E" w:rsidRPr="00A238AD">
        <w:rPr>
          <w:rFonts w:ascii="Arial" w:hAnsi="Arial" w:cs="Arial"/>
          <w:sz w:val="21"/>
          <w:szCs w:val="21"/>
          <w:lang w:val="it-IT"/>
        </w:rPr>
        <w:t>anche dati</w:t>
      </w:r>
      <w:r w:rsidR="00B6415E" w:rsidRPr="00BE6E19">
        <w:rPr>
          <w:rFonts w:ascii="Arial" w:hAnsi="Arial" w:cs="Arial"/>
          <w:sz w:val="21"/>
          <w:szCs w:val="21"/>
          <w:lang w:val="it-IT"/>
        </w:rPr>
        <w:t xml:space="preserve"> di </w:t>
      </w:r>
      <w:proofErr w:type="spellStart"/>
      <w:r w:rsidR="00B6415E" w:rsidRPr="00A238AD">
        <w:rPr>
          <w:rFonts w:ascii="Arial" w:hAnsi="Arial" w:cs="Arial"/>
          <w:sz w:val="21"/>
          <w:szCs w:val="21"/>
          <w:lang w:val="it-IT"/>
        </w:rPr>
        <w:t>bioequivalenza</w:t>
      </w:r>
      <w:proofErr w:type="spellEnd"/>
      <w:r w:rsidR="00B6415E" w:rsidRPr="00BE6E19">
        <w:rPr>
          <w:rFonts w:ascii="Arial" w:hAnsi="Arial" w:cs="Arial"/>
          <w:sz w:val="21"/>
          <w:szCs w:val="21"/>
          <w:lang w:val="it-IT"/>
        </w:rPr>
        <w:t xml:space="preserve"> </w:t>
      </w:r>
      <w:r w:rsidR="00B6415E" w:rsidRPr="00A238AD">
        <w:rPr>
          <w:rFonts w:ascii="Arial" w:hAnsi="Arial" w:cs="Arial"/>
          <w:sz w:val="21"/>
          <w:szCs w:val="21"/>
          <w:lang w:val="it-IT"/>
        </w:rPr>
        <w:t>che dimostrino</w:t>
      </w:r>
      <w:r w:rsidR="00B6415E" w:rsidRPr="00BE6E19">
        <w:rPr>
          <w:rFonts w:ascii="Arial" w:hAnsi="Arial" w:cs="Arial"/>
          <w:sz w:val="21"/>
          <w:szCs w:val="21"/>
          <w:lang w:val="it-IT"/>
        </w:rPr>
        <w:t xml:space="preserve"> </w:t>
      </w:r>
      <w:r w:rsidR="00B6415E" w:rsidRPr="00A238AD">
        <w:rPr>
          <w:rFonts w:ascii="Arial" w:hAnsi="Arial" w:cs="Arial"/>
          <w:sz w:val="21"/>
          <w:szCs w:val="21"/>
          <w:lang w:val="it-IT"/>
        </w:rPr>
        <w:t>che</w:t>
      </w:r>
      <w:r w:rsidR="00B6415E" w:rsidRPr="00BE6E19">
        <w:rPr>
          <w:rFonts w:ascii="Arial" w:hAnsi="Arial" w:cs="Arial"/>
          <w:sz w:val="21"/>
          <w:szCs w:val="21"/>
          <w:lang w:val="it-IT"/>
        </w:rPr>
        <w:t xml:space="preserve"> il generico produce nell’organismo gli stessi livelli </w:t>
      </w:r>
      <w:r w:rsidR="00B6415E" w:rsidRPr="00A238AD">
        <w:rPr>
          <w:rFonts w:ascii="Arial" w:hAnsi="Arial" w:cs="Arial"/>
          <w:sz w:val="21"/>
          <w:szCs w:val="21"/>
          <w:lang w:val="it-IT"/>
        </w:rPr>
        <w:t>di principio</w:t>
      </w:r>
      <w:r w:rsidR="00B6415E" w:rsidRPr="00BE6E19">
        <w:rPr>
          <w:rFonts w:ascii="Arial" w:hAnsi="Arial" w:cs="Arial"/>
          <w:sz w:val="21"/>
          <w:szCs w:val="21"/>
          <w:lang w:val="it-IT"/>
        </w:rPr>
        <w:t xml:space="preserve"> </w:t>
      </w:r>
      <w:r w:rsidR="00B6415E" w:rsidRPr="00A238AD">
        <w:rPr>
          <w:rFonts w:ascii="Arial" w:hAnsi="Arial" w:cs="Arial"/>
          <w:sz w:val="21"/>
          <w:szCs w:val="21"/>
          <w:lang w:val="it-IT"/>
        </w:rPr>
        <w:t>attivo del</w:t>
      </w:r>
      <w:r w:rsidR="00B6415E" w:rsidRPr="00BE6E19">
        <w:rPr>
          <w:rFonts w:ascii="Arial" w:hAnsi="Arial" w:cs="Arial"/>
          <w:sz w:val="21"/>
          <w:szCs w:val="21"/>
          <w:lang w:val="it-IT"/>
        </w:rPr>
        <w:t xml:space="preserve"> </w:t>
      </w:r>
      <w:r w:rsidR="00B6415E" w:rsidRPr="00A238AD">
        <w:rPr>
          <w:rFonts w:ascii="Arial" w:hAnsi="Arial" w:cs="Arial"/>
          <w:sz w:val="21"/>
          <w:szCs w:val="21"/>
          <w:lang w:val="it-IT"/>
        </w:rPr>
        <w:t>prodotto di riferimento</w:t>
      </w:r>
      <w:r w:rsidR="00B6415E" w:rsidRPr="00A238AD">
        <w:rPr>
          <w:rFonts w:ascii="Arial" w:hAnsi="Arial" w:cs="Arial"/>
          <w:sz w:val="21"/>
          <w:szCs w:val="21"/>
          <w:vertAlign w:val="superscript"/>
          <w:lang w:val="it-IT"/>
        </w:rPr>
        <w:t>17</w:t>
      </w:r>
      <w:r w:rsidR="00017091" w:rsidRPr="00BE6E19">
        <w:rPr>
          <w:rFonts w:ascii="Arial" w:hAnsi="Arial" w:cs="Arial"/>
          <w:sz w:val="21"/>
          <w:szCs w:val="21"/>
          <w:lang w:val="it-IT"/>
        </w:rPr>
        <w:t>.</w:t>
      </w:r>
    </w:p>
    <w:p w:rsidR="00DD6AFA" w:rsidRPr="00CD150A" w:rsidRDefault="00B6415E" w:rsidP="00413DBB">
      <w:pPr>
        <w:pStyle w:val="Nessunaspaziatura"/>
        <w:numPr>
          <w:ilvl w:val="0"/>
          <w:numId w:val="16"/>
        </w:numPr>
        <w:spacing w:after="80"/>
        <w:ind w:left="360"/>
        <w:jc w:val="both"/>
        <w:rPr>
          <w:rFonts w:ascii="Arial" w:hAnsi="Arial" w:cs="Arial"/>
          <w:sz w:val="21"/>
          <w:szCs w:val="21"/>
          <w:lang w:val="it-IT"/>
        </w:rPr>
      </w:pPr>
      <w:r w:rsidRPr="00CD150A">
        <w:rPr>
          <w:rFonts w:ascii="Arial" w:hAnsi="Arial" w:cs="Arial"/>
          <w:sz w:val="21"/>
          <w:szCs w:val="21"/>
          <w:lang w:val="it-IT"/>
        </w:rPr>
        <w:t xml:space="preserve">Il processo di produzione dei biosimilari, rispetto ai generici, è molto più </w:t>
      </w:r>
      <w:r w:rsidR="00A238AD">
        <w:rPr>
          <w:rFonts w:ascii="Arial" w:hAnsi="Arial" w:cs="Arial"/>
          <w:sz w:val="21"/>
          <w:szCs w:val="21"/>
          <w:lang w:val="it-IT"/>
        </w:rPr>
        <w:t xml:space="preserve">costoso, </w:t>
      </w:r>
      <w:r w:rsidRPr="00CD150A">
        <w:rPr>
          <w:rFonts w:ascii="Arial" w:hAnsi="Arial" w:cs="Arial"/>
          <w:sz w:val="21"/>
          <w:szCs w:val="21"/>
          <w:lang w:val="it-IT"/>
        </w:rPr>
        <w:t xml:space="preserve">sofisticato e </w:t>
      </w:r>
      <w:r w:rsidR="00C65F10" w:rsidRPr="00CD150A">
        <w:rPr>
          <w:rFonts w:ascii="Arial" w:hAnsi="Arial" w:cs="Arial"/>
          <w:sz w:val="21"/>
          <w:szCs w:val="21"/>
          <w:lang w:val="it-IT"/>
        </w:rPr>
        <w:t>ad uso intensivo di risorse, richiedendo linee di produzione dedicate e formazione specializzata</w:t>
      </w:r>
      <w:r w:rsidR="00C65F10" w:rsidRPr="00413DBB">
        <w:rPr>
          <w:rFonts w:ascii="Arial" w:hAnsi="Arial" w:cs="Arial"/>
          <w:sz w:val="21"/>
          <w:szCs w:val="21"/>
          <w:vertAlign w:val="superscript"/>
          <w:lang w:val="it-IT"/>
        </w:rPr>
        <w:t>4</w:t>
      </w:r>
      <w:r w:rsidR="00017091" w:rsidRPr="00CD150A">
        <w:rPr>
          <w:rFonts w:ascii="Arial" w:hAnsi="Arial" w:cs="Arial"/>
          <w:sz w:val="21"/>
          <w:szCs w:val="21"/>
          <w:lang w:val="it-IT"/>
        </w:rPr>
        <w:t>.</w:t>
      </w:r>
    </w:p>
    <w:p w:rsidR="00F0034A" w:rsidRDefault="00C65F10" w:rsidP="00BB1827">
      <w:pPr>
        <w:pStyle w:val="Nessunaspaziatura"/>
        <w:numPr>
          <w:ilvl w:val="0"/>
          <w:numId w:val="16"/>
        </w:numPr>
        <w:ind w:left="357" w:hanging="357"/>
        <w:jc w:val="both"/>
        <w:rPr>
          <w:rFonts w:ascii="Arial" w:hAnsi="Arial" w:cs="Arial"/>
          <w:sz w:val="21"/>
          <w:szCs w:val="21"/>
          <w:lang w:val="it-IT"/>
        </w:rPr>
      </w:pPr>
      <w:r w:rsidRPr="00CD150A">
        <w:rPr>
          <w:rFonts w:ascii="Arial" w:hAnsi="Arial" w:cs="Arial"/>
          <w:sz w:val="21"/>
          <w:szCs w:val="21"/>
          <w:lang w:val="it-IT"/>
        </w:rPr>
        <w:t xml:space="preserve">I generici tendono ad essere sostanzialmente </w:t>
      </w:r>
      <w:r w:rsidR="008B0604" w:rsidRPr="00CD150A">
        <w:rPr>
          <w:rFonts w:ascii="Arial" w:hAnsi="Arial" w:cs="Arial"/>
          <w:sz w:val="21"/>
          <w:szCs w:val="21"/>
          <w:lang w:val="it-IT"/>
        </w:rPr>
        <w:t>più economici</w:t>
      </w:r>
      <w:r w:rsidRPr="00CD150A">
        <w:rPr>
          <w:rFonts w:ascii="Arial" w:hAnsi="Arial" w:cs="Arial"/>
          <w:sz w:val="21"/>
          <w:szCs w:val="21"/>
          <w:lang w:val="it-IT"/>
        </w:rPr>
        <w:t xml:space="preserve"> dei loro prodotti di riferimento di marca, per i loro costi di ricerca e sviluppo </w:t>
      </w:r>
      <w:r w:rsidR="008B0604" w:rsidRPr="00CD150A">
        <w:rPr>
          <w:rFonts w:ascii="Arial" w:hAnsi="Arial" w:cs="Arial"/>
          <w:sz w:val="21"/>
          <w:szCs w:val="21"/>
          <w:lang w:val="it-IT"/>
        </w:rPr>
        <w:t>estremam</w:t>
      </w:r>
      <w:r w:rsidRPr="00CD150A">
        <w:rPr>
          <w:rFonts w:ascii="Arial" w:hAnsi="Arial" w:cs="Arial"/>
          <w:sz w:val="21"/>
          <w:szCs w:val="21"/>
          <w:lang w:val="it-IT"/>
        </w:rPr>
        <w:t>ente bassi</w:t>
      </w:r>
      <w:r w:rsidR="00413DBB" w:rsidRPr="00413DBB">
        <w:rPr>
          <w:rFonts w:ascii="Arial" w:hAnsi="Arial" w:cs="Arial"/>
          <w:sz w:val="21"/>
          <w:szCs w:val="21"/>
          <w:vertAlign w:val="superscript"/>
          <w:lang w:val="it-IT"/>
        </w:rPr>
        <w:t>18</w:t>
      </w:r>
      <w:r w:rsidRPr="00CD150A">
        <w:rPr>
          <w:rFonts w:ascii="Arial" w:hAnsi="Arial" w:cs="Arial"/>
          <w:sz w:val="21"/>
          <w:szCs w:val="21"/>
          <w:lang w:val="it-IT"/>
        </w:rPr>
        <w:t>.</w:t>
      </w:r>
      <w:r w:rsidR="00413DBB">
        <w:rPr>
          <w:rFonts w:ascii="Arial" w:hAnsi="Arial" w:cs="Arial"/>
          <w:sz w:val="21"/>
          <w:szCs w:val="21"/>
          <w:lang w:val="it-IT"/>
        </w:rPr>
        <w:t xml:space="preserve"> L</w:t>
      </w:r>
      <w:r w:rsidR="008B0604" w:rsidRPr="00413DBB">
        <w:rPr>
          <w:rFonts w:ascii="Arial" w:hAnsi="Arial" w:cs="Arial"/>
          <w:sz w:val="21"/>
          <w:szCs w:val="21"/>
          <w:lang w:val="it-IT"/>
        </w:rPr>
        <w:t xml:space="preserve">o sconto del </w:t>
      </w:r>
      <w:proofErr w:type="spellStart"/>
      <w:r w:rsidR="008B0604" w:rsidRPr="00413DBB">
        <w:rPr>
          <w:rFonts w:ascii="Arial" w:hAnsi="Arial" w:cs="Arial"/>
          <w:sz w:val="21"/>
          <w:szCs w:val="21"/>
          <w:lang w:val="it-IT"/>
        </w:rPr>
        <w:t>biosimilare</w:t>
      </w:r>
      <w:proofErr w:type="spellEnd"/>
      <w:r w:rsidR="008B0604" w:rsidRPr="00413DBB">
        <w:rPr>
          <w:rFonts w:ascii="Arial" w:hAnsi="Arial" w:cs="Arial"/>
          <w:sz w:val="21"/>
          <w:szCs w:val="21"/>
          <w:lang w:val="it-IT"/>
        </w:rPr>
        <w:t xml:space="preserve"> rispetto al prodotto di riferimento potrebbe essere inferiore al generico, ma il risparmio complessivo dovrebbe essere significativo</w:t>
      </w:r>
      <w:r w:rsidR="0077166F">
        <w:rPr>
          <w:rFonts w:ascii="Arial" w:hAnsi="Arial" w:cs="Arial"/>
          <w:sz w:val="21"/>
          <w:szCs w:val="21"/>
          <w:lang w:val="it-IT"/>
        </w:rPr>
        <w:t>,</w:t>
      </w:r>
      <w:r w:rsidR="008B0604" w:rsidRPr="00413DBB">
        <w:rPr>
          <w:rFonts w:ascii="Arial" w:hAnsi="Arial" w:cs="Arial"/>
          <w:sz w:val="21"/>
          <w:szCs w:val="21"/>
          <w:lang w:val="it-IT"/>
        </w:rPr>
        <w:t xml:space="preserve"> </w:t>
      </w:r>
      <w:r w:rsidR="0077166F">
        <w:rPr>
          <w:rFonts w:ascii="Arial" w:hAnsi="Arial" w:cs="Arial"/>
          <w:sz w:val="21"/>
          <w:szCs w:val="21"/>
          <w:lang w:val="it-IT"/>
        </w:rPr>
        <w:t>a</w:t>
      </w:r>
      <w:r w:rsidR="008B0604" w:rsidRPr="00413DBB">
        <w:rPr>
          <w:rFonts w:ascii="Arial" w:hAnsi="Arial" w:cs="Arial"/>
          <w:sz w:val="21"/>
          <w:szCs w:val="21"/>
          <w:lang w:val="it-IT"/>
        </w:rPr>
        <w:t xml:space="preserve"> causa dei costi elevati dei </w:t>
      </w:r>
      <w:r w:rsidR="00C56DAC">
        <w:rPr>
          <w:rFonts w:ascii="Arial" w:hAnsi="Arial" w:cs="Arial"/>
          <w:sz w:val="21"/>
          <w:szCs w:val="21"/>
          <w:lang w:val="it-IT"/>
        </w:rPr>
        <w:t xml:space="preserve">farmaci </w:t>
      </w:r>
      <w:r w:rsidR="008B0604" w:rsidRPr="00413DBB">
        <w:rPr>
          <w:rFonts w:ascii="Arial" w:hAnsi="Arial" w:cs="Arial"/>
          <w:sz w:val="21"/>
          <w:szCs w:val="21"/>
          <w:lang w:val="it-IT"/>
        </w:rPr>
        <w:t>biologici</w:t>
      </w:r>
      <w:r w:rsidR="008B0604" w:rsidRPr="00413DBB">
        <w:rPr>
          <w:rFonts w:ascii="Arial" w:hAnsi="Arial" w:cs="Arial"/>
          <w:sz w:val="21"/>
          <w:szCs w:val="21"/>
          <w:vertAlign w:val="superscript"/>
          <w:lang w:val="it-IT"/>
        </w:rPr>
        <w:t>19</w:t>
      </w:r>
      <w:r w:rsidR="00017091" w:rsidRPr="00413DBB">
        <w:rPr>
          <w:rFonts w:ascii="Arial" w:hAnsi="Arial" w:cs="Arial"/>
          <w:sz w:val="21"/>
          <w:szCs w:val="21"/>
          <w:lang w:val="it-IT"/>
        </w:rPr>
        <w:t>.</w:t>
      </w:r>
    </w:p>
    <w:p w:rsidR="004105AF" w:rsidRDefault="004105AF" w:rsidP="004105AF">
      <w:pPr>
        <w:pStyle w:val="Nessunaspaziatura"/>
        <w:jc w:val="both"/>
        <w:rPr>
          <w:rFonts w:ascii="Arial" w:hAnsi="Arial" w:cs="Arial"/>
          <w:sz w:val="21"/>
          <w:szCs w:val="21"/>
          <w:lang w:val="it-IT"/>
        </w:rPr>
      </w:pPr>
    </w:p>
    <w:p w:rsidR="004105AF" w:rsidRDefault="004105AF" w:rsidP="004105AF">
      <w:pPr>
        <w:pStyle w:val="Nessunaspaziatura"/>
        <w:jc w:val="both"/>
        <w:rPr>
          <w:rFonts w:ascii="Arial" w:hAnsi="Arial" w:cs="Arial"/>
          <w:sz w:val="21"/>
          <w:szCs w:val="21"/>
          <w:lang w:val="it-IT"/>
        </w:rPr>
      </w:pPr>
    </w:p>
    <w:p w:rsidR="004105AF" w:rsidRPr="00D175BA" w:rsidRDefault="004105AF" w:rsidP="004105AF">
      <w:pPr>
        <w:pStyle w:val="Nessunaspaziatura"/>
        <w:spacing w:after="80"/>
        <w:jc w:val="both"/>
        <w:rPr>
          <w:rFonts w:ascii="Arial" w:hAnsi="Arial" w:cs="Arial"/>
          <w:b/>
        </w:rPr>
      </w:pPr>
      <w:proofErr w:type="spellStart"/>
      <w:r w:rsidRPr="00D175BA">
        <w:rPr>
          <w:rFonts w:ascii="Arial" w:hAnsi="Arial" w:cs="Arial"/>
          <w:b/>
        </w:rPr>
        <w:t>Costo-efficacia</w:t>
      </w:r>
      <w:proofErr w:type="spellEnd"/>
    </w:p>
    <w:p w:rsidR="004105AF" w:rsidRPr="00CF3D53" w:rsidRDefault="004105AF" w:rsidP="004105AF">
      <w:pPr>
        <w:pStyle w:val="Nessunaspaziatura"/>
        <w:numPr>
          <w:ilvl w:val="0"/>
          <w:numId w:val="16"/>
        </w:numPr>
        <w:spacing w:after="80"/>
        <w:ind w:left="357" w:hanging="357"/>
        <w:jc w:val="both"/>
        <w:rPr>
          <w:rFonts w:ascii="Arial" w:hAnsi="Arial" w:cs="Arial"/>
          <w:sz w:val="21"/>
          <w:szCs w:val="21"/>
          <w:lang w:val="it-IT"/>
        </w:rPr>
      </w:pPr>
      <w:r w:rsidRPr="00CD150A">
        <w:rPr>
          <w:rFonts w:ascii="Arial" w:hAnsi="Arial" w:cs="Arial"/>
          <w:sz w:val="21"/>
          <w:szCs w:val="21"/>
          <w:lang w:val="it-IT"/>
        </w:rPr>
        <w:t>L’Europa ha urgente bisogno di tenere sotto controllo la spesa sanitaria, speci</w:t>
      </w:r>
      <w:r>
        <w:rPr>
          <w:rFonts w:ascii="Arial" w:hAnsi="Arial" w:cs="Arial"/>
          <w:sz w:val="21"/>
          <w:szCs w:val="21"/>
          <w:lang w:val="it-IT"/>
        </w:rPr>
        <w:t>e a fronte dell’</w:t>
      </w:r>
      <w:r w:rsidRPr="00CD150A">
        <w:rPr>
          <w:rFonts w:ascii="Arial" w:hAnsi="Arial" w:cs="Arial"/>
          <w:sz w:val="21"/>
          <w:szCs w:val="21"/>
          <w:lang w:val="it-IT"/>
        </w:rPr>
        <w:t>invecchiamento della popolazione</w:t>
      </w:r>
      <w:r>
        <w:rPr>
          <w:rFonts w:ascii="Arial" w:hAnsi="Arial" w:cs="Arial"/>
          <w:sz w:val="21"/>
          <w:szCs w:val="21"/>
          <w:lang w:val="it-IT"/>
        </w:rPr>
        <w:t>.</w:t>
      </w:r>
    </w:p>
    <w:p w:rsidR="004105AF" w:rsidRPr="00DA7885" w:rsidRDefault="004105AF" w:rsidP="004105AF">
      <w:pPr>
        <w:pStyle w:val="Nessunaspaziatura"/>
        <w:numPr>
          <w:ilvl w:val="0"/>
          <w:numId w:val="34"/>
        </w:numPr>
        <w:spacing w:after="80"/>
        <w:jc w:val="both"/>
        <w:rPr>
          <w:rStyle w:val="hps"/>
          <w:rFonts w:ascii="Arial" w:hAnsi="Arial" w:cs="Arial"/>
          <w:sz w:val="21"/>
          <w:szCs w:val="21"/>
          <w:lang w:val="it-IT"/>
        </w:rPr>
      </w:pPr>
      <w:r w:rsidRPr="00DA7885">
        <w:rPr>
          <w:rFonts w:ascii="Arial" w:hAnsi="Arial" w:cs="Arial"/>
          <w:sz w:val="21"/>
          <w:szCs w:val="21"/>
          <w:lang w:val="it-IT"/>
        </w:rPr>
        <w:t>La popolazione dell’EU dovrebbe raggiungere i 517 milioni nel 2060, con circa un terzo dei cittadini di età ≥65 anni</w:t>
      </w:r>
      <w:r w:rsidRPr="00DA7885">
        <w:rPr>
          <w:rFonts w:ascii="Arial" w:hAnsi="Arial" w:cs="Arial"/>
          <w:sz w:val="21"/>
          <w:szCs w:val="21"/>
          <w:vertAlign w:val="superscript"/>
          <w:lang w:val="it-IT"/>
        </w:rPr>
        <w:t>13</w:t>
      </w:r>
      <w:r w:rsidRPr="00DA7885">
        <w:rPr>
          <w:rFonts w:ascii="Arial" w:hAnsi="Arial" w:cs="Arial"/>
          <w:sz w:val="21"/>
          <w:szCs w:val="21"/>
          <w:lang w:val="it-IT"/>
        </w:rPr>
        <w:t xml:space="preserve">. Questo cambiamento dovrebbe influire in misura considerevole sulle finanze pubbliche nell’EU. </w:t>
      </w:r>
      <w:r w:rsidRPr="00DA7885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Sulla base</w:t>
      </w:r>
      <w:r w:rsidRPr="00DA7885">
        <w:rPr>
          <w:rFonts w:ascii="Arial" w:hAnsi="Arial" w:cs="Arial"/>
          <w:color w:val="222222"/>
          <w:sz w:val="21"/>
          <w:szCs w:val="21"/>
          <w:lang w:val="it-IT"/>
        </w:rPr>
        <w:t xml:space="preserve"> </w:t>
      </w:r>
      <w:r w:rsidRPr="00DA7885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delle politiche</w:t>
      </w:r>
      <w:r w:rsidRPr="00DA7885">
        <w:rPr>
          <w:rFonts w:ascii="Arial" w:hAnsi="Arial" w:cs="Arial"/>
          <w:color w:val="222222"/>
          <w:sz w:val="21"/>
          <w:szCs w:val="21"/>
          <w:lang w:val="it-IT"/>
        </w:rPr>
        <w:t xml:space="preserve"> </w:t>
      </w:r>
      <w:r w:rsidRPr="00DA7885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attuali</w:t>
      </w:r>
      <w:r w:rsidRPr="00DA7885">
        <w:rPr>
          <w:rFonts w:ascii="Arial" w:hAnsi="Arial" w:cs="Arial"/>
          <w:color w:val="222222"/>
          <w:sz w:val="21"/>
          <w:szCs w:val="21"/>
          <w:lang w:val="it-IT"/>
        </w:rPr>
        <w:t xml:space="preserve">, le voci di </w:t>
      </w:r>
      <w:r w:rsidRPr="00DA7885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spesa pubblica</w:t>
      </w:r>
      <w:r w:rsidRPr="00DA7885">
        <w:rPr>
          <w:rFonts w:ascii="Arial" w:hAnsi="Arial" w:cs="Arial"/>
          <w:color w:val="222222"/>
          <w:sz w:val="21"/>
          <w:szCs w:val="21"/>
          <w:lang w:val="it-IT"/>
        </w:rPr>
        <w:t xml:space="preserve"> correlate </w:t>
      </w:r>
      <w:r w:rsidRPr="00DA7885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all'età della popolazione,</w:t>
      </w:r>
      <w:r w:rsidRPr="00DA7885">
        <w:rPr>
          <w:rFonts w:ascii="Arial" w:hAnsi="Arial" w:cs="Arial"/>
          <w:color w:val="222222"/>
          <w:sz w:val="21"/>
          <w:szCs w:val="21"/>
          <w:lang w:val="it-IT"/>
        </w:rPr>
        <w:t xml:space="preserve"> </w:t>
      </w:r>
      <w:r w:rsidRPr="00DA7885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quali sanità e</w:t>
      </w:r>
      <w:r w:rsidRPr="00DA7885">
        <w:rPr>
          <w:rFonts w:ascii="Arial" w:hAnsi="Arial" w:cs="Arial"/>
          <w:color w:val="222222"/>
          <w:sz w:val="21"/>
          <w:szCs w:val="21"/>
          <w:lang w:val="it-IT"/>
        </w:rPr>
        <w:t xml:space="preserve"> </w:t>
      </w:r>
      <w:r w:rsidRPr="00DA7885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assistenza a lungo termine,</w:t>
      </w:r>
      <w:r w:rsidRPr="00DA7885">
        <w:rPr>
          <w:rFonts w:ascii="Arial" w:hAnsi="Arial" w:cs="Arial"/>
          <w:color w:val="222222"/>
          <w:sz w:val="21"/>
          <w:szCs w:val="21"/>
          <w:lang w:val="it-IT"/>
        </w:rPr>
        <w:t xml:space="preserve"> </w:t>
      </w:r>
      <w:r w:rsidRPr="00DA7885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dovrebbero aumentare</w:t>
      </w:r>
      <w:r w:rsidRPr="00DA7885">
        <w:rPr>
          <w:rFonts w:ascii="Arial" w:hAnsi="Arial" w:cs="Arial"/>
          <w:color w:val="222222"/>
          <w:sz w:val="21"/>
          <w:szCs w:val="21"/>
          <w:lang w:val="it-IT"/>
        </w:rPr>
        <w:t xml:space="preserve"> </w:t>
      </w:r>
      <w:r w:rsidRPr="00DA7885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dal 4,1</w:t>
      </w:r>
      <w:r w:rsidRPr="00DA7885">
        <w:rPr>
          <w:rFonts w:ascii="Arial" w:hAnsi="Arial" w:cs="Arial"/>
          <w:color w:val="222222"/>
          <w:sz w:val="21"/>
          <w:szCs w:val="21"/>
          <w:lang w:val="it-IT"/>
        </w:rPr>
        <w:t xml:space="preserve">% </w:t>
      </w:r>
      <w:r w:rsidRPr="00DA7885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a circa il</w:t>
      </w:r>
      <w:r w:rsidRPr="00DA7885">
        <w:rPr>
          <w:rFonts w:ascii="Arial" w:hAnsi="Arial" w:cs="Arial"/>
          <w:color w:val="222222"/>
          <w:sz w:val="21"/>
          <w:szCs w:val="21"/>
          <w:lang w:val="it-IT"/>
        </w:rPr>
        <w:t xml:space="preserve"> </w:t>
      </w:r>
      <w:r w:rsidRPr="00DA7885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29</w:t>
      </w:r>
      <w:r w:rsidRPr="00DA7885">
        <w:rPr>
          <w:rFonts w:ascii="Arial" w:hAnsi="Arial" w:cs="Arial"/>
          <w:color w:val="222222"/>
          <w:sz w:val="21"/>
          <w:szCs w:val="21"/>
          <w:lang w:val="it-IT"/>
        </w:rPr>
        <w:t xml:space="preserve">% </w:t>
      </w:r>
      <w:r w:rsidRPr="00DA7885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del PIL</w:t>
      </w:r>
      <w:r w:rsidRPr="00DA7885">
        <w:rPr>
          <w:rFonts w:ascii="Arial" w:hAnsi="Arial" w:cs="Arial"/>
          <w:color w:val="222222"/>
          <w:sz w:val="21"/>
          <w:szCs w:val="21"/>
          <w:lang w:val="it-IT"/>
        </w:rPr>
        <w:t xml:space="preserve"> </w:t>
      </w:r>
      <w:r w:rsidRPr="00DA7885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tra il 2010</w:t>
      </w:r>
      <w:r w:rsidRPr="00DA7885">
        <w:rPr>
          <w:rFonts w:ascii="Arial" w:hAnsi="Arial" w:cs="Arial"/>
          <w:color w:val="222222"/>
          <w:sz w:val="21"/>
          <w:szCs w:val="21"/>
          <w:lang w:val="it-IT"/>
        </w:rPr>
        <w:t xml:space="preserve"> </w:t>
      </w:r>
      <w:r w:rsidRPr="00DA7885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e il 2060</w:t>
      </w:r>
      <w:r w:rsidRPr="00DA7885">
        <w:rPr>
          <w:rStyle w:val="hps"/>
          <w:rFonts w:ascii="Arial" w:hAnsi="Arial" w:cs="Arial"/>
          <w:color w:val="222222"/>
          <w:sz w:val="21"/>
          <w:szCs w:val="21"/>
          <w:vertAlign w:val="superscript"/>
          <w:lang w:val="it-IT"/>
        </w:rPr>
        <w:t>13</w:t>
      </w:r>
      <w:r w:rsidRPr="00DA7885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.</w:t>
      </w:r>
    </w:p>
    <w:p w:rsidR="004105AF" w:rsidRPr="00CF3D53" w:rsidRDefault="004105AF" w:rsidP="004105AF">
      <w:pPr>
        <w:pStyle w:val="Nessunaspaziatura"/>
        <w:numPr>
          <w:ilvl w:val="0"/>
          <w:numId w:val="34"/>
        </w:numPr>
        <w:spacing w:after="80"/>
        <w:jc w:val="both"/>
        <w:rPr>
          <w:rFonts w:ascii="Arial" w:hAnsi="Arial" w:cs="Arial"/>
          <w:sz w:val="21"/>
          <w:szCs w:val="21"/>
          <w:lang w:val="it-IT"/>
        </w:rPr>
      </w:pPr>
      <w:r w:rsidRPr="00CF3D53">
        <w:rPr>
          <w:rFonts w:ascii="Arial" w:hAnsi="Arial" w:cs="Arial"/>
          <w:sz w:val="21"/>
          <w:szCs w:val="21"/>
          <w:lang w:val="it-IT"/>
        </w:rPr>
        <w:lastRenderedPageBreak/>
        <w:t>L’utilizzo di medicinali biologici sta aumentando, secondo un tasso di crescita molto superiore a quello del mercato farmaceutico globale</w:t>
      </w:r>
      <w:r w:rsidRPr="00CF3D53">
        <w:rPr>
          <w:rFonts w:ascii="Arial" w:hAnsi="Arial" w:cs="Arial"/>
          <w:sz w:val="21"/>
          <w:szCs w:val="21"/>
          <w:vertAlign w:val="superscript"/>
          <w:lang w:val="it-IT"/>
        </w:rPr>
        <w:t>7</w:t>
      </w:r>
      <w:r w:rsidRPr="00CF3D53">
        <w:rPr>
          <w:rFonts w:ascii="Arial" w:hAnsi="Arial" w:cs="Arial"/>
          <w:sz w:val="21"/>
          <w:szCs w:val="21"/>
          <w:lang w:val="it-IT"/>
        </w:rPr>
        <w:t xml:space="preserve">. </w:t>
      </w:r>
      <w:r w:rsidRPr="00CF3D53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I rapporti sulla</w:t>
      </w:r>
      <w:r w:rsidRPr="00CF3D53">
        <w:rPr>
          <w:rFonts w:ascii="Arial" w:hAnsi="Arial" w:cs="Arial"/>
          <w:color w:val="222222"/>
          <w:sz w:val="21"/>
          <w:szCs w:val="21"/>
          <w:lang w:val="it-IT"/>
        </w:rPr>
        <w:t xml:space="preserve"> </w:t>
      </w:r>
      <w:r w:rsidRPr="00CF3D53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spesa globale per</w:t>
      </w:r>
      <w:r w:rsidRPr="00CF3D53">
        <w:rPr>
          <w:rFonts w:ascii="Arial" w:hAnsi="Arial" w:cs="Arial"/>
          <w:color w:val="222222"/>
          <w:sz w:val="21"/>
          <w:szCs w:val="21"/>
          <w:lang w:val="it-IT"/>
        </w:rPr>
        <w:t xml:space="preserve"> </w:t>
      </w:r>
      <w:r w:rsidRPr="00CF3D53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i farmaci</w:t>
      </w:r>
      <w:r w:rsidRPr="00CF3D53">
        <w:rPr>
          <w:rFonts w:ascii="Arial" w:hAnsi="Arial" w:cs="Arial"/>
          <w:color w:val="222222"/>
          <w:sz w:val="21"/>
          <w:szCs w:val="21"/>
          <w:lang w:val="it-IT"/>
        </w:rPr>
        <w:t xml:space="preserve"> </w:t>
      </w:r>
      <w:r w:rsidRPr="00CF3D53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indicano che i biologici</w:t>
      </w:r>
      <w:r w:rsidRPr="00CF3D53">
        <w:rPr>
          <w:rFonts w:ascii="Arial" w:hAnsi="Arial" w:cs="Arial"/>
          <w:color w:val="222222"/>
          <w:sz w:val="21"/>
          <w:szCs w:val="21"/>
          <w:lang w:val="it-IT"/>
        </w:rPr>
        <w:t xml:space="preserve"> </w:t>
      </w:r>
      <w:r w:rsidRPr="00CF3D53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dovrebbero rappresentare</w:t>
      </w:r>
      <w:r w:rsidRPr="00CF3D53">
        <w:rPr>
          <w:rFonts w:ascii="Arial" w:hAnsi="Arial" w:cs="Arial"/>
          <w:color w:val="222222"/>
          <w:sz w:val="21"/>
          <w:szCs w:val="21"/>
          <w:lang w:val="it-IT"/>
        </w:rPr>
        <w:t xml:space="preserve"> </w:t>
      </w:r>
      <w:r w:rsidRPr="00CF3D53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il 19-20</w:t>
      </w:r>
      <w:r w:rsidRPr="00CF3D53">
        <w:rPr>
          <w:rFonts w:ascii="Arial" w:hAnsi="Arial" w:cs="Arial"/>
          <w:color w:val="222222"/>
          <w:sz w:val="21"/>
          <w:szCs w:val="21"/>
          <w:lang w:val="it-IT"/>
        </w:rPr>
        <w:t xml:space="preserve">% </w:t>
      </w:r>
      <w:r w:rsidRPr="00CF3D53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del valore totale</w:t>
      </w:r>
      <w:r w:rsidRPr="00CF3D53">
        <w:rPr>
          <w:rFonts w:ascii="Arial" w:hAnsi="Arial" w:cs="Arial"/>
          <w:color w:val="222222"/>
          <w:sz w:val="21"/>
          <w:szCs w:val="21"/>
          <w:lang w:val="it-IT"/>
        </w:rPr>
        <w:t xml:space="preserve"> </w:t>
      </w:r>
      <w:r w:rsidRPr="00CF3D53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del mercato</w:t>
      </w:r>
      <w:r w:rsidRPr="00CF3D53">
        <w:rPr>
          <w:rFonts w:ascii="Arial" w:hAnsi="Arial" w:cs="Arial"/>
          <w:color w:val="222222"/>
          <w:sz w:val="21"/>
          <w:szCs w:val="21"/>
          <w:lang w:val="it-IT"/>
        </w:rPr>
        <w:t xml:space="preserve"> </w:t>
      </w:r>
      <w:r w:rsidRPr="00CF3D53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entro il 2017</w:t>
      </w:r>
      <w:r w:rsidRPr="00CF3D53">
        <w:rPr>
          <w:rStyle w:val="hps"/>
          <w:rFonts w:ascii="Arial" w:hAnsi="Arial" w:cs="Arial"/>
          <w:color w:val="222222"/>
          <w:sz w:val="21"/>
          <w:szCs w:val="21"/>
          <w:vertAlign w:val="superscript"/>
          <w:lang w:val="it-IT"/>
        </w:rPr>
        <w:t>14</w:t>
      </w:r>
      <w:r w:rsidRPr="00CF3D53">
        <w:rPr>
          <w:rStyle w:val="hps"/>
          <w:rFonts w:ascii="Arial" w:hAnsi="Arial" w:cs="Arial"/>
          <w:color w:val="222222"/>
          <w:sz w:val="21"/>
          <w:szCs w:val="21"/>
          <w:lang w:val="it-IT"/>
        </w:rPr>
        <w:t>.</w:t>
      </w:r>
    </w:p>
    <w:p w:rsidR="004105AF" w:rsidRPr="00CD150A" w:rsidRDefault="004105AF" w:rsidP="004105AF">
      <w:pPr>
        <w:pStyle w:val="Nessunaspaziatura"/>
        <w:numPr>
          <w:ilvl w:val="0"/>
          <w:numId w:val="16"/>
        </w:numPr>
        <w:spacing w:after="80"/>
        <w:ind w:left="360"/>
        <w:jc w:val="both"/>
        <w:rPr>
          <w:rFonts w:ascii="Arial" w:hAnsi="Arial" w:cs="Arial"/>
          <w:sz w:val="21"/>
          <w:szCs w:val="21"/>
          <w:lang w:val="it-IT"/>
        </w:rPr>
      </w:pPr>
      <w:r w:rsidRPr="00CD150A">
        <w:rPr>
          <w:rFonts w:ascii="Arial" w:hAnsi="Arial" w:cs="Arial"/>
          <w:sz w:val="21"/>
          <w:szCs w:val="21"/>
          <w:lang w:val="it-IT"/>
        </w:rPr>
        <w:t xml:space="preserve">Nonostante i biologici rappresentino un’efficace opzione di trattamento per i pazienti con patologie croniche, il loro prezzo può impedirne </w:t>
      </w:r>
      <w:r>
        <w:rPr>
          <w:rFonts w:ascii="Arial" w:hAnsi="Arial" w:cs="Arial"/>
          <w:sz w:val="21"/>
          <w:szCs w:val="21"/>
          <w:lang w:val="it-IT"/>
        </w:rPr>
        <w:t xml:space="preserve">un </w:t>
      </w:r>
      <w:r w:rsidRPr="00CD150A">
        <w:rPr>
          <w:rFonts w:ascii="Arial" w:hAnsi="Arial" w:cs="Arial"/>
          <w:sz w:val="21"/>
          <w:szCs w:val="21"/>
          <w:lang w:val="it-IT"/>
        </w:rPr>
        <w:t>uso diffuso</w:t>
      </w:r>
      <w:r w:rsidRPr="00CD150A">
        <w:rPr>
          <w:rFonts w:ascii="Arial" w:hAnsi="Arial" w:cs="Arial"/>
          <w:sz w:val="21"/>
          <w:szCs w:val="21"/>
          <w:vertAlign w:val="superscript"/>
          <w:lang w:val="it-IT"/>
        </w:rPr>
        <w:t>7</w:t>
      </w:r>
      <w:r w:rsidRPr="00CD150A">
        <w:rPr>
          <w:rFonts w:ascii="Arial" w:hAnsi="Arial" w:cs="Arial"/>
          <w:sz w:val="21"/>
          <w:szCs w:val="21"/>
          <w:lang w:val="it-IT"/>
        </w:rPr>
        <w:t>.</w:t>
      </w:r>
    </w:p>
    <w:p w:rsidR="004105AF" w:rsidRPr="00CD150A" w:rsidRDefault="004105AF" w:rsidP="004105AF">
      <w:pPr>
        <w:pStyle w:val="Nessunaspaziatura"/>
        <w:numPr>
          <w:ilvl w:val="0"/>
          <w:numId w:val="16"/>
        </w:numPr>
        <w:spacing w:after="80"/>
        <w:ind w:left="360"/>
        <w:jc w:val="both"/>
        <w:rPr>
          <w:rFonts w:ascii="Arial" w:hAnsi="Arial" w:cs="Arial"/>
          <w:sz w:val="21"/>
          <w:szCs w:val="21"/>
          <w:lang w:val="it-IT"/>
        </w:rPr>
      </w:pPr>
      <w:r w:rsidRPr="00CD150A">
        <w:rPr>
          <w:rFonts w:ascii="Arial" w:hAnsi="Arial" w:cs="Arial"/>
          <w:sz w:val="21"/>
          <w:szCs w:val="21"/>
          <w:lang w:val="it-IT"/>
        </w:rPr>
        <w:t xml:space="preserve">I </w:t>
      </w:r>
      <w:proofErr w:type="spellStart"/>
      <w:r w:rsidRPr="00CD150A">
        <w:rPr>
          <w:rFonts w:ascii="Arial" w:hAnsi="Arial" w:cs="Arial"/>
          <w:sz w:val="21"/>
          <w:szCs w:val="21"/>
          <w:lang w:val="it-IT"/>
        </w:rPr>
        <w:t>biosimilari</w:t>
      </w:r>
      <w:proofErr w:type="spellEnd"/>
      <w:r w:rsidRPr="00CD150A">
        <w:rPr>
          <w:rFonts w:ascii="Arial" w:hAnsi="Arial" w:cs="Arial"/>
          <w:sz w:val="21"/>
          <w:szCs w:val="21"/>
          <w:lang w:val="it-IT"/>
        </w:rPr>
        <w:t xml:space="preserve"> sono spesso meno costosi del prodotto di riferimento</w:t>
      </w:r>
      <w:r w:rsidRPr="00CD150A">
        <w:rPr>
          <w:rFonts w:ascii="Arial" w:hAnsi="Arial" w:cs="Arial"/>
          <w:sz w:val="21"/>
          <w:szCs w:val="21"/>
          <w:vertAlign w:val="superscript"/>
          <w:lang w:val="it-IT"/>
        </w:rPr>
        <w:t>3</w:t>
      </w:r>
      <w:r w:rsidRPr="00CD150A">
        <w:rPr>
          <w:rFonts w:ascii="Arial" w:hAnsi="Arial" w:cs="Arial"/>
          <w:sz w:val="21"/>
          <w:szCs w:val="21"/>
          <w:lang w:val="it-IT"/>
        </w:rPr>
        <w:t>; ciò significa che possono offrire ai sistemi sanitari soluzioni economicamente vantaggiose per le esigenze dei pazienti</w:t>
      </w:r>
      <w:r w:rsidRPr="00CD150A">
        <w:rPr>
          <w:rFonts w:ascii="Arial" w:hAnsi="Arial" w:cs="Arial"/>
          <w:sz w:val="21"/>
          <w:szCs w:val="21"/>
          <w:vertAlign w:val="superscript"/>
          <w:lang w:val="it-IT"/>
        </w:rPr>
        <w:t>15</w:t>
      </w:r>
      <w:r w:rsidRPr="00CD150A">
        <w:rPr>
          <w:rFonts w:ascii="Arial" w:hAnsi="Arial" w:cs="Arial"/>
          <w:sz w:val="21"/>
          <w:szCs w:val="21"/>
          <w:lang w:val="it-IT"/>
        </w:rPr>
        <w:t>.</w:t>
      </w:r>
    </w:p>
    <w:p w:rsidR="004105AF" w:rsidRPr="00CD150A" w:rsidRDefault="004105AF" w:rsidP="004105AF">
      <w:pPr>
        <w:pStyle w:val="Paragrafoelenco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  <w:sz w:val="21"/>
          <w:szCs w:val="21"/>
          <w:lang w:val="it-IT"/>
        </w:rPr>
      </w:pPr>
      <w:r w:rsidRPr="00CD150A">
        <w:rPr>
          <w:rFonts w:ascii="Arial" w:hAnsi="Arial" w:cs="Arial"/>
          <w:sz w:val="21"/>
          <w:szCs w:val="21"/>
          <w:lang w:val="it-IT"/>
        </w:rPr>
        <w:t xml:space="preserve">Una delle nuove aree di sviluppo più significative è rappresentata dagli anticorpi monoclonali </w:t>
      </w:r>
      <w:proofErr w:type="spellStart"/>
      <w:r w:rsidRPr="00CD150A">
        <w:rPr>
          <w:rFonts w:ascii="Arial" w:hAnsi="Arial" w:cs="Arial"/>
          <w:sz w:val="21"/>
          <w:szCs w:val="21"/>
          <w:lang w:val="it-IT"/>
        </w:rPr>
        <w:t>biosimilari</w:t>
      </w:r>
      <w:proofErr w:type="spellEnd"/>
      <w:r w:rsidRPr="00CD150A">
        <w:rPr>
          <w:rFonts w:ascii="Arial" w:hAnsi="Arial" w:cs="Arial"/>
          <w:sz w:val="21"/>
          <w:szCs w:val="21"/>
          <w:lang w:val="it-IT"/>
        </w:rPr>
        <w:t xml:space="preserve">, </w:t>
      </w:r>
      <w:r w:rsidRPr="00CD150A">
        <w:rPr>
          <w:rFonts w:ascii="Arial" w:hAnsi="Arial"/>
          <w:sz w:val="21"/>
          <w:szCs w:val="21"/>
          <w:lang w:val="it-IT"/>
        </w:rPr>
        <w:t>che si prevede costeranno il 10-30% in meno dei loro prodotti di riferimento, con un potenziale risparmio per i sistemi sanitari europei di 1,8 - 20,4 miliardi di Euro tra il 2007 e il 2020</w:t>
      </w:r>
      <w:r w:rsidRPr="00CD150A">
        <w:rPr>
          <w:rFonts w:ascii="Arial" w:hAnsi="Arial"/>
          <w:sz w:val="21"/>
          <w:szCs w:val="21"/>
          <w:vertAlign w:val="superscript"/>
          <w:lang w:val="it-IT"/>
        </w:rPr>
        <w:t>15</w:t>
      </w:r>
      <w:r w:rsidRPr="00CD150A">
        <w:rPr>
          <w:rFonts w:ascii="Arial" w:hAnsi="Arial"/>
          <w:sz w:val="21"/>
          <w:szCs w:val="21"/>
          <w:lang w:val="it-IT"/>
        </w:rPr>
        <w:t>.</w:t>
      </w:r>
    </w:p>
    <w:p w:rsidR="004105AF" w:rsidRPr="00413DBB" w:rsidRDefault="004105AF" w:rsidP="004105AF">
      <w:pPr>
        <w:pStyle w:val="Nessunaspaziatura"/>
        <w:jc w:val="both"/>
        <w:rPr>
          <w:rFonts w:ascii="Arial" w:hAnsi="Arial" w:cs="Arial"/>
          <w:sz w:val="21"/>
          <w:szCs w:val="21"/>
          <w:lang w:val="it-IT"/>
        </w:rPr>
      </w:pPr>
    </w:p>
    <w:p w:rsidR="001E7E4F" w:rsidRPr="008B0604" w:rsidRDefault="001E7E4F" w:rsidP="00EE5879">
      <w:pPr>
        <w:jc w:val="both"/>
        <w:rPr>
          <w:rFonts w:ascii="Arial" w:hAnsi="Arial" w:cs="Arial"/>
          <w:b/>
          <w:lang w:val="it-IT"/>
        </w:rPr>
      </w:pPr>
    </w:p>
    <w:p w:rsidR="006D01B5" w:rsidRPr="004105AF" w:rsidRDefault="008B0604" w:rsidP="00DA7885">
      <w:pPr>
        <w:spacing w:after="80" w:line="24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4105AF">
        <w:rPr>
          <w:rFonts w:ascii="Arial" w:hAnsi="Arial" w:cs="Arial"/>
          <w:b/>
          <w:lang w:val="en-US"/>
        </w:rPr>
        <w:t>Bibliografia</w:t>
      </w:r>
      <w:proofErr w:type="spellEnd"/>
      <w:r w:rsidR="006D01B5" w:rsidRPr="004105AF">
        <w:rPr>
          <w:rFonts w:ascii="Arial" w:hAnsi="Arial" w:cs="Arial"/>
          <w:b/>
          <w:lang w:val="en-US"/>
        </w:rPr>
        <w:t>:</w:t>
      </w:r>
    </w:p>
    <w:p w:rsidR="00BE68E1" w:rsidRPr="004105AF" w:rsidRDefault="00BE68E1" w:rsidP="00CD150A">
      <w:pPr>
        <w:pStyle w:val="Testonotadichiusura"/>
        <w:rPr>
          <w:rFonts w:ascii="Arial" w:hAnsi="Arial" w:cs="Arial"/>
          <w:sz w:val="18"/>
          <w:szCs w:val="18"/>
          <w:lang w:val="en-US"/>
        </w:rPr>
      </w:pPr>
      <w:r w:rsidRPr="008746A2"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 xml:space="preserve"> </w:t>
      </w:r>
      <w:r w:rsidRPr="0072464B">
        <w:rPr>
          <w:rFonts w:ascii="Arial" w:hAnsi="Arial" w:cs="Arial"/>
          <w:sz w:val="18"/>
          <w:szCs w:val="18"/>
        </w:rPr>
        <w:t xml:space="preserve">What is a biological product? </w:t>
      </w:r>
      <w:r w:rsidRPr="004105AF">
        <w:rPr>
          <w:rFonts w:ascii="Arial" w:hAnsi="Arial" w:cs="Arial"/>
          <w:sz w:val="18"/>
          <w:szCs w:val="18"/>
          <w:lang w:val="en-US"/>
        </w:rPr>
        <w:t xml:space="preserve">FDA </w:t>
      </w:r>
      <w:hyperlink r:id="rId9" w:history="1">
        <w:r w:rsidRPr="004105AF">
          <w:rPr>
            <w:rStyle w:val="Collegamentoipertestuale"/>
            <w:rFonts w:ascii="Arial" w:hAnsi="Arial" w:cs="Arial"/>
            <w:sz w:val="18"/>
            <w:szCs w:val="18"/>
            <w:lang w:val="en-US"/>
          </w:rPr>
          <w:t>http://www.fda.gov/AboutFDA/Transparency/Basics/ucm194516</w:t>
        </w:r>
      </w:hyperlink>
    </w:p>
    <w:p w:rsidR="00BE68E1" w:rsidRPr="0072464B" w:rsidRDefault="00BE68E1" w:rsidP="00CD150A">
      <w:pPr>
        <w:pStyle w:val="Testonotadichiusura"/>
        <w:rPr>
          <w:rFonts w:ascii="Arial" w:hAnsi="Arial" w:cs="Arial"/>
          <w:sz w:val="18"/>
          <w:szCs w:val="18"/>
        </w:rPr>
      </w:pPr>
      <w:r w:rsidRPr="004105AF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10" w:history="1">
        <w:r w:rsidRPr="0072464B">
          <w:rPr>
            <w:rStyle w:val="Collegamentoipertestuale"/>
            <w:rFonts w:ascii="Arial" w:hAnsi="Arial" w:cs="Arial"/>
            <w:color w:val="auto"/>
            <w:sz w:val="18"/>
            <w:szCs w:val="18"/>
            <w:u w:val="none"/>
          </w:rPr>
          <w:t>Last accessed 13.10.14</w:t>
        </w:r>
      </w:hyperlink>
    </w:p>
    <w:p w:rsidR="00BE68E1" w:rsidRPr="00FD749A" w:rsidRDefault="00BE68E1" w:rsidP="00CD150A">
      <w:pPr>
        <w:pStyle w:val="Testonotadichiusura"/>
        <w:rPr>
          <w:rFonts w:ascii="Arial" w:hAnsi="Arial" w:cs="Arial"/>
          <w:sz w:val="18"/>
          <w:szCs w:val="18"/>
        </w:rPr>
      </w:pPr>
      <w:r w:rsidRPr="008746A2">
        <w:rPr>
          <w:rFonts w:ascii="Arial" w:hAnsi="Arial" w:cs="Arial"/>
          <w:sz w:val="18"/>
          <w:szCs w:val="18"/>
          <w:vertAlign w:val="superscript"/>
        </w:rPr>
        <w:t>2</w:t>
      </w:r>
      <w:r w:rsidRPr="00FD749A">
        <w:rPr>
          <w:rFonts w:ascii="Arial" w:hAnsi="Arial" w:cs="Arial"/>
          <w:sz w:val="18"/>
          <w:szCs w:val="18"/>
        </w:rPr>
        <w:t xml:space="preserve"> Weise M, et al. </w:t>
      </w:r>
      <w:proofErr w:type="spellStart"/>
      <w:r w:rsidRPr="00FD749A">
        <w:rPr>
          <w:rFonts w:ascii="Arial" w:hAnsi="Arial" w:cs="Arial"/>
          <w:sz w:val="18"/>
          <w:szCs w:val="18"/>
        </w:rPr>
        <w:t>Biosimilars</w:t>
      </w:r>
      <w:proofErr w:type="spellEnd"/>
      <w:r w:rsidRPr="00FD749A">
        <w:rPr>
          <w:rFonts w:ascii="Arial" w:hAnsi="Arial" w:cs="Arial"/>
          <w:sz w:val="18"/>
          <w:szCs w:val="18"/>
        </w:rPr>
        <w:t>: What clinicians should know. Blood 2012; 120(26):5111-5117</w:t>
      </w:r>
    </w:p>
    <w:p w:rsidR="00BE68E1" w:rsidRPr="0072464B" w:rsidRDefault="00BE68E1" w:rsidP="00CD150A">
      <w:pPr>
        <w:pStyle w:val="Testonotadichiusura"/>
        <w:rPr>
          <w:rFonts w:ascii="Arial" w:hAnsi="Arial" w:cs="Arial"/>
          <w:sz w:val="18"/>
          <w:szCs w:val="18"/>
        </w:rPr>
      </w:pPr>
      <w:r w:rsidRPr="008746A2">
        <w:rPr>
          <w:rFonts w:ascii="Arial" w:hAnsi="Arial" w:cs="Arial"/>
          <w:sz w:val="18"/>
          <w:szCs w:val="18"/>
          <w:vertAlign w:val="superscript"/>
        </w:rPr>
        <w:t>3</w:t>
      </w:r>
      <w:r w:rsidRPr="00FD749A">
        <w:rPr>
          <w:rFonts w:ascii="Arial" w:hAnsi="Arial" w:cs="Arial"/>
          <w:sz w:val="18"/>
          <w:szCs w:val="18"/>
        </w:rPr>
        <w:t xml:space="preserve"> Biological and </w:t>
      </w:r>
      <w:proofErr w:type="spellStart"/>
      <w:r w:rsidRPr="00FD749A">
        <w:rPr>
          <w:rFonts w:ascii="Arial" w:hAnsi="Arial" w:cs="Arial"/>
          <w:sz w:val="18"/>
          <w:szCs w:val="18"/>
        </w:rPr>
        <w:t>Biosimilar</w:t>
      </w:r>
      <w:proofErr w:type="spellEnd"/>
      <w:r w:rsidRPr="00FD749A">
        <w:rPr>
          <w:rFonts w:ascii="Arial" w:hAnsi="Arial" w:cs="Arial"/>
          <w:sz w:val="18"/>
          <w:szCs w:val="18"/>
        </w:rPr>
        <w:t xml:space="preserve"> Medicines Fact Sheet 2: An Information and Advocacy Toolkit for Patients' Organizations,</w:t>
      </w:r>
      <w:r w:rsidRPr="0072464B">
        <w:rPr>
          <w:rFonts w:ascii="Arial" w:hAnsi="Arial" w:cs="Arial"/>
          <w:sz w:val="18"/>
          <w:szCs w:val="18"/>
        </w:rPr>
        <w:t xml:space="preserve"> IAPO </w:t>
      </w:r>
      <w:hyperlink r:id="rId11" w:history="1">
        <w:r w:rsidRPr="0072464B">
          <w:rPr>
            <w:rStyle w:val="Collegamentoipertestuale"/>
            <w:rFonts w:ascii="Arial" w:hAnsi="Arial" w:cs="Arial"/>
            <w:sz w:val="18"/>
            <w:szCs w:val="18"/>
          </w:rPr>
          <w:t>http://iapo.org.uk/sites/default/filesfiles/IAPO%20Factsheet_2.pdf</w:t>
        </w:r>
      </w:hyperlink>
      <w:r w:rsidRPr="0072464B">
        <w:rPr>
          <w:rStyle w:val="Collegamentoipertestuale"/>
          <w:rFonts w:ascii="Arial" w:hAnsi="Arial" w:cs="Arial"/>
          <w:sz w:val="18"/>
          <w:szCs w:val="18"/>
        </w:rPr>
        <w:t xml:space="preserve"> </w:t>
      </w:r>
      <w:r w:rsidRPr="0072464B">
        <w:rPr>
          <w:rFonts w:ascii="Arial" w:hAnsi="Arial" w:cs="Arial"/>
          <w:sz w:val="18"/>
          <w:szCs w:val="18"/>
        </w:rPr>
        <w:t>Last accessed 7.10.14</w:t>
      </w:r>
    </w:p>
    <w:p w:rsidR="00BE68E1" w:rsidRPr="0072464B" w:rsidRDefault="00BE68E1" w:rsidP="00CD150A">
      <w:pPr>
        <w:pStyle w:val="Testonotadichiusura"/>
        <w:rPr>
          <w:rFonts w:ascii="Arial" w:hAnsi="Arial" w:cs="Arial"/>
          <w:sz w:val="18"/>
          <w:szCs w:val="18"/>
          <w:lang w:val="fr-FR"/>
        </w:rPr>
      </w:pPr>
      <w:r w:rsidRPr="0072464B">
        <w:rPr>
          <w:rFonts w:ascii="Arial" w:hAnsi="Arial" w:cs="Arial"/>
          <w:sz w:val="18"/>
          <w:szCs w:val="18"/>
          <w:vertAlign w:val="superscript"/>
        </w:rPr>
        <w:t xml:space="preserve">4 </w:t>
      </w:r>
      <w:r w:rsidRPr="0072464B">
        <w:rPr>
          <w:rFonts w:ascii="Arial" w:hAnsi="Arial" w:cs="Arial"/>
          <w:sz w:val="18"/>
          <w:szCs w:val="18"/>
        </w:rPr>
        <w:t xml:space="preserve">What you need to know about </w:t>
      </w:r>
      <w:proofErr w:type="spellStart"/>
      <w:r w:rsidRPr="0072464B">
        <w:rPr>
          <w:rFonts w:ascii="Arial" w:hAnsi="Arial" w:cs="Arial"/>
          <w:sz w:val="18"/>
          <w:szCs w:val="18"/>
        </w:rPr>
        <w:t>biosimilar</w:t>
      </w:r>
      <w:proofErr w:type="spellEnd"/>
      <w:r w:rsidRPr="0072464B">
        <w:rPr>
          <w:rFonts w:ascii="Arial" w:hAnsi="Arial" w:cs="Arial"/>
          <w:sz w:val="18"/>
          <w:szCs w:val="18"/>
        </w:rPr>
        <w:t xml:space="preserve"> medicinal products. </w:t>
      </w:r>
      <w:r w:rsidRPr="0072464B">
        <w:rPr>
          <w:rFonts w:ascii="Arial" w:hAnsi="Arial" w:cs="Arial"/>
          <w:sz w:val="18"/>
          <w:szCs w:val="18"/>
          <w:lang w:val="fr-FR"/>
        </w:rPr>
        <w:t xml:space="preserve">Consensus document, </w:t>
      </w:r>
      <w:proofErr w:type="spellStart"/>
      <w:r w:rsidRPr="0072464B">
        <w:rPr>
          <w:rFonts w:ascii="Arial" w:hAnsi="Arial" w:cs="Arial"/>
          <w:sz w:val="18"/>
          <w:szCs w:val="18"/>
          <w:lang w:val="fr-FR"/>
        </w:rPr>
        <w:t>European</w:t>
      </w:r>
      <w:proofErr w:type="spellEnd"/>
      <w:r w:rsidRPr="0072464B">
        <w:rPr>
          <w:rFonts w:ascii="Arial" w:hAnsi="Arial" w:cs="Arial"/>
          <w:sz w:val="18"/>
          <w:szCs w:val="18"/>
          <w:lang w:val="fr-FR"/>
        </w:rPr>
        <w:t xml:space="preserve"> Commission 2013 </w:t>
      </w:r>
      <w:hyperlink r:id="rId12" w:history="1">
        <w:r w:rsidRPr="0072464B">
          <w:rPr>
            <w:rStyle w:val="Collegamentoipertestuale"/>
            <w:rFonts w:ascii="Arial" w:hAnsi="Arial" w:cs="Arial"/>
            <w:sz w:val="18"/>
            <w:szCs w:val="18"/>
            <w:lang w:val="fr-FR"/>
          </w:rPr>
          <w:t>http://ec.europa.eu/enterprise/sectors/healthcare/files/docs/biosimilars_report_en.pdf</w:t>
        </w:r>
      </w:hyperlink>
      <w:r w:rsidRPr="0072464B">
        <w:rPr>
          <w:rFonts w:ascii="Arial" w:hAnsi="Arial" w:cs="Arial"/>
          <w:sz w:val="18"/>
          <w:szCs w:val="18"/>
          <w:lang w:val="fr-FR"/>
        </w:rPr>
        <w:t xml:space="preserve"> </w:t>
      </w:r>
      <w:r w:rsidRPr="004105AF">
        <w:rPr>
          <w:rFonts w:ascii="Arial" w:hAnsi="Arial" w:cs="Arial"/>
          <w:sz w:val="18"/>
          <w:szCs w:val="18"/>
          <w:lang w:val="fr-FR"/>
        </w:rPr>
        <w:t xml:space="preserve">Last </w:t>
      </w:r>
      <w:proofErr w:type="spellStart"/>
      <w:r w:rsidRPr="004105AF">
        <w:rPr>
          <w:rFonts w:ascii="Arial" w:hAnsi="Arial" w:cs="Arial"/>
          <w:sz w:val="18"/>
          <w:szCs w:val="18"/>
          <w:lang w:val="fr-FR"/>
        </w:rPr>
        <w:t>accessed</w:t>
      </w:r>
      <w:proofErr w:type="spellEnd"/>
      <w:r w:rsidRPr="004105AF">
        <w:rPr>
          <w:rFonts w:ascii="Arial" w:hAnsi="Arial" w:cs="Arial"/>
          <w:sz w:val="18"/>
          <w:szCs w:val="18"/>
          <w:lang w:val="fr-FR"/>
        </w:rPr>
        <w:t xml:space="preserve"> 13.10.14</w:t>
      </w:r>
    </w:p>
    <w:p w:rsidR="00BE68E1" w:rsidRPr="0072464B" w:rsidRDefault="00BE68E1" w:rsidP="00CD150A">
      <w:pPr>
        <w:pStyle w:val="Testonotadichiusura"/>
        <w:rPr>
          <w:rFonts w:ascii="Arial" w:hAnsi="Arial" w:cs="Arial"/>
          <w:sz w:val="18"/>
          <w:szCs w:val="18"/>
        </w:rPr>
      </w:pPr>
      <w:r w:rsidRPr="0072464B">
        <w:rPr>
          <w:rFonts w:ascii="Arial" w:hAnsi="Arial" w:cs="Arial"/>
          <w:sz w:val="18"/>
          <w:szCs w:val="18"/>
          <w:vertAlign w:val="superscript"/>
        </w:rPr>
        <w:t xml:space="preserve">5 </w:t>
      </w:r>
      <w:r w:rsidRPr="0072464B">
        <w:rPr>
          <w:rFonts w:ascii="Arial" w:hAnsi="Arial" w:cs="Arial"/>
          <w:sz w:val="18"/>
          <w:szCs w:val="18"/>
        </w:rPr>
        <w:t xml:space="preserve">Quick Guide on Biological and </w:t>
      </w:r>
      <w:proofErr w:type="spellStart"/>
      <w:r w:rsidRPr="0072464B">
        <w:rPr>
          <w:rFonts w:ascii="Arial" w:hAnsi="Arial" w:cs="Arial"/>
          <w:sz w:val="18"/>
          <w:szCs w:val="18"/>
        </w:rPr>
        <w:t>Biosimilar</w:t>
      </w:r>
      <w:proofErr w:type="spellEnd"/>
      <w:r w:rsidRPr="0072464B">
        <w:rPr>
          <w:rFonts w:ascii="Arial" w:hAnsi="Arial" w:cs="Arial"/>
          <w:sz w:val="18"/>
          <w:szCs w:val="18"/>
        </w:rPr>
        <w:t xml:space="preserve"> Medicines. IAPO November 2013   </w:t>
      </w:r>
      <w:hyperlink r:id="rId13" w:history="1">
        <w:r w:rsidRPr="0072464B">
          <w:rPr>
            <w:rStyle w:val="Collegamentoipertestuale"/>
            <w:rFonts w:ascii="Arial" w:hAnsi="Arial" w:cs="Arial"/>
            <w:sz w:val="18"/>
            <w:szCs w:val="18"/>
          </w:rPr>
          <w:t>http://iapo.org.uk/sites/default/filesfiles/IAPO%20Quick%20Guide.pdf</w:t>
        </w:r>
      </w:hyperlink>
      <w:r w:rsidRPr="0072464B">
        <w:rPr>
          <w:rFonts w:ascii="Arial" w:hAnsi="Arial" w:cs="Arial"/>
          <w:sz w:val="18"/>
          <w:szCs w:val="18"/>
        </w:rPr>
        <w:t xml:space="preserve"> Last accessed 7.10.14</w:t>
      </w:r>
    </w:p>
    <w:p w:rsidR="00BE68E1" w:rsidRPr="0072464B" w:rsidRDefault="00BE68E1" w:rsidP="00CD150A">
      <w:pPr>
        <w:pStyle w:val="Testonotadichiusura"/>
        <w:rPr>
          <w:rFonts w:ascii="Arial" w:hAnsi="Arial" w:cs="Arial"/>
          <w:sz w:val="18"/>
          <w:szCs w:val="18"/>
        </w:rPr>
      </w:pPr>
      <w:r w:rsidRPr="0072464B">
        <w:rPr>
          <w:rFonts w:ascii="Arial" w:hAnsi="Arial" w:cs="Arial"/>
          <w:sz w:val="18"/>
          <w:szCs w:val="18"/>
          <w:vertAlign w:val="superscript"/>
        </w:rPr>
        <w:t xml:space="preserve">6 </w:t>
      </w:r>
      <w:r w:rsidRPr="0072464B">
        <w:rPr>
          <w:rFonts w:ascii="Arial" w:hAnsi="Arial" w:cs="Arial"/>
          <w:sz w:val="18"/>
          <w:szCs w:val="18"/>
        </w:rPr>
        <w:t xml:space="preserve">Questions and answers on </w:t>
      </w:r>
      <w:proofErr w:type="spellStart"/>
      <w:r w:rsidRPr="0072464B">
        <w:rPr>
          <w:rFonts w:ascii="Arial" w:hAnsi="Arial" w:cs="Arial"/>
          <w:sz w:val="18"/>
          <w:szCs w:val="18"/>
        </w:rPr>
        <w:t>biosimilar</w:t>
      </w:r>
      <w:proofErr w:type="spellEnd"/>
      <w:r w:rsidRPr="0072464B">
        <w:rPr>
          <w:rFonts w:ascii="Arial" w:hAnsi="Arial" w:cs="Arial"/>
          <w:sz w:val="18"/>
          <w:szCs w:val="18"/>
        </w:rPr>
        <w:t xml:space="preserve"> medicines (similar biological medicinal products) </w:t>
      </w:r>
      <w:proofErr w:type="spellStart"/>
      <w:r w:rsidRPr="0072464B">
        <w:rPr>
          <w:rFonts w:ascii="Arial" w:hAnsi="Arial" w:cs="Arial"/>
          <w:sz w:val="18"/>
          <w:szCs w:val="18"/>
        </w:rPr>
        <w:t>Biosimilar</w:t>
      </w:r>
      <w:proofErr w:type="spellEnd"/>
      <w:r w:rsidRPr="0072464B">
        <w:rPr>
          <w:rFonts w:ascii="Arial" w:hAnsi="Arial" w:cs="Arial"/>
          <w:sz w:val="18"/>
          <w:szCs w:val="18"/>
        </w:rPr>
        <w:t xml:space="preserve"> Medicines European Medicines Agency 27 September 2012 </w:t>
      </w:r>
      <w:hyperlink r:id="rId14" w:history="1">
        <w:r w:rsidRPr="0072464B">
          <w:rPr>
            <w:rStyle w:val="Collegamentoipertestuale"/>
            <w:rFonts w:ascii="Arial" w:hAnsi="Arial" w:cs="Arial"/>
            <w:sz w:val="18"/>
            <w:szCs w:val="18"/>
          </w:rPr>
          <w:t>http://www.ema.europa.eu/docs/en_GB/document_library/Medicine_QA/2009/12/WC500020062.pdf</w:t>
        </w:r>
      </w:hyperlink>
      <w:r w:rsidRPr="0072464B">
        <w:rPr>
          <w:rFonts w:ascii="Arial" w:hAnsi="Arial" w:cs="Arial"/>
          <w:sz w:val="18"/>
          <w:szCs w:val="18"/>
        </w:rPr>
        <w:t xml:space="preserve"> Last accessed 6.10.14  </w:t>
      </w:r>
    </w:p>
    <w:p w:rsidR="00BE68E1" w:rsidRPr="0072464B" w:rsidRDefault="00BE68E1" w:rsidP="00CD150A">
      <w:pPr>
        <w:pStyle w:val="Testonotadichiusura"/>
        <w:rPr>
          <w:rFonts w:ascii="Arial" w:hAnsi="Arial" w:cs="Arial"/>
          <w:sz w:val="18"/>
          <w:szCs w:val="18"/>
        </w:rPr>
      </w:pPr>
      <w:r w:rsidRPr="0072464B">
        <w:rPr>
          <w:rFonts w:ascii="Arial" w:hAnsi="Arial" w:cs="Arial"/>
          <w:sz w:val="18"/>
          <w:szCs w:val="18"/>
          <w:vertAlign w:val="superscript"/>
        </w:rPr>
        <w:t>7</w:t>
      </w:r>
      <w:r w:rsidRPr="0072464B">
        <w:rPr>
          <w:rFonts w:ascii="Arial" w:hAnsi="Arial" w:cs="Arial"/>
          <w:sz w:val="18"/>
          <w:szCs w:val="18"/>
        </w:rPr>
        <w:t xml:space="preserve"> FAQs About </w:t>
      </w:r>
      <w:proofErr w:type="spellStart"/>
      <w:r w:rsidRPr="0072464B">
        <w:rPr>
          <w:rFonts w:ascii="Arial" w:hAnsi="Arial" w:cs="Arial"/>
          <w:sz w:val="18"/>
          <w:szCs w:val="18"/>
        </w:rPr>
        <w:t>Biosimilar</w:t>
      </w:r>
      <w:proofErr w:type="spellEnd"/>
      <w:r w:rsidRPr="0072464B">
        <w:rPr>
          <w:rFonts w:ascii="Arial" w:hAnsi="Arial" w:cs="Arial"/>
          <w:sz w:val="18"/>
          <w:szCs w:val="18"/>
        </w:rPr>
        <w:t xml:space="preserve"> Medicines. European Generics Association </w:t>
      </w:r>
      <w:hyperlink r:id="rId15" w:history="1">
        <w:r w:rsidRPr="0072464B">
          <w:rPr>
            <w:rStyle w:val="Collegamentoipertestuale"/>
            <w:rFonts w:ascii="Arial" w:hAnsi="Arial" w:cs="Arial"/>
            <w:sz w:val="18"/>
            <w:szCs w:val="18"/>
          </w:rPr>
          <w:t>http://www.egagenerics.com/index.php/biosimilar-medicines/faq-on-biosimilars</w:t>
        </w:r>
      </w:hyperlink>
      <w:r>
        <w:rPr>
          <w:rFonts w:ascii="Arial" w:hAnsi="Arial" w:cs="Arial"/>
          <w:sz w:val="18"/>
          <w:szCs w:val="18"/>
        </w:rPr>
        <w:t xml:space="preserve"> Last accessed 06.10</w:t>
      </w:r>
      <w:r w:rsidRPr="0072464B">
        <w:rPr>
          <w:rFonts w:ascii="Arial" w:hAnsi="Arial" w:cs="Arial"/>
          <w:sz w:val="18"/>
          <w:szCs w:val="18"/>
        </w:rPr>
        <w:t>.14</w:t>
      </w:r>
    </w:p>
    <w:p w:rsidR="00BE68E1" w:rsidRPr="0072464B" w:rsidRDefault="00BE68E1" w:rsidP="00CD150A">
      <w:pPr>
        <w:pStyle w:val="Testonotadichiusura"/>
        <w:rPr>
          <w:rFonts w:ascii="Arial" w:hAnsi="Arial" w:cs="Arial"/>
          <w:sz w:val="18"/>
          <w:szCs w:val="18"/>
        </w:rPr>
      </w:pPr>
      <w:r w:rsidRPr="003A586E">
        <w:rPr>
          <w:rFonts w:ascii="Arial" w:hAnsi="Arial" w:cs="Arial"/>
          <w:sz w:val="18"/>
          <w:szCs w:val="18"/>
          <w:vertAlign w:val="superscript"/>
        </w:rPr>
        <w:t xml:space="preserve">8 </w:t>
      </w:r>
      <w:proofErr w:type="spellStart"/>
      <w:r w:rsidRPr="0072464B">
        <w:rPr>
          <w:rFonts w:ascii="Arial" w:hAnsi="Arial" w:cs="Arial"/>
          <w:sz w:val="18"/>
          <w:szCs w:val="18"/>
        </w:rPr>
        <w:t>Biosimilars</w:t>
      </w:r>
      <w:proofErr w:type="spellEnd"/>
      <w:r w:rsidRPr="0072464B">
        <w:rPr>
          <w:rFonts w:ascii="Arial" w:hAnsi="Arial" w:cs="Arial"/>
          <w:sz w:val="18"/>
          <w:szCs w:val="18"/>
        </w:rPr>
        <w:t xml:space="preserve"> approved in Europe, Generics and </w:t>
      </w:r>
      <w:proofErr w:type="spellStart"/>
      <w:r w:rsidRPr="0072464B">
        <w:rPr>
          <w:rFonts w:ascii="Arial" w:hAnsi="Arial" w:cs="Arial"/>
          <w:sz w:val="18"/>
          <w:szCs w:val="18"/>
        </w:rPr>
        <w:t>Biosimilars</w:t>
      </w:r>
      <w:proofErr w:type="spellEnd"/>
      <w:r w:rsidRPr="0072464B">
        <w:rPr>
          <w:rFonts w:ascii="Arial" w:hAnsi="Arial" w:cs="Arial"/>
          <w:sz w:val="18"/>
          <w:szCs w:val="18"/>
        </w:rPr>
        <w:t xml:space="preserve"> Initiative  </w:t>
      </w:r>
      <w:hyperlink r:id="rId16" w:history="1">
        <w:r w:rsidRPr="0072464B">
          <w:rPr>
            <w:rStyle w:val="Collegamentoipertestuale"/>
            <w:rFonts w:ascii="Arial" w:hAnsi="Arial" w:cs="Arial"/>
            <w:sz w:val="18"/>
            <w:szCs w:val="18"/>
          </w:rPr>
          <w:t>http://www.gabionline.net/Biosimilars/General/Biosimilars-approved-in-Europe</w:t>
        </w:r>
      </w:hyperlink>
      <w:r>
        <w:rPr>
          <w:rFonts w:ascii="Arial" w:hAnsi="Arial" w:cs="Arial"/>
          <w:sz w:val="18"/>
          <w:szCs w:val="18"/>
        </w:rPr>
        <w:t xml:space="preserve"> Last accessed 17</w:t>
      </w:r>
      <w:r w:rsidRPr="0072464B">
        <w:rPr>
          <w:rFonts w:ascii="Arial" w:hAnsi="Arial" w:cs="Arial"/>
          <w:sz w:val="18"/>
          <w:szCs w:val="18"/>
        </w:rPr>
        <w:t>.11.14</w:t>
      </w:r>
    </w:p>
    <w:p w:rsidR="00BE68E1" w:rsidRPr="0072464B" w:rsidRDefault="00BE68E1" w:rsidP="00CD150A">
      <w:pPr>
        <w:pStyle w:val="Testonotadichiusura"/>
        <w:rPr>
          <w:rFonts w:ascii="Arial" w:hAnsi="Arial" w:cs="Arial"/>
          <w:sz w:val="18"/>
          <w:szCs w:val="18"/>
        </w:rPr>
      </w:pPr>
      <w:r w:rsidRPr="0072464B">
        <w:rPr>
          <w:rStyle w:val="Rimandonotadichiusura"/>
        </w:rPr>
        <w:t>9</w:t>
      </w:r>
      <w:r w:rsidRPr="0072464B">
        <w:t xml:space="preserve"> </w:t>
      </w:r>
      <w:r w:rsidRPr="0072464B">
        <w:rPr>
          <w:rFonts w:ascii="Arial" w:hAnsi="Arial" w:cs="Arial"/>
          <w:sz w:val="18"/>
          <w:szCs w:val="18"/>
        </w:rPr>
        <w:t>Guideline on similar biological medicinal products containing monoclonal antibodies – non-clinical and</w:t>
      </w:r>
    </w:p>
    <w:p w:rsidR="00BE68E1" w:rsidRPr="0072464B" w:rsidRDefault="00BE68E1" w:rsidP="00CD150A">
      <w:pPr>
        <w:pStyle w:val="Testonotadichiusura"/>
        <w:rPr>
          <w:rFonts w:ascii="Arial" w:hAnsi="Arial" w:cs="Arial"/>
          <w:sz w:val="18"/>
          <w:szCs w:val="18"/>
        </w:rPr>
      </w:pPr>
      <w:r w:rsidRPr="0072464B">
        <w:rPr>
          <w:rFonts w:ascii="Arial" w:hAnsi="Arial" w:cs="Arial"/>
          <w:sz w:val="18"/>
          <w:szCs w:val="18"/>
        </w:rPr>
        <w:t xml:space="preserve">clinical issues. European Medicines Agency  30 May 2012 </w:t>
      </w:r>
      <w:hyperlink r:id="rId17" w:history="1">
        <w:r w:rsidRPr="0072464B">
          <w:rPr>
            <w:rStyle w:val="Collegamentoipertestuale"/>
            <w:rFonts w:ascii="Arial" w:hAnsi="Arial" w:cs="Arial"/>
            <w:sz w:val="18"/>
            <w:szCs w:val="18"/>
          </w:rPr>
          <w:t>http://www.ema.europa.eu/docs/en_GB/document_library/Scientific_guideline/2012/06/WC500128686.pdf</w:t>
        </w:r>
      </w:hyperlink>
      <w:r w:rsidRPr="0072464B">
        <w:rPr>
          <w:rFonts w:ascii="Arial" w:hAnsi="Arial" w:cs="Arial"/>
          <w:sz w:val="18"/>
          <w:szCs w:val="18"/>
        </w:rPr>
        <w:t xml:space="preserve"> Last accessed 17.10.14</w:t>
      </w:r>
    </w:p>
    <w:p w:rsidR="00BE68E1" w:rsidRPr="0072464B" w:rsidRDefault="00BE68E1" w:rsidP="00CD150A">
      <w:pPr>
        <w:pStyle w:val="Testonotadichiusura"/>
        <w:rPr>
          <w:rFonts w:ascii="Arial" w:hAnsi="Arial" w:cs="Arial"/>
          <w:sz w:val="18"/>
          <w:szCs w:val="18"/>
        </w:rPr>
      </w:pPr>
      <w:r w:rsidRPr="0072464B">
        <w:rPr>
          <w:rStyle w:val="Rimandonotadichiusura"/>
          <w:rFonts w:ascii="Arial" w:hAnsi="Arial" w:cs="Arial"/>
          <w:sz w:val="18"/>
          <w:szCs w:val="18"/>
        </w:rPr>
        <w:t>10</w:t>
      </w:r>
      <w:r w:rsidRPr="0072464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2464B">
        <w:rPr>
          <w:rFonts w:ascii="Arial" w:hAnsi="Arial" w:cs="Arial"/>
          <w:sz w:val="18"/>
          <w:szCs w:val="18"/>
        </w:rPr>
        <w:t>Biosimilars</w:t>
      </w:r>
      <w:proofErr w:type="spellEnd"/>
      <w:r w:rsidRPr="0072464B">
        <w:rPr>
          <w:rFonts w:ascii="Arial" w:hAnsi="Arial" w:cs="Arial"/>
          <w:sz w:val="18"/>
          <w:szCs w:val="18"/>
        </w:rPr>
        <w:t xml:space="preserve"> – the science of extrapolation. Martina Weise et al. Pre-published online 8.10.2014</w:t>
      </w:r>
    </w:p>
    <w:p w:rsidR="00BE68E1" w:rsidRPr="0072464B" w:rsidRDefault="00BE68E1" w:rsidP="00CD150A">
      <w:pPr>
        <w:pStyle w:val="Testonotadichiusura"/>
        <w:rPr>
          <w:rFonts w:ascii="Arial" w:hAnsi="Arial" w:cs="Arial"/>
          <w:sz w:val="18"/>
          <w:szCs w:val="18"/>
        </w:rPr>
      </w:pPr>
      <w:r w:rsidRPr="0072464B">
        <w:rPr>
          <w:rFonts w:ascii="Arial" w:hAnsi="Arial" w:cs="Arial"/>
          <w:sz w:val="18"/>
          <w:szCs w:val="18"/>
          <w:vertAlign w:val="superscript"/>
        </w:rPr>
        <w:t xml:space="preserve">11 </w:t>
      </w:r>
      <w:proofErr w:type="spellStart"/>
      <w:r w:rsidRPr="0072464B">
        <w:rPr>
          <w:rFonts w:ascii="Arial" w:hAnsi="Arial" w:cs="Arial"/>
          <w:sz w:val="18"/>
          <w:szCs w:val="18"/>
        </w:rPr>
        <w:t>Biosimilar</w:t>
      </w:r>
      <w:proofErr w:type="spellEnd"/>
      <w:r w:rsidRPr="0072464B">
        <w:rPr>
          <w:rFonts w:ascii="Arial" w:hAnsi="Arial" w:cs="Arial"/>
          <w:sz w:val="18"/>
          <w:szCs w:val="18"/>
        </w:rPr>
        <w:t xml:space="preserve"> Medicines, EMA, </w:t>
      </w:r>
      <w:hyperlink r:id="rId18" w:history="1">
        <w:r w:rsidRPr="0072464B">
          <w:rPr>
            <w:rStyle w:val="Collegamentoipertestuale"/>
            <w:rFonts w:ascii="Arial" w:hAnsi="Arial" w:cs="Arial"/>
            <w:sz w:val="18"/>
            <w:szCs w:val="18"/>
          </w:rPr>
          <w:t>http://www.ema.europa.eu/ema/index.jsp?curl=pages/special_topics/document_listing/document_listing_000318.jsp</w:t>
        </w:r>
      </w:hyperlink>
      <w:r w:rsidRPr="0072464B">
        <w:rPr>
          <w:rFonts w:ascii="Arial" w:hAnsi="Arial" w:cs="Arial"/>
          <w:sz w:val="18"/>
          <w:szCs w:val="18"/>
        </w:rPr>
        <w:t xml:space="preserve"> Last accessed 17.10.14</w:t>
      </w:r>
    </w:p>
    <w:p w:rsidR="00BE68E1" w:rsidRPr="0072464B" w:rsidRDefault="00BE68E1" w:rsidP="00CD150A">
      <w:pPr>
        <w:pStyle w:val="Testonotadichiusura"/>
        <w:rPr>
          <w:rFonts w:ascii="Arial" w:hAnsi="Arial" w:cs="Arial"/>
          <w:sz w:val="18"/>
          <w:szCs w:val="18"/>
        </w:rPr>
      </w:pPr>
      <w:r w:rsidRPr="0072464B">
        <w:rPr>
          <w:rFonts w:ascii="Arial" w:hAnsi="Arial" w:cs="Arial"/>
          <w:sz w:val="18"/>
          <w:szCs w:val="18"/>
          <w:vertAlign w:val="superscript"/>
        </w:rPr>
        <w:t>12</w:t>
      </w:r>
      <w:r w:rsidRPr="0072464B">
        <w:rPr>
          <w:rFonts w:ascii="Arial" w:hAnsi="Arial" w:cs="Arial"/>
          <w:sz w:val="18"/>
          <w:szCs w:val="18"/>
        </w:rPr>
        <w:t xml:space="preserve"> ABPI position on </w:t>
      </w:r>
      <w:proofErr w:type="spellStart"/>
      <w:r w:rsidRPr="0072464B">
        <w:rPr>
          <w:rFonts w:ascii="Arial" w:hAnsi="Arial" w:cs="Arial"/>
          <w:sz w:val="18"/>
          <w:szCs w:val="18"/>
        </w:rPr>
        <w:t>biosimilar</w:t>
      </w:r>
      <w:proofErr w:type="spellEnd"/>
      <w:r w:rsidRPr="0072464B">
        <w:rPr>
          <w:rFonts w:ascii="Arial" w:hAnsi="Arial" w:cs="Arial"/>
          <w:sz w:val="18"/>
          <w:szCs w:val="18"/>
        </w:rPr>
        <w:t xml:space="preserve"> medicine. Introduction </w:t>
      </w:r>
      <w:hyperlink r:id="rId19" w:history="1">
        <w:r w:rsidRPr="0072464B">
          <w:rPr>
            <w:rStyle w:val="Collegamentoipertestuale"/>
            <w:rFonts w:ascii="Arial" w:hAnsi="Arial" w:cs="Arial"/>
            <w:sz w:val="18"/>
            <w:szCs w:val="18"/>
          </w:rPr>
          <w:t>http://www.abpi.org.uk/our-work/library/Documents/ABPI%20position%20on%20biosimilar%20medicines.pdf</w:t>
        </w:r>
      </w:hyperlink>
      <w:r w:rsidRPr="0072464B">
        <w:rPr>
          <w:rFonts w:ascii="Arial" w:hAnsi="Arial" w:cs="Arial"/>
          <w:sz w:val="18"/>
          <w:szCs w:val="18"/>
        </w:rPr>
        <w:t xml:space="preserve"> Last accessed 16.11.14</w:t>
      </w:r>
    </w:p>
    <w:p w:rsidR="00BE68E1" w:rsidRPr="0072464B" w:rsidRDefault="00BE68E1" w:rsidP="00CD150A">
      <w:pPr>
        <w:pStyle w:val="Testonotadichiusura"/>
        <w:rPr>
          <w:rFonts w:ascii="Arial" w:hAnsi="Arial" w:cs="Arial"/>
          <w:sz w:val="18"/>
          <w:szCs w:val="18"/>
        </w:rPr>
      </w:pPr>
      <w:r w:rsidRPr="0072464B">
        <w:rPr>
          <w:rStyle w:val="Rimandonotadichiusura"/>
          <w:rFonts w:ascii="Arial" w:hAnsi="Arial" w:cs="Arial"/>
          <w:sz w:val="18"/>
          <w:szCs w:val="18"/>
        </w:rPr>
        <w:t>13</w:t>
      </w:r>
      <w:r w:rsidRPr="0072464B">
        <w:rPr>
          <w:rFonts w:ascii="Arial" w:hAnsi="Arial" w:cs="Arial"/>
          <w:sz w:val="18"/>
          <w:szCs w:val="18"/>
        </w:rPr>
        <w:t xml:space="preserve"> Ageing report: Europe needs to prepare for growing older. European Commission 2012. </w:t>
      </w:r>
      <w:hyperlink r:id="rId20" w:history="1">
        <w:r w:rsidRPr="0072464B">
          <w:rPr>
            <w:rStyle w:val="Collegamentoipertestuale"/>
            <w:rFonts w:ascii="Arial" w:hAnsi="Arial" w:cs="Arial"/>
            <w:sz w:val="18"/>
            <w:szCs w:val="18"/>
          </w:rPr>
          <w:t xml:space="preserve">http://ec.europa.eu/economy_finance/articles/structural_reforms/2012-05-15_ageing_report_en.htm </w:t>
        </w:r>
      </w:hyperlink>
      <w:r w:rsidRPr="0072464B">
        <w:rPr>
          <w:rFonts w:ascii="Arial" w:hAnsi="Arial" w:cs="Arial"/>
          <w:sz w:val="18"/>
          <w:szCs w:val="18"/>
        </w:rPr>
        <w:t xml:space="preserve"> Last accessed 17.10.14</w:t>
      </w:r>
    </w:p>
    <w:p w:rsidR="00BE68E1" w:rsidRPr="0072464B" w:rsidRDefault="00BE68E1" w:rsidP="00CD150A">
      <w:pPr>
        <w:pStyle w:val="Testonotadichiusura"/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</w:pPr>
      <w:r w:rsidRPr="0072464B">
        <w:rPr>
          <w:rFonts w:ascii="Arial" w:hAnsi="Arial" w:cs="Arial"/>
          <w:sz w:val="18"/>
          <w:szCs w:val="18"/>
          <w:vertAlign w:val="superscript"/>
        </w:rPr>
        <w:t xml:space="preserve">14 </w:t>
      </w:r>
      <w:r w:rsidRPr="0072464B">
        <w:rPr>
          <w:rFonts w:ascii="Arial" w:hAnsi="Arial" w:cs="Arial"/>
          <w:sz w:val="18"/>
          <w:szCs w:val="18"/>
        </w:rPr>
        <w:t xml:space="preserve">The Global Use of Medicines: Outlook through 2017. Report by the IMS Institute for Healthcare Informatics </w:t>
      </w:r>
      <w:hyperlink r:id="rId21" w:history="1">
        <w:r w:rsidRPr="0072464B">
          <w:rPr>
            <w:rStyle w:val="Collegamentoipertestuale"/>
            <w:rFonts w:ascii="Arial" w:hAnsi="Arial" w:cs="Arial"/>
            <w:sz w:val="18"/>
            <w:szCs w:val="18"/>
          </w:rPr>
          <w:t>http://www.imshealth.com/deployedfiles/imshealth/Global/Content/Corporate/IMS%20Health%20Institute/Reports/Global_Use_of_Meds_Outlook_2017/Biologics_Market.pdf</w:t>
        </w:r>
      </w:hyperlink>
      <w:r w:rsidRPr="0072464B">
        <w:rPr>
          <w:rFonts w:ascii="Arial" w:hAnsi="Arial" w:cs="Arial"/>
          <w:sz w:val="18"/>
          <w:szCs w:val="18"/>
        </w:rPr>
        <w:t xml:space="preserve"> Last accessed 17.11.14</w:t>
      </w:r>
      <w:r w:rsidRPr="0072464B"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  <w:t xml:space="preserve"> </w:t>
      </w:r>
    </w:p>
    <w:p w:rsidR="00BE68E1" w:rsidRPr="0072464B" w:rsidRDefault="00BE68E1" w:rsidP="00CD150A">
      <w:pPr>
        <w:pStyle w:val="Testonotadichiusura"/>
        <w:rPr>
          <w:rFonts w:ascii="Arial" w:hAnsi="Arial" w:cs="Arial"/>
          <w:sz w:val="18"/>
          <w:szCs w:val="18"/>
        </w:rPr>
      </w:pPr>
      <w:r w:rsidRPr="0072464B">
        <w:rPr>
          <w:rStyle w:val="Collegamentoipertestuale"/>
          <w:rFonts w:ascii="Arial" w:hAnsi="Arial" w:cs="Arial"/>
          <w:color w:val="auto"/>
          <w:sz w:val="18"/>
          <w:szCs w:val="18"/>
          <w:u w:val="none"/>
          <w:vertAlign w:val="superscript"/>
        </w:rPr>
        <w:t xml:space="preserve">15 </w:t>
      </w:r>
      <w:r w:rsidRPr="0072464B"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  <w:t xml:space="preserve">The Future of </w:t>
      </w:r>
      <w:proofErr w:type="spellStart"/>
      <w:r w:rsidRPr="0072464B"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  <w:t>Biosimilar</w:t>
      </w:r>
      <w:proofErr w:type="spellEnd"/>
      <w:r w:rsidRPr="0072464B"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  <w:t xml:space="preserve"> </w:t>
      </w:r>
      <w:proofErr w:type="spellStart"/>
      <w:r w:rsidRPr="0072464B"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  <w:t>mAbs</w:t>
      </w:r>
      <w:proofErr w:type="spellEnd"/>
      <w:r w:rsidRPr="0072464B"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  <w:t xml:space="preserve"> in Europe 2013. </w:t>
      </w:r>
      <w:hyperlink r:id="rId22" w:history="1">
        <w:r w:rsidRPr="00B517FE">
          <w:rPr>
            <w:rStyle w:val="Collegamentoipertestuale"/>
            <w:rFonts w:ascii="Arial" w:hAnsi="Arial" w:cs="Arial"/>
            <w:sz w:val="18"/>
            <w:szCs w:val="18"/>
          </w:rPr>
          <w:t>http://gabionline.net/Biosimilars/Research/The-future-of-biosimilar-mAbs-in-Europe Last accessed 15.11.14</w:t>
        </w:r>
      </w:hyperlink>
    </w:p>
    <w:p w:rsidR="00BE68E1" w:rsidRPr="0072464B" w:rsidRDefault="00BE68E1" w:rsidP="00CD150A">
      <w:pPr>
        <w:pStyle w:val="Testonotadichiusura"/>
        <w:rPr>
          <w:rFonts w:ascii="Arial" w:hAnsi="Arial" w:cs="Arial"/>
          <w:sz w:val="18"/>
          <w:szCs w:val="18"/>
        </w:rPr>
      </w:pPr>
      <w:r w:rsidRPr="0072464B">
        <w:rPr>
          <w:rFonts w:ascii="Arial" w:hAnsi="Arial" w:cs="Arial"/>
          <w:sz w:val="18"/>
          <w:szCs w:val="18"/>
          <w:vertAlign w:val="superscript"/>
        </w:rPr>
        <w:t>16</w:t>
      </w:r>
      <w:r w:rsidRPr="0072464B">
        <w:rPr>
          <w:rFonts w:ascii="Arial" w:hAnsi="Arial" w:cs="Arial"/>
          <w:sz w:val="18"/>
          <w:szCs w:val="18"/>
        </w:rPr>
        <w:t xml:space="preserve"> Biological and </w:t>
      </w:r>
      <w:proofErr w:type="spellStart"/>
      <w:r w:rsidRPr="0072464B">
        <w:rPr>
          <w:rFonts w:ascii="Arial" w:hAnsi="Arial" w:cs="Arial"/>
          <w:sz w:val="18"/>
          <w:szCs w:val="18"/>
        </w:rPr>
        <w:t>Biosimilar</w:t>
      </w:r>
      <w:proofErr w:type="spellEnd"/>
      <w:r w:rsidRPr="0072464B">
        <w:rPr>
          <w:rFonts w:ascii="Arial" w:hAnsi="Arial" w:cs="Arial"/>
          <w:sz w:val="18"/>
          <w:szCs w:val="18"/>
        </w:rPr>
        <w:t xml:space="preserve"> Medicines Fact Sheet 1: Introduction and key definitions: An Information and Advocacy Toolkit for Patients' Organizations, IAPO  </w:t>
      </w:r>
      <w:hyperlink r:id="rId23" w:history="1">
        <w:r w:rsidRPr="0072464B">
          <w:rPr>
            <w:rStyle w:val="Collegamentoipertestuale"/>
            <w:rFonts w:ascii="Arial" w:hAnsi="Arial" w:cs="Arial"/>
            <w:sz w:val="18"/>
            <w:szCs w:val="18"/>
          </w:rPr>
          <w:t>http://iapo.org.uk/sites/default/filesfiles/IAPO%20Factsheet_1.pdf</w:t>
        </w:r>
      </w:hyperlink>
      <w:r w:rsidRPr="0072464B">
        <w:rPr>
          <w:rFonts w:ascii="Arial" w:hAnsi="Arial" w:cs="Arial"/>
          <w:sz w:val="18"/>
          <w:szCs w:val="18"/>
        </w:rPr>
        <w:t xml:space="preserve"> Last accessed </w:t>
      </w:r>
      <w:r w:rsidRPr="0072464B"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  <w:t>15.11.14</w:t>
      </w:r>
    </w:p>
    <w:p w:rsidR="00BE68E1" w:rsidRPr="0072464B" w:rsidRDefault="00BE68E1" w:rsidP="00CD150A">
      <w:pPr>
        <w:pStyle w:val="Testonotadichiusura"/>
        <w:rPr>
          <w:rFonts w:ascii="Arial" w:hAnsi="Arial" w:cs="Arial"/>
          <w:sz w:val="18"/>
          <w:szCs w:val="18"/>
        </w:rPr>
      </w:pPr>
      <w:r w:rsidRPr="0072464B">
        <w:rPr>
          <w:rFonts w:ascii="Arial" w:hAnsi="Arial" w:cs="Arial"/>
          <w:sz w:val="18"/>
          <w:szCs w:val="18"/>
          <w:vertAlign w:val="superscript"/>
        </w:rPr>
        <w:t xml:space="preserve">17 </w:t>
      </w:r>
      <w:r w:rsidRPr="0072464B">
        <w:rPr>
          <w:rFonts w:ascii="Arial" w:hAnsi="Arial" w:cs="Arial"/>
          <w:sz w:val="18"/>
          <w:szCs w:val="18"/>
        </w:rPr>
        <w:t xml:space="preserve">Questions and answers on generic medicines, EMA. </w:t>
      </w:r>
      <w:hyperlink r:id="rId24" w:history="1">
        <w:r w:rsidRPr="0072464B">
          <w:rPr>
            <w:rStyle w:val="Collegamentoipertestuale"/>
            <w:rFonts w:ascii="Arial" w:hAnsi="Arial" w:cs="Arial"/>
            <w:sz w:val="18"/>
            <w:szCs w:val="18"/>
          </w:rPr>
          <w:t>http://www.ema.europa.eu/docs/en_GB/document_library/Medicine_QA/2009/11/WC500012382.pdf</w:t>
        </w:r>
      </w:hyperlink>
      <w:r w:rsidRPr="0072464B"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  <w:t xml:space="preserve"> Last accessed 16.11.14</w:t>
      </w:r>
    </w:p>
    <w:p w:rsidR="00BE68E1" w:rsidRPr="0072464B" w:rsidRDefault="00BE68E1" w:rsidP="00CD150A">
      <w:pPr>
        <w:pStyle w:val="Testonotadichiusura"/>
        <w:rPr>
          <w:rFonts w:ascii="Arial" w:hAnsi="Arial" w:cs="Arial"/>
          <w:sz w:val="18"/>
          <w:szCs w:val="18"/>
        </w:rPr>
      </w:pPr>
      <w:r w:rsidRPr="0072464B">
        <w:rPr>
          <w:rFonts w:ascii="Arial" w:hAnsi="Arial" w:cs="Arial"/>
          <w:sz w:val="18"/>
          <w:szCs w:val="18"/>
          <w:vertAlign w:val="superscript"/>
        </w:rPr>
        <w:t xml:space="preserve">18 </w:t>
      </w:r>
      <w:r w:rsidRPr="0072464B">
        <w:rPr>
          <w:rFonts w:ascii="Arial" w:hAnsi="Arial" w:cs="Arial"/>
          <w:sz w:val="18"/>
          <w:szCs w:val="18"/>
        </w:rPr>
        <w:t xml:space="preserve">Medicines information – brand names and generics: Why the same medicines can have different names </w:t>
      </w:r>
      <w:hyperlink r:id="rId25" w:history="1">
        <w:r w:rsidRPr="0072464B">
          <w:rPr>
            <w:rStyle w:val="Collegamentoipertestuale"/>
            <w:rFonts w:ascii="Arial" w:hAnsi="Arial" w:cs="Arial"/>
            <w:sz w:val="18"/>
            <w:szCs w:val="18"/>
          </w:rPr>
          <w:t>http://www.nhs.uk/Conditions/Medicinesinfo/Pages/Brandnamesandgenerics.aspx</w:t>
        </w:r>
      </w:hyperlink>
      <w:r w:rsidRPr="0072464B"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  <w:t xml:space="preserve"> Last accessed 15.11.14</w:t>
      </w:r>
    </w:p>
    <w:p w:rsidR="00BE68E1" w:rsidRPr="001D7F95" w:rsidRDefault="00BE68E1" w:rsidP="001D7F95">
      <w:pPr>
        <w:pStyle w:val="Testonotadichiusura"/>
        <w:rPr>
          <w:rFonts w:ascii="Arial" w:hAnsi="Arial" w:cs="Arial"/>
          <w:sz w:val="18"/>
          <w:szCs w:val="18"/>
        </w:rPr>
      </w:pPr>
      <w:r w:rsidRPr="0072464B">
        <w:rPr>
          <w:rFonts w:ascii="Arial" w:hAnsi="Arial" w:cs="Arial"/>
          <w:sz w:val="18"/>
          <w:szCs w:val="18"/>
          <w:vertAlign w:val="superscript"/>
        </w:rPr>
        <w:t xml:space="preserve">19 </w:t>
      </w:r>
      <w:r w:rsidRPr="0072464B">
        <w:rPr>
          <w:rFonts w:ascii="Arial" w:hAnsi="Arial" w:cs="Arial"/>
          <w:sz w:val="18"/>
          <w:szCs w:val="18"/>
        </w:rPr>
        <w:t xml:space="preserve">The Economics of </w:t>
      </w:r>
      <w:proofErr w:type="spellStart"/>
      <w:r w:rsidRPr="0072464B">
        <w:rPr>
          <w:rFonts w:ascii="Arial" w:hAnsi="Arial" w:cs="Arial"/>
          <w:sz w:val="18"/>
          <w:szCs w:val="18"/>
        </w:rPr>
        <w:t>Biosimilars</w:t>
      </w:r>
      <w:proofErr w:type="spellEnd"/>
      <w:r w:rsidRPr="0072464B">
        <w:rPr>
          <w:rFonts w:ascii="Arial" w:hAnsi="Arial" w:cs="Arial"/>
          <w:sz w:val="18"/>
          <w:szCs w:val="18"/>
        </w:rPr>
        <w:t xml:space="preserve">, Blackstone Erwin, Joseph P Am Health Drug Benefits, Sept-Oct 2013 </w:t>
      </w:r>
      <w:hyperlink r:id="rId26" w:history="1">
        <w:r w:rsidRPr="0072464B">
          <w:rPr>
            <w:rStyle w:val="Collegamentoipertestuale"/>
            <w:rFonts w:ascii="Arial" w:hAnsi="Arial" w:cs="Arial"/>
            <w:sz w:val="18"/>
            <w:szCs w:val="18"/>
          </w:rPr>
          <w:t>http://www.ncbi.nlm.nih.gov/pmc/articles/PMC4031732/</w:t>
        </w:r>
      </w:hyperlink>
      <w:r w:rsidRPr="0072464B">
        <w:rPr>
          <w:rFonts w:ascii="Arial" w:hAnsi="Arial" w:cs="Arial"/>
          <w:sz w:val="18"/>
          <w:szCs w:val="18"/>
        </w:rPr>
        <w:t xml:space="preserve"> </w:t>
      </w:r>
      <w:r w:rsidRPr="0072464B"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  <w:t>Last accessed 15.11.14</w:t>
      </w:r>
    </w:p>
    <w:sectPr w:rsidR="00BE68E1" w:rsidRPr="001D7F95" w:rsidSect="00646680">
      <w:headerReference w:type="default" r:id="rId27"/>
      <w:endnotePr>
        <w:numFmt w:val="decimal"/>
      </w:endnotePr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680" w:rsidRDefault="00646680" w:rsidP="005A172B">
      <w:pPr>
        <w:spacing w:after="0" w:line="240" w:lineRule="auto"/>
      </w:pPr>
      <w:r>
        <w:separator/>
      </w:r>
    </w:p>
  </w:endnote>
  <w:endnote w:type="continuationSeparator" w:id="0">
    <w:p w:rsidR="00646680" w:rsidRDefault="00646680" w:rsidP="005A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680" w:rsidRDefault="00646680" w:rsidP="005A172B">
      <w:pPr>
        <w:spacing w:after="0" w:line="240" w:lineRule="auto"/>
      </w:pPr>
      <w:r>
        <w:separator/>
      </w:r>
    </w:p>
  </w:footnote>
  <w:footnote w:type="continuationSeparator" w:id="0">
    <w:p w:rsidR="00646680" w:rsidRDefault="00646680" w:rsidP="005A1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80" w:rsidRDefault="00646680">
    <w:pPr>
      <w:pStyle w:val="Intestazione"/>
    </w:pPr>
    <w:r>
      <w:tab/>
    </w:r>
    <w:r>
      <w:tab/>
    </w:r>
  </w:p>
  <w:p w:rsidR="00646680" w:rsidRDefault="0064668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E77"/>
    <w:multiLevelType w:val="hybridMultilevel"/>
    <w:tmpl w:val="2488CF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381A36"/>
    <w:multiLevelType w:val="hybridMultilevel"/>
    <w:tmpl w:val="92ECE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BA29C0"/>
    <w:multiLevelType w:val="hybridMultilevel"/>
    <w:tmpl w:val="44FA9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B02DAA"/>
    <w:multiLevelType w:val="hybridMultilevel"/>
    <w:tmpl w:val="42CE2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C0E4D"/>
    <w:multiLevelType w:val="hybridMultilevel"/>
    <w:tmpl w:val="B86200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6736F"/>
    <w:multiLevelType w:val="hybridMultilevel"/>
    <w:tmpl w:val="905E1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751887"/>
    <w:multiLevelType w:val="hybridMultilevel"/>
    <w:tmpl w:val="AA8405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D7037"/>
    <w:multiLevelType w:val="hybridMultilevel"/>
    <w:tmpl w:val="DC704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5F0C34"/>
    <w:multiLevelType w:val="hybridMultilevel"/>
    <w:tmpl w:val="60E21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9906AE"/>
    <w:multiLevelType w:val="hybridMultilevel"/>
    <w:tmpl w:val="F3DE1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F24B3E"/>
    <w:multiLevelType w:val="hybridMultilevel"/>
    <w:tmpl w:val="B84CC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8412B"/>
    <w:multiLevelType w:val="hybridMultilevel"/>
    <w:tmpl w:val="BB506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90951"/>
    <w:multiLevelType w:val="hybridMultilevel"/>
    <w:tmpl w:val="261EB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53B32"/>
    <w:multiLevelType w:val="hybridMultilevel"/>
    <w:tmpl w:val="AE92C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DF6317"/>
    <w:multiLevelType w:val="hybridMultilevel"/>
    <w:tmpl w:val="61465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832FD"/>
    <w:multiLevelType w:val="hybridMultilevel"/>
    <w:tmpl w:val="A066FC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FD6314"/>
    <w:multiLevelType w:val="hybridMultilevel"/>
    <w:tmpl w:val="F4CA6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32971594"/>
    <w:multiLevelType w:val="hybridMultilevel"/>
    <w:tmpl w:val="00D08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403FD"/>
    <w:multiLevelType w:val="hybridMultilevel"/>
    <w:tmpl w:val="FC54DC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F91588"/>
    <w:multiLevelType w:val="hybridMultilevel"/>
    <w:tmpl w:val="BB5C2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B63B1B"/>
    <w:multiLevelType w:val="hybridMultilevel"/>
    <w:tmpl w:val="906CEB46"/>
    <w:lvl w:ilvl="0" w:tplc="BEFA0B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A3344B"/>
    <w:multiLevelType w:val="hybridMultilevel"/>
    <w:tmpl w:val="DC623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E77F63"/>
    <w:multiLevelType w:val="hybridMultilevel"/>
    <w:tmpl w:val="32EE4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B0221"/>
    <w:multiLevelType w:val="hybridMultilevel"/>
    <w:tmpl w:val="C3C6F4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F0394B"/>
    <w:multiLevelType w:val="hybridMultilevel"/>
    <w:tmpl w:val="4970C048"/>
    <w:lvl w:ilvl="0" w:tplc="FA4E0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711691"/>
    <w:multiLevelType w:val="hybridMultilevel"/>
    <w:tmpl w:val="1E18F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DA6295"/>
    <w:multiLevelType w:val="hybridMultilevel"/>
    <w:tmpl w:val="9030E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7A61C1"/>
    <w:multiLevelType w:val="hybridMultilevel"/>
    <w:tmpl w:val="FA6EEC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DE836F1"/>
    <w:multiLevelType w:val="hybridMultilevel"/>
    <w:tmpl w:val="D18EE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1347F0"/>
    <w:multiLevelType w:val="hybridMultilevel"/>
    <w:tmpl w:val="289C3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775C28"/>
    <w:multiLevelType w:val="hybridMultilevel"/>
    <w:tmpl w:val="75769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791B0C"/>
    <w:multiLevelType w:val="hybridMultilevel"/>
    <w:tmpl w:val="C98A6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B100A3"/>
    <w:multiLevelType w:val="hybridMultilevel"/>
    <w:tmpl w:val="44AAA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88735D"/>
    <w:multiLevelType w:val="hybridMultilevel"/>
    <w:tmpl w:val="EED4F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29"/>
  </w:num>
  <w:num w:numId="5">
    <w:abstractNumId w:val="5"/>
  </w:num>
  <w:num w:numId="6">
    <w:abstractNumId w:val="22"/>
  </w:num>
  <w:num w:numId="7">
    <w:abstractNumId w:val="31"/>
  </w:num>
  <w:num w:numId="8">
    <w:abstractNumId w:val="14"/>
  </w:num>
  <w:num w:numId="9">
    <w:abstractNumId w:val="2"/>
  </w:num>
  <w:num w:numId="10">
    <w:abstractNumId w:val="11"/>
  </w:num>
  <w:num w:numId="11">
    <w:abstractNumId w:val="9"/>
  </w:num>
  <w:num w:numId="12">
    <w:abstractNumId w:val="12"/>
  </w:num>
  <w:num w:numId="13">
    <w:abstractNumId w:val="19"/>
  </w:num>
  <w:num w:numId="14">
    <w:abstractNumId w:val="0"/>
  </w:num>
  <w:num w:numId="15">
    <w:abstractNumId w:val="1"/>
  </w:num>
  <w:num w:numId="16">
    <w:abstractNumId w:val="25"/>
  </w:num>
  <w:num w:numId="17">
    <w:abstractNumId w:val="16"/>
  </w:num>
  <w:num w:numId="18">
    <w:abstractNumId w:val="7"/>
  </w:num>
  <w:num w:numId="19">
    <w:abstractNumId w:val="32"/>
  </w:num>
  <w:num w:numId="20">
    <w:abstractNumId w:val="8"/>
  </w:num>
  <w:num w:numId="21">
    <w:abstractNumId w:val="24"/>
  </w:num>
  <w:num w:numId="22">
    <w:abstractNumId w:val="27"/>
  </w:num>
  <w:num w:numId="23">
    <w:abstractNumId w:val="30"/>
  </w:num>
  <w:num w:numId="24">
    <w:abstractNumId w:val="6"/>
  </w:num>
  <w:num w:numId="25">
    <w:abstractNumId w:val="28"/>
  </w:num>
  <w:num w:numId="26">
    <w:abstractNumId w:val="26"/>
  </w:num>
  <w:num w:numId="27">
    <w:abstractNumId w:val="33"/>
  </w:num>
  <w:num w:numId="28">
    <w:abstractNumId w:val="3"/>
  </w:num>
  <w:num w:numId="29">
    <w:abstractNumId w:val="10"/>
  </w:num>
  <w:num w:numId="30">
    <w:abstractNumId w:val="13"/>
  </w:num>
  <w:num w:numId="31">
    <w:abstractNumId w:val="21"/>
  </w:num>
  <w:num w:numId="32">
    <w:abstractNumId w:val="20"/>
  </w:num>
  <w:num w:numId="33">
    <w:abstractNumId w:val="4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B21D8F"/>
    <w:rsid w:val="000069DD"/>
    <w:rsid w:val="000073FC"/>
    <w:rsid w:val="0001157A"/>
    <w:rsid w:val="00017091"/>
    <w:rsid w:val="00031A80"/>
    <w:rsid w:val="00033AB6"/>
    <w:rsid w:val="00035FCA"/>
    <w:rsid w:val="000418FB"/>
    <w:rsid w:val="00042A3C"/>
    <w:rsid w:val="00044306"/>
    <w:rsid w:val="000446A5"/>
    <w:rsid w:val="00044CA0"/>
    <w:rsid w:val="00045BB7"/>
    <w:rsid w:val="00046CCA"/>
    <w:rsid w:val="00047DA9"/>
    <w:rsid w:val="000518A0"/>
    <w:rsid w:val="00053358"/>
    <w:rsid w:val="00057AB7"/>
    <w:rsid w:val="00063ADF"/>
    <w:rsid w:val="00063DE3"/>
    <w:rsid w:val="00065488"/>
    <w:rsid w:val="00067A76"/>
    <w:rsid w:val="00067EA8"/>
    <w:rsid w:val="00072BF1"/>
    <w:rsid w:val="00072F75"/>
    <w:rsid w:val="00076965"/>
    <w:rsid w:val="000808D8"/>
    <w:rsid w:val="000871FF"/>
    <w:rsid w:val="00092374"/>
    <w:rsid w:val="00092F69"/>
    <w:rsid w:val="0009336D"/>
    <w:rsid w:val="00093FD1"/>
    <w:rsid w:val="0009580F"/>
    <w:rsid w:val="000A4A0B"/>
    <w:rsid w:val="000A5143"/>
    <w:rsid w:val="000A5A93"/>
    <w:rsid w:val="000B4A1E"/>
    <w:rsid w:val="000B752A"/>
    <w:rsid w:val="000C5AC4"/>
    <w:rsid w:val="000D1F2F"/>
    <w:rsid w:val="000E0413"/>
    <w:rsid w:val="000E6D54"/>
    <w:rsid w:val="000E7BE0"/>
    <w:rsid w:val="000F1701"/>
    <w:rsid w:val="000F1DF6"/>
    <w:rsid w:val="000F4ABC"/>
    <w:rsid w:val="000F4D79"/>
    <w:rsid w:val="00101F7F"/>
    <w:rsid w:val="001027F1"/>
    <w:rsid w:val="001057BE"/>
    <w:rsid w:val="00106B71"/>
    <w:rsid w:val="00110C46"/>
    <w:rsid w:val="00110D90"/>
    <w:rsid w:val="00112938"/>
    <w:rsid w:val="00112F40"/>
    <w:rsid w:val="001134D4"/>
    <w:rsid w:val="0011361E"/>
    <w:rsid w:val="001143C0"/>
    <w:rsid w:val="00132D73"/>
    <w:rsid w:val="00134CA5"/>
    <w:rsid w:val="001350C7"/>
    <w:rsid w:val="00141EFE"/>
    <w:rsid w:val="00144209"/>
    <w:rsid w:val="00145B9B"/>
    <w:rsid w:val="00151BAD"/>
    <w:rsid w:val="00161875"/>
    <w:rsid w:val="00162658"/>
    <w:rsid w:val="001660FB"/>
    <w:rsid w:val="00171EE9"/>
    <w:rsid w:val="0017219F"/>
    <w:rsid w:val="001863F8"/>
    <w:rsid w:val="001864B4"/>
    <w:rsid w:val="00187C20"/>
    <w:rsid w:val="0019258B"/>
    <w:rsid w:val="001956ED"/>
    <w:rsid w:val="001A059B"/>
    <w:rsid w:val="001A448B"/>
    <w:rsid w:val="001A6CC9"/>
    <w:rsid w:val="001B1DD0"/>
    <w:rsid w:val="001B278E"/>
    <w:rsid w:val="001B558B"/>
    <w:rsid w:val="001B6259"/>
    <w:rsid w:val="001C1D12"/>
    <w:rsid w:val="001C20DA"/>
    <w:rsid w:val="001C2475"/>
    <w:rsid w:val="001C4F7D"/>
    <w:rsid w:val="001C51C3"/>
    <w:rsid w:val="001C69AB"/>
    <w:rsid w:val="001C7B86"/>
    <w:rsid w:val="001D0A1E"/>
    <w:rsid w:val="001D0BC3"/>
    <w:rsid w:val="001D2097"/>
    <w:rsid w:val="001D6D80"/>
    <w:rsid w:val="001D7F95"/>
    <w:rsid w:val="001E3943"/>
    <w:rsid w:val="001E7E4F"/>
    <w:rsid w:val="001F28FF"/>
    <w:rsid w:val="0020060C"/>
    <w:rsid w:val="002044C9"/>
    <w:rsid w:val="00207359"/>
    <w:rsid w:val="0021280C"/>
    <w:rsid w:val="00213FC1"/>
    <w:rsid w:val="00214CDB"/>
    <w:rsid w:val="0021763E"/>
    <w:rsid w:val="00217A01"/>
    <w:rsid w:val="00223480"/>
    <w:rsid w:val="002328D1"/>
    <w:rsid w:val="002330A3"/>
    <w:rsid w:val="00234BD0"/>
    <w:rsid w:val="00237292"/>
    <w:rsid w:val="00244086"/>
    <w:rsid w:val="002447A5"/>
    <w:rsid w:val="00246252"/>
    <w:rsid w:val="0024697A"/>
    <w:rsid w:val="002474A1"/>
    <w:rsid w:val="00251DA1"/>
    <w:rsid w:val="00254733"/>
    <w:rsid w:val="002557DA"/>
    <w:rsid w:val="00257BD6"/>
    <w:rsid w:val="00260F67"/>
    <w:rsid w:val="002621EE"/>
    <w:rsid w:val="00262450"/>
    <w:rsid w:val="002637FD"/>
    <w:rsid w:val="0027312B"/>
    <w:rsid w:val="00273C8B"/>
    <w:rsid w:val="0027462E"/>
    <w:rsid w:val="002760D9"/>
    <w:rsid w:val="0027748A"/>
    <w:rsid w:val="00281524"/>
    <w:rsid w:val="00281F7F"/>
    <w:rsid w:val="002879E8"/>
    <w:rsid w:val="0029005F"/>
    <w:rsid w:val="00297831"/>
    <w:rsid w:val="002A11A7"/>
    <w:rsid w:val="002A2EE1"/>
    <w:rsid w:val="002A4EAE"/>
    <w:rsid w:val="002A5E04"/>
    <w:rsid w:val="002A712D"/>
    <w:rsid w:val="002A7E73"/>
    <w:rsid w:val="002B3333"/>
    <w:rsid w:val="002B35BA"/>
    <w:rsid w:val="002B3A4A"/>
    <w:rsid w:val="002B69E1"/>
    <w:rsid w:val="002C353D"/>
    <w:rsid w:val="002C39E1"/>
    <w:rsid w:val="002D100D"/>
    <w:rsid w:val="002D132B"/>
    <w:rsid w:val="002D1395"/>
    <w:rsid w:val="002D169F"/>
    <w:rsid w:val="002D553A"/>
    <w:rsid w:val="002E3FCC"/>
    <w:rsid w:val="002F22DA"/>
    <w:rsid w:val="003002F9"/>
    <w:rsid w:val="00304F20"/>
    <w:rsid w:val="00305D0F"/>
    <w:rsid w:val="003074B0"/>
    <w:rsid w:val="00311498"/>
    <w:rsid w:val="00312CCA"/>
    <w:rsid w:val="0031406A"/>
    <w:rsid w:val="003162F4"/>
    <w:rsid w:val="00323A2E"/>
    <w:rsid w:val="00332065"/>
    <w:rsid w:val="00332ADE"/>
    <w:rsid w:val="00332DF5"/>
    <w:rsid w:val="00337438"/>
    <w:rsid w:val="0034363C"/>
    <w:rsid w:val="0034392D"/>
    <w:rsid w:val="00344A52"/>
    <w:rsid w:val="00344AA0"/>
    <w:rsid w:val="00350AE5"/>
    <w:rsid w:val="00351F40"/>
    <w:rsid w:val="00354D51"/>
    <w:rsid w:val="00357725"/>
    <w:rsid w:val="00357830"/>
    <w:rsid w:val="00362F30"/>
    <w:rsid w:val="003716A7"/>
    <w:rsid w:val="00371A6C"/>
    <w:rsid w:val="00375FBC"/>
    <w:rsid w:val="00377DE7"/>
    <w:rsid w:val="003868F6"/>
    <w:rsid w:val="00390103"/>
    <w:rsid w:val="00391BF6"/>
    <w:rsid w:val="00397C8C"/>
    <w:rsid w:val="003A1C32"/>
    <w:rsid w:val="003A586E"/>
    <w:rsid w:val="003B026E"/>
    <w:rsid w:val="003B5382"/>
    <w:rsid w:val="003B58AB"/>
    <w:rsid w:val="003C0891"/>
    <w:rsid w:val="003C31E3"/>
    <w:rsid w:val="003C5313"/>
    <w:rsid w:val="003C6200"/>
    <w:rsid w:val="003C6BF6"/>
    <w:rsid w:val="003C7D83"/>
    <w:rsid w:val="003C7DC0"/>
    <w:rsid w:val="003D1203"/>
    <w:rsid w:val="003D710F"/>
    <w:rsid w:val="003D7B99"/>
    <w:rsid w:val="003E0D5B"/>
    <w:rsid w:val="003E1CE9"/>
    <w:rsid w:val="003E23EB"/>
    <w:rsid w:val="003E2A25"/>
    <w:rsid w:val="003E2DC7"/>
    <w:rsid w:val="003E4CAF"/>
    <w:rsid w:val="003F428C"/>
    <w:rsid w:val="00403068"/>
    <w:rsid w:val="00403DAF"/>
    <w:rsid w:val="0040490B"/>
    <w:rsid w:val="004105AF"/>
    <w:rsid w:val="00413DBB"/>
    <w:rsid w:val="00413E8A"/>
    <w:rsid w:val="00414824"/>
    <w:rsid w:val="00417D5C"/>
    <w:rsid w:val="00424C76"/>
    <w:rsid w:val="004258C8"/>
    <w:rsid w:val="004301D3"/>
    <w:rsid w:val="00431457"/>
    <w:rsid w:val="00435121"/>
    <w:rsid w:val="004375D6"/>
    <w:rsid w:val="004412E4"/>
    <w:rsid w:val="00444D03"/>
    <w:rsid w:val="004451D3"/>
    <w:rsid w:val="0044544F"/>
    <w:rsid w:val="00445655"/>
    <w:rsid w:val="00445833"/>
    <w:rsid w:val="00446242"/>
    <w:rsid w:val="00450D52"/>
    <w:rsid w:val="004515A6"/>
    <w:rsid w:val="00451A50"/>
    <w:rsid w:val="00453431"/>
    <w:rsid w:val="00453E34"/>
    <w:rsid w:val="00455696"/>
    <w:rsid w:val="00465488"/>
    <w:rsid w:val="00467D0A"/>
    <w:rsid w:val="00470277"/>
    <w:rsid w:val="0047793D"/>
    <w:rsid w:val="00480510"/>
    <w:rsid w:val="00481DD7"/>
    <w:rsid w:val="00482F03"/>
    <w:rsid w:val="004863D2"/>
    <w:rsid w:val="00491AD1"/>
    <w:rsid w:val="004A1218"/>
    <w:rsid w:val="004A2E15"/>
    <w:rsid w:val="004A4465"/>
    <w:rsid w:val="004B1DA2"/>
    <w:rsid w:val="004B26BE"/>
    <w:rsid w:val="004B69C2"/>
    <w:rsid w:val="004C070F"/>
    <w:rsid w:val="004C0B22"/>
    <w:rsid w:val="004C11A5"/>
    <w:rsid w:val="004C3CD0"/>
    <w:rsid w:val="004C3CF1"/>
    <w:rsid w:val="004C5CBD"/>
    <w:rsid w:val="004C6D1D"/>
    <w:rsid w:val="004C765F"/>
    <w:rsid w:val="004D1332"/>
    <w:rsid w:val="004D2541"/>
    <w:rsid w:val="004D2A1A"/>
    <w:rsid w:val="004D4F3E"/>
    <w:rsid w:val="004D56DE"/>
    <w:rsid w:val="004E35B6"/>
    <w:rsid w:val="004F17D6"/>
    <w:rsid w:val="004F38FB"/>
    <w:rsid w:val="005001E4"/>
    <w:rsid w:val="005126D6"/>
    <w:rsid w:val="005132FD"/>
    <w:rsid w:val="005134FD"/>
    <w:rsid w:val="005135AA"/>
    <w:rsid w:val="00514E2D"/>
    <w:rsid w:val="005160E8"/>
    <w:rsid w:val="00516EEB"/>
    <w:rsid w:val="005210CB"/>
    <w:rsid w:val="00522987"/>
    <w:rsid w:val="00526A53"/>
    <w:rsid w:val="0053002B"/>
    <w:rsid w:val="00530EF2"/>
    <w:rsid w:val="00532F00"/>
    <w:rsid w:val="00534F86"/>
    <w:rsid w:val="00536E17"/>
    <w:rsid w:val="00545751"/>
    <w:rsid w:val="005466C5"/>
    <w:rsid w:val="00550E2E"/>
    <w:rsid w:val="0055201A"/>
    <w:rsid w:val="00563C63"/>
    <w:rsid w:val="00565B85"/>
    <w:rsid w:val="005665A4"/>
    <w:rsid w:val="00572822"/>
    <w:rsid w:val="00573E52"/>
    <w:rsid w:val="00582C17"/>
    <w:rsid w:val="00583714"/>
    <w:rsid w:val="00583A6B"/>
    <w:rsid w:val="005840E4"/>
    <w:rsid w:val="00585199"/>
    <w:rsid w:val="00586D9C"/>
    <w:rsid w:val="00592E11"/>
    <w:rsid w:val="00593790"/>
    <w:rsid w:val="005A172B"/>
    <w:rsid w:val="005A1CF6"/>
    <w:rsid w:val="005A65A7"/>
    <w:rsid w:val="005A705C"/>
    <w:rsid w:val="005B34C3"/>
    <w:rsid w:val="005B45EE"/>
    <w:rsid w:val="005B4A00"/>
    <w:rsid w:val="005B54A9"/>
    <w:rsid w:val="005B5A08"/>
    <w:rsid w:val="005B63F8"/>
    <w:rsid w:val="005B660D"/>
    <w:rsid w:val="005B7A07"/>
    <w:rsid w:val="005C262C"/>
    <w:rsid w:val="005C3A6F"/>
    <w:rsid w:val="005C48FA"/>
    <w:rsid w:val="005C7011"/>
    <w:rsid w:val="005D3051"/>
    <w:rsid w:val="005D3EA5"/>
    <w:rsid w:val="005E6131"/>
    <w:rsid w:val="005E6D54"/>
    <w:rsid w:val="005E7B2F"/>
    <w:rsid w:val="006010BF"/>
    <w:rsid w:val="00602080"/>
    <w:rsid w:val="00605127"/>
    <w:rsid w:val="00613F88"/>
    <w:rsid w:val="00614860"/>
    <w:rsid w:val="006165EE"/>
    <w:rsid w:val="006211F1"/>
    <w:rsid w:val="00621626"/>
    <w:rsid w:val="00624C7B"/>
    <w:rsid w:val="00625FA4"/>
    <w:rsid w:val="00631A07"/>
    <w:rsid w:val="00635925"/>
    <w:rsid w:val="006359B8"/>
    <w:rsid w:val="006403B8"/>
    <w:rsid w:val="006410C1"/>
    <w:rsid w:val="00642361"/>
    <w:rsid w:val="006427C7"/>
    <w:rsid w:val="0064541A"/>
    <w:rsid w:val="00646680"/>
    <w:rsid w:val="00653CAE"/>
    <w:rsid w:val="00653D1E"/>
    <w:rsid w:val="00656BD8"/>
    <w:rsid w:val="00660383"/>
    <w:rsid w:val="00662ECA"/>
    <w:rsid w:val="00662EE0"/>
    <w:rsid w:val="00663253"/>
    <w:rsid w:val="00665C7E"/>
    <w:rsid w:val="006708C4"/>
    <w:rsid w:val="00672A17"/>
    <w:rsid w:val="006812AD"/>
    <w:rsid w:val="00681E99"/>
    <w:rsid w:val="00682A6E"/>
    <w:rsid w:val="00683787"/>
    <w:rsid w:val="00686F0D"/>
    <w:rsid w:val="00687DB2"/>
    <w:rsid w:val="00694927"/>
    <w:rsid w:val="0069513F"/>
    <w:rsid w:val="00695A3E"/>
    <w:rsid w:val="006A2AAD"/>
    <w:rsid w:val="006A46E4"/>
    <w:rsid w:val="006A58EF"/>
    <w:rsid w:val="006A69FD"/>
    <w:rsid w:val="006B2496"/>
    <w:rsid w:val="006B2C9D"/>
    <w:rsid w:val="006B421C"/>
    <w:rsid w:val="006C1BF4"/>
    <w:rsid w:val="006C3313"/>
    <w:rsid w:val="006C7DF0"/>
    <w:rsid w:val="006D01B5"/>
    <w:rsid w:val="006D1888"/>
    <w:rsid w:val="006D3646"/>
    <w:rsid w:val="006E1791"/>
    <w:rsid w:val="006E5280"/>
    <w:rsid w:val="006E590E"/>
    <w:rsid w:val="006E5FCE"/>
    <w:rsid w:val="006F161F"/>
    <w:rsid w:val="006F59B7"/>
    <w:rsid w:val="006F5BA1"/>
    <w:rsid w:val="006F6B8B"/>
    <w:rsid w:val="006F7345"/>
    <w:rsid w:val="006F770F"/>
    <w:rsid w:val="007003B7"/>
    <w:rsid w:val="00700C41"/>
    <w:rsid w:val="00702C67"/>
    <w:rsid w:val="00705E82"/>
    <w:rsid w:val="007151C6"/>
    <w:rsid w:val="00721CAC"/>
    <w:rsid w:val="0072222B"/>
    <w:rsid w:val="00723EBE"/>
    <w:rsid w:val="0072464B"/>
    <w:rsid w:val="007264E0"/>
    <w:rsid w:val="0073194F"/>
    <w:rsid w:val="00734010"/>
    <w:rsid w:val="00736B07"/>
    <w:rsid w:val="00736C25"/>
    <w:rsid w:val="0073773F"/>
    <w:rsid w:val="00737EFA"/>
    <w:rsid w:val="007426F9"/>
    <w:rsid w:val="0075072F"/>
    <w:rsid w:val="007607A6"/>
    <w:rsid w:val="00760C9B"/>
    <w:rsid w:val="007636F6"/>
    <w:rsid w:val="00764821"/>
    <w:rsid w:val="0076634E"/>
    <w:rsid w:val="00766CF4"/>
    <w:rsid w:val="0077166F"/>
    <w:rsid w:val="007722FD"/>
    <w:rsid w:val="00772609"/>
    <w:rsid w:val="00772AD4"/>
    <w:rsid w:val="00774CCB"/>
    <w:rsid w:val="00775BC4"/>
    <w:rsid w:val="007767D9"/>
    <w:rsid w:val="00780738"/>
    <w:rsid w:val="0078195E"/>
    <w:rsid w:val="00782198"/>
    <w:rsid w:val="00782459"/>
    <w:rsid w:val="00786675"/>
    <w:rsid w:val="00793BD0"/>
    <w:rsid w:val="00794210"/>
    <w:rsid w:val="007955FF"/>
    <w:rsid w:val="007969E9"/>
    <w:rsid w:val="007A4AAF"/>
    <w:rsid w:val="007A64D5"/>
    <w:rsid w:val="007B37A0"/>
    <w:rsid w:val="007B4A84"/>
    <w:rsid w:val="007C3906"/>
    <w:rsid w:val="007C7D34"/>
    <w:rsid w:val="007E049E"/>
    <w:rsid w:val="007E14C1"/>
    <w:rsid w:val="007E1F40"/>
    <w:rsid w:val="007E2B96"/>
    <w:rsid w:val="007E3A2C"/>
    <w:rsid w:val="007E3ED7"/>
    <w:rsid w:val="007E64D0"/>
    <w:rsid w:val="007F04D6"/>
    <w:rsid w:val="007F0FEC"/>
    <w:rsid w:val="007F4E29"/>
    <w:rsid w:val="00802804"/>
    <w:rsid w:val="00802CFF"/>
    <w:rsid w:val="00802DB8"/>
    <w:rsid w:val="00804A27"/>
    <w:rsid w:val="00804F3D"/>
    <w:rsid w:val="00807DD7"/>
    <w:rsid w:val="00810C06"/>
    <w:rsid w:val="00811251"/>
    <w:rsid w:val="008140BF"/>
    <w:rsid w:val="00815F01"/>
    <w:rsid w:val="00816687"/>
    <w:rsid w:val="008173EC"/>
    <w:rsid w:val="008178EA"/>
    <w:rsid w:val="00820367"/>
    <w:rsid w:val="00826679"/>
    <w:rsid w:val="00826684"/>
    <w:rsid w:val="00831986"/>
    <w:rsid w:val="00832C73"/>
    <w:rsid w:val="00834611"/>
    <w:rsid w:val="00842A5C"/>
    <w:rsid w:val="00851350"/>
    <w:rsid w:val="008521BF"/>
    <w:rsid w:val="0085244F"/>
    <w:rsid w:val="00854D0A"/>
    <w:rsid w:val="00855898"/>
    <w:rsid w:val="00855E1F"/>
    <w:rsid w:val="0085669A"/>
    <w:rsid w:val="0086512E"/>
    <w:rsid w:val="008700AC"/>
    <w:rsid w:val="008746A2"/>
    <w:rsid w:val="008759CE"/>
    <w:rsid w:val="00876085"/>
    <w:rsid w:val="008767AF"/>
    <w:rsid w:val="008806D5"/>
    <w:rsid w:val="00883477"/>
    <w:rsid w:val="00884F98"/>
    <w:rsid w:val="00890AF1"/>
    <w:rsid w:val="00895A00"/>
    <w:rsid w:val="00895A89"/>
    <w:rsid w:val="00895E3D"/>
    <w:rsid w:val="008A0D82"/>
    <w:rsid w:val="008A2F6C"/>
    <w:rsid w:val="008A5841"/>
    <w:rsid w:val="008A58F4"/>
    <w:rsid w:val="008A5999"/>
    <w:rsid w:val="008B0604"/>
    <w:rsid w:val="008B08B1"/>
    <w:rsid w:val="008B1F7E"/>
    <w:rsid w:val="008B203D"/>
    <w:rsid w:val="008B3CF2"/>
    <w:rsid w:val="008B4D19"/>
    <w:rsid w:val="008B58BC"/>
    <w:rsid w:val="008C4BAB"/>
    <w:rsid w:val="008E1D98"/>
    <w:rsid w:val="008E2E03"/>
    <w:rsid w:val="008E6B06"/>
    <w:rsid w:val="008F13A1"/>
    <w:rsid w:val="008F226A"/>
    <w:rsid w:val="008F2477"/>
    <w:rsid w:val="008F3301"/>
    <w:rsid w:val="008F3F84"/>
    <w:rsid w:val="008F4084"/>
    <w:rsid w:val="008F5541"/>
    <w:rsid w:val="00901539"/>
    <w:rsid w:val="009064A3"/>
    <w:rsid w:val="009100A1"/>
    <w:rsid w:val="009128A4"/>
    <w:rsid w:val="00913736"/>
    <w:rsid w:val="0091466A"/>
    <w:rsid w:val="00915A3B"/>
    <w:rsid w:val="00921206"/>
    <w:rsid w:val="009216E2"/>
    <w:rsid w:val="00925EFB"/>
    <w:rsid w:val="00925F46"/>
    <w:rsid w:val="00927725"/>
    <w:rsid w:val="009305C1"/>
    <w:rsid w:val="00931D0E"/>
    <w:rsid w:val="00932438"/>
    <w:rsid w:val="009340EB"/>
    <w:rsid w:val="00937801"/>
    <w:rsid w:val="009411FD"/>
    <w:rsid w:val="00941B32"/>
    <w:rsid w:val="009424F6"/>
    <w:rsid w:val="00942618"/>
    <w:rsid w:val="00942E1A"/>
    <w:rsid w:val="00944D0C"/>
    <w:rsid w:val="00960905"/>
    <w:rsid w:val="0096203F"/>
    <w:rsid w:val="0097075C"/>
    <w:rsid w:val="00970B53"/>
    <w:rsid w:val="00976835"/>
    <w:rsid w:val="009769E6"/>
    <w:rsid w:val="00976EEE"/>
    <w:rsid w:val="00982C0A"/>
    <w:rsid w:val="009946F5"/>
    <w:rsid w:val="00995FD1"/>
    <w:rsid w:val="009A469E"/>
    <w:rsid w:val="009A54B2"/>
    <w:rsid w:val="009A5C8B"/>
    <w:rsid w:val="009B0DF6"/>
    <w:rsid w:val="009B11A6"/>
    <w:rsid w:val="009B1D5B"/>
    <w:rsid w:val="009B39A6"/>
    <w:rsid w:val="009B5A94"/>
    <w:rsid w:val="009C5B0B"/>
    <w:rsid w:val="009C7E3F"/>
    <w:rsid w:val="009D4EEB"/>
    <w:rsid w:val="009E4B6F"/>
    <w:rsid w:val="009E504A"/>
    <w:rsid w:val="009F07D4"/>
    <w:rsid w:val="009F25BC"/>
    <w:rsid w:val="009F33A7"/>
    <w:rsid w:val="009F4E5E"/>
    <w:rsid w:val="009F63ED"/>
    <w:rsid w:val="009F6F06"/>
    <w:rsid w:val="009F75FF"/>
    <w:rsid w:val="00A0023D"/>
    <w:rsid w:val="00A042BA"/>
    <w:rsid w:val="00A0460C"/>
    <w:rsid w:val="00A05090"/>
    <w:rsid w:val="00A12A5F"/>
    <w:rsid w:val="00A12B8B"/>
    <w:rsid w:val="00A15E4D"/>
    <w:rsid w:val="00A16BD8"/>
    <w:rsid w:val="00A20439"/>
    <w:rsid w:val="00A238AD"/>
    <w:rsid w:val="00A2439C"/>
    <w:rsid w:val="00A25CE1"/>
    <w:rsid w:val="00A265BB"/>
    <w:rsid w:val="00A2664D"/>
    <w:rsid w:val="00A2671F"/>
    <w:rsid w:val="00A33752"/>
    <w:rsid w:val="00A370B0"/>
    <w:rsid w:val="00A406B2"/>
    <w:rsid w:val="00A5312E"/>
    <w:rsid w:val="00A53414"/>
    <w:rsid w:val="00A5632B"/>
    <w:rsid w:val="00A56FD6"/>
    <w:rsid w:val="00A6247C"/>
    <w:rsid w:val="00A94E05"/>
    <w:rsid w:val="00A96DB3"/>
    <w:rsid w:val="00AB23E5"/>
    <w:rsid w:val="00AB25D4"/>
    <w:rsid w:val="00AB409F"/>
    <w:rsid w:val="00AB5CE2"/>
    <w:rsid w:val="00AB735C"/>
    <w:rsid w:val="00AC297F"/>
    <w:rsid w:val="00AC4127"/>
    <w:rsid w:val="00AC6319"/>
    <w:rsid w:val="00AC6888"/>
    <w:rsid w:val="00AC6F1A"/>
    <w:rsid w:val="00AD204B"/>
    <w:rsid w:val="00AD5FCD"/>
    <w:rsid w:val="00AD7D00"/>
    <w:rsid w:val="00AE0AB2"/>
    <w:rsid w:val="00AE2178"/>
    <w:rsid w:val="00AF0A5A"/>
    <w:rsid w:val="00AF2C79"/>
    <w:rsid w:val="00AF3C08"/>
    <w:rsid w:val="00B01DF4"/>
    <w:rsid w:val="00B02450"/>
    <w:rsid w:val="00B033B2"/>
    <w:rsid w:val="00B059C8"/>
    <w:rsid w:val="00B12D4A"/>
    <w:rsid w:val="00B13AA4"/>
    <w:rsid w:val="00B13B00"/>
    <w:rsid w:val="00B150AC"/>
    <w:rsid w:val="00B1768A"/>
    <w:rsid w:val="00B17A90"/>
    <w:rsid w:val="00B21D8F"/>
    <w:rsid w:val="00B224EC"/>
    <w:rsid w:val="00B24081"/>
    <w:rsid w:val="00B24A24"/>
    <w:rsid w:val="00B26B7D"/>
    <w:rsid w:val="00B26CF7"/>
    <w:rsid w:val="00B30B42"/>
    <w:rsid w:val="00B35D8A"/>
    <w:rsid w:val="00B370DA"/>
    <w:rsid w:val="00B43155"/>
    <w:rsid w:val="00B444A7"/>
    <w:rsid w:val="00B4577B"/>
    <w:rsid w:val="00B50FB6"/>
    <w:rsid w:val="00B53192"/>
    <w:rsid w:val="00B5491A"/>
    <w:rsid w:val="00B6123E"/>
    <w:rsid w:val="00B618F5"/>
    <w:rsid w:val="00B6415E"/>
    <w:rsid w:val="00B64373"/>
    <w:rsid w:val="00B67030"/>
    <w:rsid w:val="00B67143"/>
    <w:rsid w:val="00B70064"/>
    <w:rsid w:val="00B72028"/>
    <w:rsid w:val="00B74FDF"/>
    <w:rsid w:val="00B83B87"/>
    <w:rsid w:val="00B86807"/>
    <w:rsid w:val="00B87B9C"/>
    <w:rsid w:val="00B96658"/>
    <w:rsid w:val="00BA1AB2"/>
    <w:rsid w:val="00BA2DE7"/>
    <w:rsid w:val="00BA2F99"/>
    <w:rsid w:val="00BA5509"/>
    <w:rsid w:val="00BA57CE"/>
    <w:rsid w:val="00BA7024"/>
    <w:rsid w:val="00BB1827"/>
    <w:rsid w:val="00BB4786"/>
    <w:rsid w:val="00BB5302"/>
    <w:rsid w:val="00BB59DA"/>
    <w:rsid w:val="00BB686E"/>
    <w:rsid w:val="00BC24F5"/>
    <w:rsid w:val="00BC6BED"/>
    <w:rsid w:val="00BD0E70"/>
    <w:rsid w:val="00BD435F"/>
    <w:rsid w:val="00BD5F99"/>
    <w:rsid w:val="00BD7877"/>
    <w:rsid w:val="00BD7DD8"/>
    <w:rsid w:val="00BE1572"/>
    <w:rsid w:val="00BE2CA5"/>
    <w:rsid w:val="00BE345E"/>
    <w:rsid w:val="00BE68E1"/>
    <w:rsid w:val="00BE6DAB"/>
    <w:rsid w:val="00BE6E19"/>
    <w:rsid w:val="00BF4A69"/>
    <w:rsid w:val="00BF6232"/>
    <w:rsid w:val="00BF6EE4"/>
    <w:rsid w:val="00C04E8F"/>
    <w:rsid w:val="00C116D7"/>
    <w:rsid w:val="00C11FEB"/>
    <w:rsid w:val="00C208E9"/>
    <w:rsid w:val="00C22357"/>
    <w:rsid w:val="00C22DA5"/>
    <w:rsid w:val="00C30242"/>
    <w:rsid w:val="00C31BB9"/>
    <w:rsid w:val="00C33C90"/>
    <w:rsid w:val="00C37040"/>
    <w:rsid w:val="00C375C8"/>
    <w:rsid w:val="00C379E4"/>
    <w:rsid w:val="00C4020E"/>
    <w:rsid w:val="00C40394"/>
    <w:rsid w:val="00C41718"/>
    <w:rsid w:val="00C46F0E"/>
    <w:rsid w:val="00C51AC7"/>
    <w:rsid w:val="00C51B3E"/>
    <w:rsid w:val="00C540BA"/>
    <w:rsid w:val="00C56DAC"/>
    <w:rsid w:val="00C62342"/>
    <w:rsid w:val="00C65F10"/>
    <w:rsid w:val="00C677C8"/>
    <w:rsid w:val="00C70BE0"/>
    <w:rsid w:val="00C75102"/>
    <w:rsid w:val="00C75BD0"/>
    <w:rsid w:val="00C776A2"/>
    <w:rsid w:val="00C802D8"/>
    <w:rsid w:val="00C83713"/>
    <w:rsid w:val="00C84D59"/>
    <w:rsid w:val="00C90946"/>
    <w:rsid w:val="00C9135F"/>
    <w:rsid w:val="00C937DE"/>
    <w:rsid w:val="00C959E9"/>
    <w:rsid w:val="00C967BA"/>
    <w:rsid w:val="00C96AD0"/>
    <w:rsid w:val="00CA0CC6"/>
    <w:rsid w:val="00CA3C0A"/>
    <w:rsid w:val="00CA565E"/>
    <w:rsid w:val="00CA6C62"/>
    <w:rsid w:val="00CB14E3"/>
    <w:rsid w:val="00CB1738"/>
    <w:rsid w:val="00CB2536"/>
    <w:rsid w:val="00CB2C71"/>
    <w:rsid w:val="00CB7743"/>
    <w:rsid w:val="00CC2EE2"/>
    <w:rsid w:val="00CC5D2D"/>
    <w:rsid w:val="00CD08F4"/>
    <w:rsid w:val="00CD09B6"/>
    <w:rsid w:val="00CD150A"/>
    <w:rsid w:val="00CD1A6B"/>
    <w:rsid w:val="00CD381B"/>
    <w:rsid w:val="00CD41AE"/>
    <w:rsid w:val="00CD64A8"/>
    <w:rsid w:val="00CE09EA"/>
    <w:rsid w:val="00CE2DEF"/>
    <w:rsid w:val="00CE3542"/>
    <w:rsid w:val="00CE3F06"/>
    <w:rsid w:val="00CE4562"/>
    <w:rsid w:val="00CE55F2"/>
    <w:rsid w:val="00CE5EDF"/>
    <w:rsid w:val="00CE6F91"/>
    <w:rsid w:val="00CE7DB6"/>
    <w:rsid w:val="00CF017B"/>
    <w:rsid w:val="00CF3D53"/>
    <w:rsid w:val="00CF62D3"/>
    <w:rsid w:val="00CF6BF2"/>
    <w:rsid w:val="00D015D5"/>
    <w:rsid w:val="00D02CE1"/>
    <w:rsid w:val="00D13C4E"/>
    <w:rsid w:val="00D16125"/>
    <w:rsid w:val="00D175BA"/>
    <w:rsid w:val="00D20844"/>
    <w:rsid w:val="00D20BCE"/>
    <w:rsid w:val="00D23FD2"/>
    <w:rsid w:val="00D25612"/>
    <w:rsid w:val="00D25B24"/>
    <w:rsid w:val="00D27DF9"/>
    <w:rsid w:val="00D30B5D"/>
    <w:rsid w:val="00D321A1"/>
    <w:rsid w:val="00D37C7C"/>
    <w:rsid w:val="00D408FA"/>
    <w:rsid w:val="00D44280"/>
    <w:rsid w:val="00D45F00"/>
    <w:rsid w:val="00D50DDF"/>
    <w:rsid w:val="00D54681"/>
    <w:rsid w:val="00D54BFC"/>
    <w:rsid w:val="00D54E22"/>
    <w:rsid w:val="00D64ACC"/>
    <w:rsid w:val="00D6547B"/>
    <w:rsid w:val="00D675D5"/>
    <w:rsid w:val="00D71052"/>
    <w:rsid w:val="00D838CE"/>
    <w:rsid w:val="00D86F79"/>
    <w:rsid w:val="00D921D7"/>
    <w:rsid w:val="00D92335"/>
    <w:rsid w:val="00D93C73"/>
    <w:rsid w:val="00D95395"/>
    <w:rsid w:val="00D96718"/>
    <w:rsid w:val="00D96894"/>
    <w:rsid w:val="00D9753D"/>
    <w:rsid w:val="00D97858"/>
    <w:rsid w:val="00DA2FD6"/>
    <w:rsid w:val="00DA37B5"/>
    <w:rsid w:val="00DA7885"/>
    <w:rsid w:val="00DB18D2"/>
    <w:rsid w:val="00DC3377"/>
    <w:rsid w:val="00DC3CAF"/>
    <w:rsid w:val="00DC4EBE"/>
    <w:rsid w:val="00DC512E"/>
    <w:rsid w:val="00DC5973"/>
    <w:rsid w:val="00DC60B6"/>
    <w:rsid w:val="00DC7F65"/>
    <w:rsid w:val="00DD1255"/>
    <w:rsid w:val="00DD6AFA"/>
    <w:rsid w:val="00DE24D5"/>
    <w:rsid w:val="00DE65E3"/>
    <w:rsid w:val="00DF2CAD"/>
    <w:rsid w:val="00DF3A4F"/>
    <w:rsid w:val="00DF527B"/>
    <w:rsid w:val="00DF732B"/>
    <w:rsid w:val="00DF7EE4"/>
    <w:rsid w:val="00E024AE"/>
    <w:rsid w:val="00E027E2"/>
    <w:rsid w:val="00E0528F"/>
    <w:rsid w:val="00E07955"/>
    <w:rsid w:val="00E10E35"/>
    <w:rsid w:val="00E12373"/>
    <w:rsid w:val="00E14A84"/>
    <w:rsid w:val="00E16F2A"/>
    <w:rsid w:val="00E16FC8"/>
    <w:rsid w:val="00E234ED"/>
    <w:rsid w:val="00E248FC"/>
    <w:rsid w:val="00E24932"/>
    <w:rsid w:val="00E26EFC"/>
    <w:rsid w:val="00E3080A"/>
    <w:rsid w:val="00E32FC7"/>
    <w:rsid w:val="00E338AA"/>
    <w:rsid w:val="00E3444C"/>
    <w:rsid w:val="00E4397B"/>
    <w:rsid w:val="00E44665"/>
    <w:rsid w:val="00E46F70"/>
    <w:rsid w:val="00E51FD4"/>
    <w:rsid w:val="00E557F8"/>
    <w:rsid w:val="00E614DE"/>
    <w:rsid w:val="00E6205F"/>
    <w:rsid w:val="00E63333"/>
    <w:rsid w:val="00E63E28"/>
    <w:rsid w:val="00E64E8C"/>
    <w:rsid w:val="00E7369D"/>
    <w:rsid w:val="00E74D4F"/>
    <w:rsid w:val="00E84DFD"/>
    <w:rsid w:val="00E85D8D"/>
    <w:rsid w:val="00E862D7"/>
    <w:rsid w:val="00E87D7E"/>
    <w:rsid w:val="00E91583"/>
    <w:rsid w:val="00E9268B"/>
    <w:rsid w:val="00E95BE6"/>
    <w:rsid w:val="00E95E94"/>
    <w:rsid w:val="00E97F13"/>
    <w:rsid w:val="00EA1092"/>
    <w:rsid w:val="00EB1AB7"/>
    <w:rsid w:val="00EC3281"/>
    <w:rsid w:val="00EC4B20"/>
    <w:rsid w:val="00ED0F5F"/>
    <w:rsid w:val="00EE19A9"/>
    <w:rsid w:val="00EE45A7"/>
    <w:rsid w:val="00EE5879"/>
    <w:rsid w:val="00EE6AE5"/>
    <w:rsid w:val="00EF023E"/>
    <w:rsid w:val="00EF0D42"/>
    <w:rsid w:val="00EF1555"/>
    <w:rsid w:val="00EF5988"/>
    <w:rsid w:val="00EF6367"/>
    <w:rsid w:val="00F0034A"/>
    <w:rsid w:val="00F02A03"/>
    <w:rsid w:val="00F03EA3"/>
    <w:rsid w:val="00F111C0"/>
    <w:rsid w:val="00F11B57"/>
    <w:rsid w:val="00F1283C"/>
    <w:rsid w:val="00F219C9"/>
    <w:rsid w:val="00F221ED"/>
    <w:rsid w:val="00F2461A"/>
    <w:rsid w:val="00F24C15"/>
    <w:rsid w:val="00F3135B"/>
    <w:rsid w:val="00F32049"/>
    <w:rsid w:val="00F34D56"/>
    <w:rsid w:val="00F36670"/>
    <w:rsid w:val="00F36932"/>
    <w:rsid w:val="00F36DC8"/>
    <w:rsid w:val="00F37A33"/>
    <w:rsid w:val="00F40ED4"/>
    <w:rsid w:val="00F4116D"/>
    <w:rsid w:val="00F45560"/>
    <w:rsid w:val="00F50E98"/>
    <w:rsid w:val="00F511BC"/>
    <w:rsid w:val="00F5124A"/>
    <w:rsid w:val="00F51F4C"/>
    <w:rsid w:val="00F56B3E"/>
    <w:rsid w:val="00F60481"/>
    <w:rsid w:val="00F61EDE"/>
    <w:rsid w:val="00F63EE6"/>
    <w:rsid w:val="00F65103"/>
    <w:rsid w:val="00F679AD"/>
    <w:rsid w:val="00F7164D"/>
    <w:rsid w:val="00F71803"/>
    <w:rsid w:val="00F723A9"/>
    <w:rsid w:val="00F72C84"/>
    <w:rsid w:val="00F75663"/>
    <w:rsid w:val="00F76F02"/>
    <w:rsid w:val="00F80F19"/>
    <w:rsid w:val="00F82CA6"/>
    <w:rsid w:val="00F82E80"/>
    <w:rsid w:val="00F840DE"/>
    <w:rsid w:val="00F902B6"/>
    <w:rsid w:val="00FA0DB2"/>
    <w:rsid w:val="00FA42BC"/>
    <w:rsid w:val="00FA452C"/>
    <w:rsid w:val="00FA4FB5"/>
    <w:rsid w:val="00FA7A65"/>
    <w:rsid w:val="00FB157E"/>
    <w:rsid w:val="00FB1779"/>
    <w:rsid w:val="00FB5A79"/>
    <w:rsid w:val="00FB6615"/>
    <w:rsid w:val="00FB6EE7"/>
    <w:rsid w:val="00FC0643"/>
    <w:rsid w:val="00FC0657"/>
    <w:rsid w:val="00FC488A"/>
    <w:rsid w:val="00FC7BBB"/>
    <w:rsid w:val="00FE049B"/>
    <w:rsid w:val="00FE114A"/>
    <w:rsid w:val="00FE23D5"/>
    <w:rsid w:val="00FE3540"/>
    <w:rsid w:val="00FE5556"/>
    <w:rsid w:val="00FE7C13"/>
    <w:rsid w:val="00FF1AE7"/>
    <w:rsid w:val="00FF427C"/>
    <w:rsid w:val="00FF55E9"/>
    <w:rsid w:val="00FF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7D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11A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essunaspaziatura">
    <w:name w:val="No Spacing"/>
    <w:uiPriority w:val="1"/>
    <w:qFormat/>
    <w:rsid w:val="009B11A6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uiPriority w:val="99"/>
    <w:unhideWhenUsed/>
    <w:rsid w:val="005A172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A172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A172B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26A5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26A5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26A5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A1CF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76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085"/>
  </w:style>
  <w:style w:type="paragraph" w:styleId="Pidipagina">
    <w:name w:val="footer"/>
    <w:basedOn w:val="Normale"/>
    <w:link w:val="PidipaginaCarattere"/>
    <w:uiPriority w:val="99"/>
    <w:unhideWhenUsed/>
    <w:rsid w:val="00876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08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08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565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E1F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E1F4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E1F4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1F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E1F40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02B6"/>
    <w:rPr>
      <w:color w:val="800080" w:themeColor="followedHyperlink"/>
      <w:u w:val="single"/>
    </w:rPr>
  </w:style>
  <w:style w:type="character" w:customStyle="1" w:styleId="hps">
    <w:name w:val="hps"/>
    <w:basedOn w:val="Carpredefinitoparagrafo"/>
    <w:rsid w:val="00CA0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980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0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97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56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iapo.org.uk/sites/default/filesfiles/IAPO%20Quick%20Guide.pdf" TargetMode="External"/><Relationship Id="rId18" Type="http://schemas.openxmlformats.org/officeDocument/2006/relationships/hyperlink" Target="http://www.ema.europa.eu/ema/index.jsp?curl=pages/special_topics/document_listing/document_listing_000318.jsp" TargetMode="External"/><Relationship Id="rId26" Type="http://schemas.openxmlformats.org/officeDocument/2006/relationships/hyperlink" Target="http://www.ncbi.nlm.nih.gov/pmc/articles/PMC4031732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mshealth.com/deployedfiles/imshealth/Global/Content/Corporate/IMS%20Health%20Institute/Reports/Global_Use_of_Meds_Outlook_2017/Biologics_Market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c.europa.eu/enterprise/sectors/healthcare/files/docs/biosimilars_report_en.pdf" TargetMode="External"/><Relationship Id="rId17" Type="http://schemas.openxmlformats.org/officeDocument/2006/relationships/hyperlink" Target="http://www.ema.europa.eu/docs/en_GB/document_library/Scientific_guideline/2012/06/WC500128686.pdf" TargetMode="External"/><Relationship Id="rId25" Type="http://schemas.openxmlformats.org/officeDocument/2006/relationships/hyperlink" Target="http://www.nhs.uk/Conditions/Medicinesinfo/Pages/Brandnamesandgenerics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bionline.net/Biosimilars/General/Biosimilars-approved-in-Europe" TargetMode="External"/><Relationship Id="rId20" Type="http://schemas.openxmlformats.org/officeDocument/2006/relationships/hyperlink" Target="http://ec.europa.eu/economy_finance/articles/structural_reforms/2012-05-15_ageing_report_en.htm%2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apo.org.uk/sites/default/filesfiles/IAPO%20Factsheet_2.pdf" TargetMode="External"/><Relationship Id="rId24" Type="http://schemas.openxmlformats.org/officeDocument/2006/relationships/hyperlink" Target="http://www.ema.europa.eu/docs/en_GB/document_library/Medicine_QA/2009/11/WC50001238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gagenerics.com/index.php/biosimilar-medicines/faq-on-biosimilars" TargetMode="External"/><Relationship Id="rId23" Type="http://schemas.openxmlformats.org/officeDocument/2006/relationships/hyperlink" Target="http://iapo.org.uk/sites/default/filesfiles/IAPO%20Factsheet_1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da.gov/AboutFDA/Transparency/Basics/ucm194516.htm%20Last%20accessed%2013.10.14" TargetMode="External"/><Relationship Id="rId19" Type="http://schemas.openxmlformats.org/officeDocument/2006/relationships/hyperlink" Target="http://www.abpi.org.uk/our-work/library/Documents/ABPI%20position%20on%20biosimilar%20medicin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da.gov/AboutFDA/Transparency/Basics/ucm194516" TargetMode="External"/><Relationship Id="rId14" Type="http://schemas.openxmlformats.org/officeDocument/2006/relationships/hyperlink" Target="http://www.ema.europa.eu/docs/en_GB/document_library/Medicine_QA/2009/12/WC500020062.pdf" TargetMode="External"/><Relationship Id="rId22" Type="http://schemas.openxmlformats.org/officeDocument/2006/relationships/hyperlink" Target="http://gabionline.net/Biosimilars/Research/The-future-of-biosimilar-mAbs-in-Europe%20Last%20accessed%2015.11.14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E595-D43F-4323-8512-169FB47D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2153</Words>
  <Characters>12273</Characters>
  <Application>Microsoft Office Word</Application>
  <DocSecurity>0</DocSecurity>
  <Lines>102</Lines>
  <Paragraphs>28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Valued Acer Customer</cp:lastModifiedBy>
  <cp:revision>3</cp:revision>
  <cp:lastPrinted>2015-03-03T16:07:00Z</cp:lastPrinted>
  <dcterms:created xsi:type="dcterms:W3CDTF">2015-03-03T10:22:00Z</dcterms:created>
  <dcterms:modified xsi:type="dcterms:W3CDTF">2015-03-03T16:39:00Z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meKMGUID">
    <vt:lpwstr>WRD-2014-11-20-13-26-13-930</vt:lpwstr>
  </property>
</Properties>
</file>