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3F" w:rsidRDefault="004C6D3F" w:rsidP="004C6D3F">
      <w:pPr>
        <w:autoSpaceDE w:val="0"/>
        <w:autoSpaceDN w:val="0"/>
        <w:adjustRightInd w:val="0"/>
        <w:spacing w:after="0" w:line="240" w:lineRule="auto"/>
        <w:jc w:val="center"/>
        <w:rPr>
          <w:rFonts w:cs="Arial"/>
          <w:sz w:val="24"/>
          <w:szCs w:val="24"/>
        </w:rPr>
      </w:pPr>
      <w:r>
        <w:rPr>
          <w:rFonts w:cs="Arial"/>
          <w:noProof/>
          <w:sz w:val="24"/>
          <w:szCs w:val="24"/>
          <w:lang w:eastAsia="it-IT"/>
        </w:rPr>
        <w:drawing>
          <wp:inline distT="0" distB="0" distL="0" distR="0">
            <wp:extent cx="2533650" cy="6109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404" cy="630705"/>
                    </a:xfrm>
                    <a:prstGeom prst="rect">
                      <a:avLst/>
                    </a:prstGeom>
                    <a:noFill/>
                    <a:ln>
                      <a:noFill/>
                    </a:ln>
                  </pic:spPr>
                </pic:pic>
              </a:graphicData>
            </a:graphic>
          </wp:inline>
        </w:drawing>
      </w:r>
    </w:p>
    <w:p w:rsidR="00C31F3D" w:rsidRDefault="00C31F3D" w:rsidP="00F42511">
      <w:pPr>
        <w:spacing w:after="0"/>
        <w:jc w:val="both"/>
      </w:pPr>
    </w:p>
    <w:p w:rsidR="00A15E35" w:rsidRDefault="00A15E35" w:rsidP="00F42511">
      <w:pPr>
        <w:spacing w:after="0"/>
        <w:jc w:val="both"/>
      </w:pPr>
    </w:p>
    <w:p w:rsidR="009431C6" w:rsidRPr="001D7316" w:rsidRDefault="00A15E35" w:rsidP="00A15E35">
      <w:pPr>
        <w:spacing w:after="0" w:line="240" w:lineRule="auto"/>
        <w:jc w:val="center"/>
        <w:rPr>
          <w:b/>
          <w:i/>
          <w:sz w:val="32"/>
          <w:szCs w:val="32"/>
        </w:rPr>
      </w:pPr>
      <w:r w:rsidRPr="001D7316">
        <w:rPr>
          <w:b/>
          <w:sz w:val="32"/>
          <w:szCs w:val="32"/>
        </w:rPr>
        <w:t xml:space="preserve">Anziani, una risorsa per il Paese: più attenzione alla vaccinazione! </w:t>
      </w:r>
    </w:p>
    <w:p w:rsidR="00A15E35" w:rsidRPr="001D7316" w:rsidRDefault="00A15E35" w:rsidP="00A15E35">
      <w:pPr>
        <w:spacing w:after="0" w:line="240" w:lineRule="auto"/>
        <w:jc w:val="center"/>
        <w:rPr>
          <w:i/>
          <w:sz w:val="27"/>
          <w:szCs w:val="27"/>
        </w:rPr>
      </w:pPr>
      <w:r w:rsidRPr="001D7316">
        <w:rPr>
          <w:i/>
          <w:sz w:val="27"/>
          <w:szCs w:val="27"/>
        </w:rPr>
        <w:t xml:space="preserve">Influenza, polmonite da pneumococco e herpes zoster tra le priorità </w:t>
      </w:r>
    </w:p>
    <w:p w:rsidR="00A15E35" w:rsidRPr="001D7316" w:rsidRDefault="00A15E35" w:rsidP="00A15E35">
      <w:pPr>
        <w:spacing w:after="0" w:line="240" w:lineRule="auto"/>
        <w:jc w:val="center"/>
        <w:rPr>
          <w:sz w:val="27"/>
          <w:szCs w:val="27"/>
        </w:rPr>
      </w:pPr>
      <w:r w:rsidRPr="001D7316">
        <w:rPr>
          <w:i/>
          <w:sz w:val="27"/>
          <w:szCs w:val="27"/>
        </w:rPr>
        <w:t>da gestire grazie alla prevenzione</w:t>
      </w:r>
      <w:r w:rsidR="001D7316" w:rsidRPr="001D7316">
        <w:rPr>
          <w:i/>
          <w:sz w:val="27"/>
          <w:szCs w:val="27"/>
        </w:rPr>
        <w:t xml:space="preserve"> </w:t>
      </w:r>
    </w:p>
    <w:p w:rsidR="009D0D21" w:rsidRPr="001D7316" w:rsidRDefault="009D0D21" w:rsidP="00F42511">
      <w:pPr>
        <w:spacing w:after="0"/>
        <w:jc w:val="both"/>
        <w:rPr>
          <w:sz w:val="26"/>
          <w:szCs w:val="26"/>
        </w:rPr>
      </w:pPr>
    </w:p>
    <w:p w:rsidR="0094440A" w:rsidRPr="00A15E35" w:rsidRDefault="00C31F3D" w:rsidP="00F42511">
      <w:pPr>
        <w:spacing w:after="0"/>
        <w:jc w:val="both"/>
        <w:rPr>
          <w:b/>
        </w:rPr>
      </w:pPr>
      <w:r w:rsidRPr="00C31F3D">
        <w:rPr>
          <w:b/>
        </w:rPr>
        <w:t>Roma, 14 aprile 2015</w:t>
      </w:r>
      <w:r>
        <w:t xml:space="preserve"> –</w:t>
      </w:r>
      <w:r w:rsidR="000A3E53">
        <w:t xml:space="preserve"> </w:t>
      </w:r>
      <w:r w:rsidR="00612D3F">
        <w:t>Anziano a chi?</w:t>
      </w:r>
      <w:r w:rsidR="00E76864">
        <w:t xml:space="preserve"> A oltre </w:t>
      </w:r>
      <w:r w:rsidR="00E76864" w:rsidRPr="00E76864">
        <w:rPr>
          <w:b/>
        </w:rPr>
        <w:t>1 Italiano su 5</w:t>
      </w:r>
      <w:r w:rsidR="00E76864">
        <w:t xml:space="preserve">, </w:t>
      </w:r>
      <w:r w:rsidR="0024341A">
        <w:t>vale a dire</w:t>
      </w:r>
      <w:r w:rsidR="00E76864">
        <w:t xml:space="preserve"> il </w:t>
      </w:r>
      <w:r w:rsidR="00612D3F" w:rsidRPr="00E76864">
        <w:rPr>
          <w:b/>
        </w:rPr>
        <w:t>21%</w:t>
      </w:r>
      <w:r w:rsidR="00612D3F">
        <w:t xml:space="preserve"> della popolazione</w:t>
      </w:r>
      <w:r w:rsidR="00E76864">
        <w:t xml:space="preserve">. </w:t>
      </w:r>
      <w:r w:rsidR="00612D3F">
        <w:t xml:space="preserve">Con </w:t>
      </w:r>
      <w:r w:rsidR="00CB0C06" w:rsidRPr="00CB0C06">
        <w:rPr>
          <w:b/>
        </w:rPr>
        <w:t>6 milioni</w:t>
      </w:r>
      <w:r w:rsidR="00CB0C06">
        <w:t xml:space="preserve"> </w:t>
      </w:r>
      <w:r w:rsidR="00447CFF">
        <w:t>di</w:t>
      </w:r>
      <w:r w:rsidR="000A3E53">
        <w:t xml:space="preserve"> </w:t>
      </w:r>
      <w:r w:rsidR="00CB0C06">
        <w:t>65-74enn</w:t>
      </w:r>
      <w:r w:rsidR="000A3E53">
        <w:t>i (</w:t>
      </w:r>
      <w:r w:rsidR="00F72C9D" w:rsidRPr="00F72C9D">
        <w:rPr>
          <w:b/>
        </w:rPr>
        <w:t>10,6%</w:t>
      </w:r>
      <w:r w:rsidR="000A3E53">
        <w:t xml:space="preserve"> della popolazione),</w:t>
      </w:r>
      <w:r w:rsidR="00F72C9D">
        <w:t xml:space="preserve"> più</w:t>
      </w:r>
      <w:r w:rsidR="00CB0C06">
        <w:t xml:space="preserve"> di </w:t>
      </w:r>
      <w:r w:rsidR="00CB0C06" w:rsidRPr="00F72C9D">
        <w:rPr>
          <w:b/>
        </w:rPr>
        <w:t>4 milioni</w:t>
      </w:r>
      <w:r w:rsidR="00CB0C06">
        <w:t xml:space="preserve"> </w:t>
      </w:r>
      <w:r w:rsidR="00447CFF">
        <w:t>d</w:t>
      </w:r>
      <w:r w:rsidR="000A3E53">
        <w:t xml:space="preserve">i </w:t>
      </w:r>
      <w:r w:rsidR="00CB0C06">
        <w:t>75-84enni</w:t>
      </w:r>
      <w:r w:rsidR="000A3E53">
        <w:t xml:space="preserve"> (</w:t>
      </w:r>
      <w:r w:rsidR="00F72C9D" w:rsidRPr="00F72C9D">
        <w:rPr>
          <w:b/>
        </w:rPr>
        <w:t>7,6%</w:t>
      </w:r>
      <w:r w:rsidR="00F72C9D">
        <w:t xml:space="preserve"> della popolazione</w:t>
      </w:r>
      <w:r w:rsidR="000A3E53">
        <w:t>)</w:t>
      </w:r>
      <w:r w:rsidR="00612D3F">
        <w:t xml:space="preserve">, </w:t>
      </w:r>
      <w:r w:rsidR="008A740E">
        <w:t xml:space="preserve">oltre </w:t>
      </w:r>
      <w:r w:rsidR="008A740E" w:rsidRPr="008A740E">
        <w:rPr>
          <w:b/>
        </w:rPr>
        <w:t>1 milione e 700mila</w:t>
      </w:r>
      <w:r w:rsidR="008A740E">
        <w:t xml:space="preserve"> </w:t>
      </w:r>
      <w:r w:rsidR="00447CFF">
        <w:t>di</w:t>
      </w:r>
      <w:r w:rsidR="000A3E53">
        <w:t xml:space="preserve"> ultra 85enni</w:t>
      </w:r>
      <w:r w:rsidR="00612D3F">
        <w:t xml:space="preserve"> e </w:t>
      </w:r>
      <w:r w:rsidR="00F72C9D">
        <w:t xml:space="preserve">circa </w:t>
      </w:r>
      <w:r w:rsidR="00F72C9D" w:rsidRPr="00F72C9D">
        <w:rPr>
          <w:b/>
        </w:rPr>
        <w:t>16.500</w:t>
      </w:r>
      <w:r w:rsidR="00F72C9D">
        <w:t xml:space="preserve"> ultracentenari, quasi triplicati negli ultimi 10 anni</w:t>
      </w:r>
      <w:r w:rsidR="00612D3F">
        <w:t>, l</w:t>
      </w:r>
      <w:r w:rsidR="00F72C9D">
        <w:t>’Italia</w:t>
      </w:r>
      <w:r w:rsidR="00612D3F">
        <w:t xml:space="preserve"> risulta essere </w:t>
      </w:r>
      <w:r w:rsidR="00F72C9D">
        <w:t>il</w:t>
      </w:r>
      <w:r w:rsidR="00CB0C06">
        <w:t xml:space="preserve"> Paese </w:t>
      </w:r>
      <w:r w:rsidR="00F72C9D">
        <w:t>“più vecchio del mondo”</w:t>
      </w:r>
      <w:r w:rsidR="00F76D9C">
        <w:t>,</w:t>
      </w:r>
      <w:r w:rsidR="00F72C9D">
        <w:t xml:space="preserve"> </w:t>
      </w:r>
      <w:r w:rsidR="00CB0C06">
        <w:t xml:space="preserve">insieme a </w:t>
      </w:r>
      <w:r w:rsidR="008A740E">
        <w:t>Germania e Giappone</w:t>
      </w:r>
      <w:r w:rsidR="00F76D9C">
        <w:t xml:space="preserve">. Ma invecchiare non basta, </w:t>
      </w:r>
      <w:r w:rsidR="00E22BB4">
        <w:t xml:space="preserve">è necessario agire per </w:t>
      </w:r>
      <w:r w:rsidR="0094440A" w:rsidRPr="00F42511">
        <w:t>permettere all’individuo di godere della propria vecchi</w:t>
      </w:r>
      <w:r w:rsidR="001979DD">
        <w:t>a</w:t>
      </w:r>
      <w:r w:rsidR="00E76864">
        <w:t>ia in modo pieno e consapevole. A</w:t>
      </w:r>
      <w:r w:rsidR="001979DD">
        <w:t xml:space="preserve"> partire dalla prevenzione </w:t>
      </w:r>
      <w:r w:rsidR="00BB66D6">
        <w:t>d</w:t>
      </w:r>
      <w:r w:rsidR="00E76864">
        <w:t>i quei</w:t>
      </w:r>
      <w:r w:rsidR="004F119A">
        <w:t xml:space="preserve"> fattori, ivi comprese le</w:t>
      </w:r>
      <w:r w:rsidR="00E76864">
        <w:t xml:space="preserve"> malattie infettive, </w:t>
      </w:r>
      <w:r w:rsidR="001979DD">
        <w:t xml:space="preserve">che possono far precipitare </w:t>
      </w:r>
      <w:r w:rsidR="0024341A">
        <w:t>l</w:t>
      </w:r>
      <w:r w:rsidR="00E76864">
        <w:t>a</w:t>
      </w:r>
      <w:r w:rsidR="001979DD">
        <w:t xml:space="preserve"> condizione di fragilità dell’anziano</w:t>
      </w:r>
      <w:r w:rsidR="00BB66D6">
        <w:t xml:space="preserve">. </w:t>
      </w:r>
      <w:r w:rsidR="00447CFF">
        <w:t>Di questo si è discusso oggi</w:t>
      </w:r>
      <w:r w:rsidR="00BB66D6">
        <w:t xml:space="preserve"> </w:t>
      </w:r>
      <w:r w:rsidR="00E76864">
        <w:t>a</w:t>
      </w:r>
      <w:r w:rsidR="00BB66D6">
        <w:t>l Ministero della Salute,</w:t>
      </w:r>
      <w:r w:rsidR="00447CFF">
        <w:t xml:space="preserve"> nell’ambito del convegno </w:t>
      </w:r>
      <w:r w:rsidR="00447CFF" w:rsidRPr="00BB66D6">
        <w:rPr>
          <w:i/>
        </w:rPr>
        <w:t>“La longevità nasce dalla prevenzione. Il contributo della vaccinazione per la salute dell’anziano”</w:t>
      </w:r>
      <w:r w:rsidR="00447CFF">
        <w:t xml:space="preserve">, promosso da </w:t>
      </w:r>
      <w:r w:rsidR="00447CFF" w:rsidRPr="00E76864">
        <w:rPr>
          <w:b/>
        </w:rPr>
        <w:t>Italia Longeva</w:t>
      </w:r>
      <w:r w:rsidR="00447CFF">
        <w:t>,</w:t>
      </w:r>
      <w:r w:rsidR="00BB66D6">
        <w:t xml:space="preserve"> la rete nazionale di ricerca sull’invecchiamento e la longevità attiva, istituita dal Ministero della Salute con la Regione Marche e l’</w:t>
      </w:r>
      <w:r w:rsidR="00E22BB4">
        <w:t xml:space="preserve">IRCCS </w:t>
      </w:r>
      <w:r w:rsidR="00331870">
        <w:t xml:space="preserve">INRCA - </w:t>
      </w:r>
      <w:r w:rsidR="00BB66D6" w:rsidRPr="00BB66D6">
        <w:t>Istituto Nazionale Ricerca e Cura Anziani</w:t>
      </w:r>
      <w:r w:rsidR="00E76864">
        <w:t>.</w:t>
      </w:r>
    </w:p>
    <w:p w:rsidR="00DD0B27" w:rsidRPr="00DD0B27" w:rsidRDefault="00DD0B27" w:rsidP="00F42511">
      <w:pPr>
        <w:spacing w:after="0"/>
        <w:jc w:val="both"/>
        <w:rPr>
          <w:sz w:val="10"/>
          <w:szCs w:val="10"/>
        </w:rPr>
      </w:pPr>
    </w:p>
    <w:p w:rsidR="00E22BB4" w:rsidRDefault="00720B6E" w:rsidP="00F42511">
      <w:pPr>
        <w:spacing w:after="0"/>
        <w:jc w:val="both"/>
      </w:pPr>
      <w:r>
        <w:t xml:space="preserve">L’età rappresenta di per sé fattore di rischio, </w:t>
      </w:r>
      <w:r w:rsidR="008D0B49">
        <w:t>per via</w:t>
      </w:r>
      <w:r>
        <w:t xml:space="preserve"> del fisiologico decli</w:t>
      </w:r>
      <w:r w:rsidR="006532A2">
        <w:t xml:space="preserve">no delle funzioni di difesa del </w:t>
      </w:r>
      <w:r>
        <w:t xml:space="preserve">sistema immunitario, </w:t>
      </w:r>
      <w:r w:rsidR="008D0B49">
        <w:t xml:space="preserve">oltre ad associarsi inevitabilmente </w:t>
      </w:r>
      <w:r w:rsidR="00E22BB4">
        <w:t>a un aumento delle comorbidità</w:t>
      </w:r>
      <w:r w:rsidR="008D0B49" w:rsidRPr="004825D2">
        <w:t>.</w:t>
      </w:r>
      <w:r w:rsidR="00E22BB4">
        <w:t xml:space="preserve"> </w:t>
      </w:r>
      <w:r w:rsidR="00AF51C5">
        <w:rPr>
          <w:i/>
        </w:rPr>
        <w:t>“Esistono</w:t>
      </w:r>
      <w:r w:rsidR="00AF51C5" w:rsidRPr="00AF51C5">
        <w:rPr>
          <w:i/>
        </w:rPr>
        <w:t xml:space="preserve"> </w:t>
      </w:r>
      <w:r w:rsidR="00AA2C2E">
        <w:rPr>
          <w:i/>
        </w:rPr>
        <w:t>semplici regole di</w:t>
      </w:r>
      <w:r w:rsidR="00AF51C5" w:rsidRPr="00AF51C5">
        <w:rPr>
          <w:i/>
        </w:rPr>
        <w:t xml:space="preserve"> vita quotidiana</w:t>
      </w:r>
      <w:r w:rsidR="00AA2C2E">
        <w:rPr>
          <w:i/>
        </w:rPr>
        <w:t xml:space="preserve">, dal </w:t>
      </w:r>
      <w:r w:rsidR="00AF51C5" w:rsidRPr="00AF51C5">
        <w:rPr>
          <w:i/>
        </w:rPr>
        <w:t>prestare attenzione allo stile di vita,</w:t>
      </w:r>
      <w:r w:rsidR="00AA2C2E">
        <w:rPr>
          <w:i/>
        </w:rPr>
        <w:t xml:space="preserve"> ad </w:t>
      </w:r>
      <w:r w:rsidR="00AF51C5" w:rsidRPr="00AF51C5">
        <w:rPr>
          <w:i/>
        </w:rPr>
        <w:t>avere uno scopo</w:t>
      </w:r>
      <w:r w:rsidR="00AA2C2E">
        <w:rPr>
          <w:i/>
        </w:rPr>
        <w:t xml:space="preserve"> e mantenere una rete sociale, che insieme </w:t>
      </w:r>
      <w:r w:rsidR="00AF51C5" w:rsidRPr="00AF51C5">
        <w:rPr>
          <w:i/>
        </w:rPr>
        <w:t>a un altro importante strumento</w:t>
      </w:r>
      <w:r w:rsidR="00AA2C2E">
        <w:rPr>
          <w:i/>
        </w:rPr>
        <w:t xml:space="preserve">, </w:t>
      </w:r>
      <w:r w:rsidR="00AF51C5" w:rsidRPr="00AF51C5">
        <w:rPr>
          <w:i/>
        </w:rPr>
        <w:t>la prevenzion</w:t>
      </w:r>
      <w:r w:rsidR="004F119A">
        <w:rPr>
          <w:i/>
        </w:rPr>
        <w:t>e,</w:t>
      </w:r>
      <w:r w:rsidR="00AF51C5" w:rsidRPr="00AF51C5">
        <w:rPr>
          <w:i/>
        </w:rPr>
        <w:t xml:space="preserve"> poss</w:t>
      </w:r>
      <w:r w:rsidR="00AA2C2E">
        <w:rPr>
          <w:i/>
        </w:rPr>
        <w:t>o</w:t>
      </w:r>
      <w:r w:rsidR="00AF51C5" w:rsidRPr="00AF51C5">
        <w:rPr>
          <w:i/>
        </w:rPr>
        <w:t>no garantire anni di buona salute, vita attiva e rapporti umani gratificanti</w:t>
      </w:r>
      <w:r w:rsidR="00C4386D">
        <w:rPr>
          <w:i/>
        </w:rPr>
        <w:t xml:space="preserve">. In particolare, </w:t>
      </w:r>
      <w:r w:rsidR="00C4386D" w:rsidRPr="00C4386D">
        <w:rPr>
          <w:i/>
        </w:rPr>
        <w:t>vaccinare significa prevenire o ridurre ad un minimo costo la presenza di condizioni croniche, di alto impatto sulla mortalità e sulla qualità di vita dell’anziano</w:t>
      </w:r>
      <w:r w:rsidR="00AA2C2E">
        <w:rPr>
          <w:i/>
        </w:rPr>
        <w:t xml:space="preserve">”, </w:t>
      </w:r>
      <w:r w:rsidR="00AA2C2E">
        <w:t xml:space="preserve">ha dichiarato </w:t>
      </w:r>
      <w:r w:rsidR="00AA2C2E" w:rsidRPr="00AA2C2E">
        <w:rPr>
          <w:b/>
        </w:rPr>
        <w:t>Roberto Bernabei, Presidente di Italia Longeva</w:t>
      </w:r>
      <w:r w:rsidR="00AF51C5" w:rsidRPr="00AA2C2E">
        <w:rPr>
          <w:i/>
        </w:rPr>
        <w:t>.</w:t>
      </w:r>
      <w:r w:rsidR="00AA2C2E">
        <w:rPr>
          <w:i/>
        </w:rPr>
        <w:t xml:space="preserve"> </w:t>
      </w:r>
    </w:p>
    <w:p w:rsidR="00E22BB4" w:rsidRPr="00E22BB4" w:rsidRDefault="00E22BB4" w:rsidP="00F42511">
      <w:pPr>
        <w:spacing w:after="0"/>
        <w:jc w:val="both"/>
        <w:rPr>
          <w:sz w:val="10"/>
          <w:szCs w:val="10"/>
        </w:rPr>
      </w:pPr>
    </w:p>
    <w:p w:rsidR="00737E3A" w:rsidRDefault="00867DFD" w:rsidP="00F42511">
      <w:pPr>
        <w:spacing w:after="0"/>
        <w:jc w:val="both"/>
      </w:pPr>
      <w:r>
        <w:t>In Italia</w:t>
      </w:r>
      <w:r w:rsidR="00F9266C">
        <w:t xml:space="preserve"> l’</w:t>
      </w:r>
      <w:r w:rsidR="00F9266C" w:rsidRPr="00867DFD">
        <w:rPr>
          <w:b/>
        </w:rPr>
        <w:t>influenza</w:t>
      </w:r>
      <w:r w:rsidR="00F9266C">
        <w:t xml:space="preserve"> è ancora oggi la terza causa di morte per patologia infettiva dopo AIDS e tubercolosi</w:t>
      </w:r>
      <w:r w:rsidR="003C77B7">
        <w:t>. Ogni anno vengono colpit</w:t>
      </w:r>
      <w:r w:rsidR="006532A2">
        <w:t>e</w:t>
      </w:r>
      <w:r w:rsidR="00CB3F92">
        <w:t xml:space="preserve"> in media</w:t>
      </w:r>
      <w:r w:rsidR="003C77B7">
        <w:t xml:space="preserve"> </w:t>
      </w:r>
      <w:r w:rsidR="00CB3F92">
        <w:rPr>
          <w:b/>
        </w:rPr>
        <w:t>4</w:t>
      </w:r>
      <w:r w:rsidR="003C77B7" w:rsidRPr="003C77B7">
        <w:rPr>
          <w:b/>
        </w:rPr>
        <w:t xml:space="preserve"> milioni</w:t>
      </w:r>
      <w:r w:rsidR="00566F4B">
        <w:t xml:space="preserve"> di persone. N</w:t>
      </w:r>
      <w:r w:rsidR="00737E3A">
        <w:t>egli anziani</w:t>
      </w:r>
      <w:r w:rsidR="007651EF">
        <w:t xml:space="preserve"> la malattia può </w:t>
      </w:r>
      <w:r w:rsidR="00CB3F92">
        <w:t xml:space="preserve">causare </w:t>
      </w:r>
      <w:r w:rsidR="007651EF">
        <w:t>complicanze tali da rendere necessario il ricovero ospedaliero</w:t>
      </w:r>
      <w:r w:rsidR="00CB3F92">
        <w:t xml:space="preserve">, </w:t>
      </w:r>
      <w:r w:rsidR="007651EF">
        <w:t xml:space="preserve">portare alla perdita dell’autosufficienza </w:t>
      </w:r>
      <w:r w:rsidR="00CB3F92">
        <w:t>e, in casi estremi, alla morte</w:t>
      </w:r>
      <w:r w:rsidR="007651EF">
        <w:t xml:space="preserve">. </w:t>
      </w:r>
      <w:r>
        <w:t>S</w:t>
      </w:r>
      <w:r w:rsidR="00CB3F92">
        <w:t xml:space="preserve">ono </w:t>
      </w:r>
      <w:r w:rsidR="003C77B7">
        <w:t xml:space="preserve">circa </w:t>
      </w:r>
      <w:r w:rsidR="003C77B7" w:rsidRPr="00F9266C">
        <w:rPr>
          <w:b/>
        </w:rPr>
        <w:t>8.000</w:t>
      </w:r>
      <w:r w:rsidR="003C77B7">
        <w:t xml:space="preserve"> </w:t>
      </w:r>
      <w:r w:rsidR="00CB3F92">
        <w:t xml:space="preserve">all’anno </w:t>
      </w:r>
      <w:r>
        <w:t xml:space="preserve">i </w:t>
      </w:r>
      <w:r w:rsidR="003C77B7">
        <w:t>decessi</w:t>
      </w:r>
      <w:r>
        <w:t xml:space="preserve"> </w:t>
      </w:r>
      <w:r w:rsidR="00CB3F92">
        <w:t>correlabili all’influenza</w:t>
      </w:r>
      <w:r w:rsidR="00F9266C">
        <w:t>, di cui l'</w:t>
      </w:r>
      <w:r w:rsidR="00F9266C" w:rsidRPr="00F9266C">
        <w:rPr>
          <w:b/>
        </w:rPr>
        <w:t xml:space="preserve">80% </w:t>
      </w:r>
      <w:r w:rsidR="00E22BB4">
        <w:t>è rappresentato da anziani</w:t>
      </w:r>
      <w:r w:rsidR="007651EF">
        <w:t xml:space="preserve">. </w:t>
      </w:r>
      <w:r>
        <w:t xml:space="preserve">Alti tassi di mortalità si registrano anche per la </w:t>
      </w:r>
      <w:r w:rsidRPr="005F455F">
        <w:rPr>
          <w:b/>
        </w:rPr>
        <w:t>polmonite pneumococcica</w:t>
      </w:r>
      <w:r w:rsidR="005F455F">
        <w:t xml:space="preserve">, </w:t>
      </w:r>
      <w:r w:rsidR="00CB3F92">
        <w:t>ca</w:t>
      </w:r>
      <w:r w:rsidR="006532A2">
        <w:t xml:space="preserve">usa </w:t>
      </w:r>
      <w:r w:rsidR="00CB3F92">
        <w:t xml:space="preserve">del </w:t>
      </w:r>
      <w:r w:rsidR="00CB3F92" w:rsidRPr="00CB3F92">
        <w:rPr>
          <w:b/>
        </w:rPr>
        <w:t xml:space="preserve">2% </w:t>
      </w:r>
      <w:r w:rsidR="00CB3F92">
        <w:t xml:space="preserve">dei ricoveri ospedalieri con degenza superiore ai 10 giorni in Europa. </w:t>
      </w:r>
      <w:r w:rsidR="005F455F">
        <w:t>Secondo i dati Istat</w:t>
      </w:r>
      <w:r w:rsidR="006532A2">
        <w:t>,</w:t>
      </w:r>
      <w:r w:rsidR="005F455F">
        <w:t xml:space="preserve"> nel 2012 in Italia sono morte oltre </w:t>
      </w:r>
      <w:r w:rsidR="005F455F" w:rsidRPr="005F455F">
        <w:rPr>
          <w:b/>
        </w:rPr>
        <w:t>9.200</w:t>
      </w:r>
      <w:r w:rsidR="005F455F">
        <w:t xml:space="preserve"> persone con più di 65 anni a causa dell’infezione; oltre </w:t>
      </w:r>
      <w:r w:rsidR="005F455F" w:rsidRPr="00CB3F92">
        <w:rPr>
          <w:b/>
        </w:rPr>
        <w:t>100.000</w:t>
      </w:r>
      <w:r w:rsidR="005F455F">
        <w:t xml:space="preserve"> sono stati gli anziani dimessi per polmonite in seguito a ricovero ospedaliero.</w:t>
      </w:r>
      <w:r w:rsidR="00B34A1C">
        <w:t xml:space="preserve"> Anche</w:t>
      </w:r>
      <w:r w:rsidR="005F455F">
        <w:t xml:space="preserve"> l</w:t>
      </w:r>
      <w:r w:rsidR="005F455F" w:rsidRPr="005F455F">
        <w:t>’</w:t>
      </w:r>
      <w:r w:rsidR="005F455F" w:rsidRPr="006532A2">
        <w:rPr>
          <w:b/>
        </w:rPr>
        <w:t>herpes zoster</w:t>
      </w:r>
      <w:r w:rsidR="005F455F" w:rsidRPr="005F455F">
        <w:t xml:space="preserve">, </w:t>
      </w:r>
      <w:r w:rsidR="00566F4B" w:rsidRPr="00566F4B">
        <w:rPr>
          <w:i/>
        </w:rPr>
        <w:t>alias</w:t>
      </w:r>
      <w:r w:rsidR="005F455F">
        <w:t xml:space="preserve"> “Fuoco di Sant’Antonio”, </w:t>
      </w:r>
      <w:r w:rsidR="00566F4B">
        <w:t xml:space="preserve">è </w:t>
      </w:r>
      <w:r w:rsidR="005F455F" w:rsidRPr="005F455F">
        <w:t xml:space="preserve">una patologia </w:t>
      </w:r>
      <w:r w:rsidR="00566F4B">
        <w:t>ad alto impatto sulla</w:t>
      </w:r>
      <w:r w:rsidR="005F455F">
        <w:t xml:space="preserve"> popolazione anziana</w:t>
      </w:r>
      <w:r w:rsidR="00B34A1C">
        <w:t xml:space="preserve">. </w:t>
      </w:r>
      <w:r w:rsidR="00566F4B">
        <w:t xml:space="preserve">È </w:t>
      </w:r>
      <w:r w:rsidR="006C7FE1">
        <w:t>destinat</w:t>
      </w:r>
      <w:r w:rsidR="006532A2">
        <w:t>a</w:t>
      </w:r>
      <w:r w:rsidR="006C7FE1">
        <w:t xml:space="preserve"> a soffrir</w:t>
      </w:r>
      <w:r w:rsidR="00B34A1C">
        <w:t>n</w:t>
      </w:r>
      <w:r w:rsidR="006C7FE1">
        <w:t xml:space="preserve">e nel corso della </w:t>
      </w:r>
      <w:r w:rsidR="006532A2">
        <w:t xml:space="preserve">propria </w:t>
      </w:r>
      <w:r w:rsidR="006C7FE1">
        <w:t>vita c</w:t>
      </w:r>
      <w:r w:rsidR="006C7FE1" w:rsidRPr="006C7FE1">
        <w:t xml:space="preserve">irca </w:t>
      </w:r>
      <w:r w:rsidR="006C7FE1" w:rsidRPr="006C7FE1">
        <w:rPr>
          <w:b/>
        </w:rPr>
        <w:t>1 persona su 4</w:t>
      </w:r>
      <w:r w:rsidR="006C7FE1" w:rsidRPr="006C7FE1">
        <w:t xml:space="preserve">, in </w:t>
      </w:r>
      <w:r w:rsidR="006C7FE1" w:rsidRPr="006C7FE1">
        <w:rPr>
          <w:b/>
        </w:rPr>
        <w:t>2 casi su 3</w:t>
      </w:r>
      <w:r w:rsidR="006C7FE1" w:rsidRPr="006C7FE1">
        <w:t xml:space="preserve"> dopo i </w:t>
      </w:r>
      <w:r w:rsidR="006C7FE1" w:rsidRPr="006C7FE1">
        <w:rPr>
          <w:b/>
        </w:rPr>
        <w:t>50 anni</w:t>
      </w:r>
      <w:r w:rsidR="006C7FE1" w:rsidRPr="006C7FE1">
        <w:t xml:space="preserve">. </w:t>
      </w:r>
      <w:r w:rsidR="006C7FE1">
        <w:t xml:space="preserve">L’infezione, causata dalla riattivazione del virus della </w:t>
      </w:r>
      <w:r w:rsidR="008B472F">
        <w:t>v</w:t>
      </w:r>
      <w:r w:rsidR="006C7FE1">
        <w:t xml:space="preserve">aricella contratto da bambini, </w:t>
      </w:r>
      <w:r w:rsidR="006C7FE1" w:rsidRPr="006C7FE1">
        <w:t xml:space="preserve">colpisce ogni anno oltre </w:t>
      </w:r>
      <w:r w:rsidR="006C7FE1" w:rsidRPr="006C7FE1">
        <w:rPr>
          <w:b/>
        </w:rPr>
        <w:t>1,7 milioni</w:t>
      </w:r>
      <w:r w:rsidR="006C7FE1" w:rsidRPr="006C7FE1">
        <w:t xml:space="preserve"> di persone in Europa, circa </w:t>
      </w:r>
      <w:r w:rsidR="006C7FE1" w:rsidRPr="006C7FE1">
        <w:rPr>
          <w:b/>
        </w:rPr>
        <w:t>157.000</w:t>
      </w:r>
      <w:r w:rsidR="006C7FE1">
        <w:t xml:space="preserve"> in Italia. </w:t>
      </w:r>
      <w:r w:rsidR="006C7FE1" w:rsidRPr="006C7FE1">
        <w:t xml:space="preserve">Il </w:t>
      </w:r>
      <w:r w:rsidR="006C7FE1" w:rsidRPr="006C7FE1">
        <w:rPr>
          <w:b/>
        </w:rPr>
        <w:t>20-25%</w:t>
      </w:r>
      <w:r w:rsidR="006C7FE1" w:rsidRPr="006C7FE1">
        <w:t xml:space="preserve"> dei pazienti </w:t>
      </w:r>
      <w:r w:rsidR="00B34A1C" w:rsidRPr="006532A2">
        <w:rPr>
          <w:b/>
        </w:rPr>
        <w:t xml:space="preserve">over </w:t>
      </w:r>
      <w:r w:rsidR="006C7FE1" w:rsidRPr="006532A2">
        <w:rPr>
          <w:b/>
        </w:rPr>
        <w:t>50</w:t>
      </w:r>
      <w:r w:rsidR="006C7FE1" w:rsidRPr="006C7FE1">
        <w:t xml:space="preserve"> sviluppa </w:t>
      </w:r>
      <w:r w:rsidR="006C7FE1">
        <w:t>inoltre la sua complicanza più temibile, l</w:t>
      </w:r>
      <w:r w:rsidR="006C7FE1" w:rsidRPr="006C7FE1">
        <w:t xml:space="preserve">a </w:t>
      </w:r>
      <w:r w:rsidR="006C7FE1" w:rsidRPr="006532A2">
        <w:rPr>
          <w:b/>
        </w:rPr>
        <w:t>nevralgia post-erpetica</w:t>
      </w:r>
      <w:r w:rsidR="006C7FE1">
        <w:t xml:space="preserve">, </w:t>
      </w:r>
      <w:r w:rsidR="005B0D65">
        <w:t xml:space="preserve">un dolore neuropatico talmente forte e che può perdurare per anni, tale da impedire il proseguimento di una vita normale. </w:t>
      </w:r>
    </w:p>
    <w:p w:rsidR="00E22BB4" w:rsidRPr="00E22BB4" w:rsidRDefault="00E22BB4" w:rsidP="00F42511">
      <w:pPr>
        <w:spacing w:after="0"/>
        <w:jc w:val="both"/>
        <w:rPr>
          <w:sz w:val="10"/>
          <w:szCs w:val="10"/>
        </w:rPr>
      </w:pPr>
    </w:p>
    <w:p w:rsidR="00E22BB4" w:rsidRDefault="00E22BB4" w:rsidP="00E22BB4">
      <w:pPr>
        <w:spacing w:after="0"/>
        <w:jc w:val="both"/>
      </w:pPr>
      <w:r>
        <w:t>Secondo un’indagine realizzata dal Censis, la popolazione anziana ha una conoscenza piuttosto imprecisa delle vaccinazioni come strumento di prevenzione di molte malattie, di cui proprio l’età avanzata rappresenta un fattore di rischio.</w:t>
      </w:r>
      <w:r w:rsidR="00D14266">
        <w:t xml:space="preserve"> </w:t>
      </w:r>
      <w:r w:rsidR="00D14266" w:rsidRPr="00DB732E">
        <w:t xml:space="preserve">Dagli ultimi dati disponibili per la stagione antinfluenzale 2013-2014, </w:t>
      </w:r>
      <w:r w:rsidR="00D14266" w:rsidRPr="00DB732E">
        <w:lastRenderedPageBreak/>
        <w:t xml:space="preserve">risulta infatti che solo il </w:t>
      </w:r>
      <w:r w:rsidR="00D14266" w:rsidRPr="00DB732E">
        <w:rPr>
          <w:b/>
        </w:rPr>
        <w:t>55,4%</w:t>
      </w:r>
      <w:r w:rsidR="00D14266" w:rsidRPr="00DB732E">
        <w:t xml:space="preserve"> della popolazione di età pari o superiore a 65 anni si è vaccinata, realizzando un tasso di copertura ben al di sotto degli obiettivi di sanità pubblica indicati da OMS e Consiglio Europeo, che sono del </w:t>
      </w:r>
      <w:r w:rsidR="00D14266" w:rsidRPr="00DB732E">
        <w:rPr>
          <w:b/>
        </w:rPr>
        <w:t>75%</w:t>
      </w:r>
      <w:r w:rsidR="00D14266" w:rsidRPr="00DB732E">
        <w:t xml:space="preserve"> come soglia minima e del </w:t>
      </w:r>
      <w:r w:rsidR="00D14266" w:rsidRPr="00DB732E">
        <w:rPr>
          <w:b/>
        </w:rPr>
        <w:t>95%</w:t>
      </w:r>
      <w:r w:rsidR="00D14266" w:rsidRPr="00DB732E">
        <w:t xml:space="preserve"> come soglia ottimale.</w:t>
      </w:r>
      <w:r w:rsidR="00D14266">
        <w:t xml:space="preserve"> Gli anziani sono poco interessati anche ad altre </w:t>
      </w:r>
      <w:r>
        <w:t>vaccinazioni</w:t>
      </w:r>
      <w:r w:rsidR="00D14266">
        <w:t>,</w:t>
      </w:r>
      <w:r>
        <w:t xml:space="preserve"> </w:t>
      </w:r>
      <w:r w:rsidR="00D14266">
        <w:t>ugualmente</w:t>
      </w:r>
      <w:r>
        <w:t xml:space="preserve"> importanti</w:t>
      </w:r>
      <w:r w:rsidR="00D14266">
        <w:t>,</w:t>
      </w:r>
      <w:r>
        <w:t xml:space="preserve"> come ad esempio quella contro la polmonite da pneumococco (lo è soltanto </w:t>
      </w:r>
      <w:r w:rsidRPr="00313783">
        <w:rPr>
          <w:b/>
        </w:rPr>
        <w:t>1 su 3</w:t>
      </w:r>
      <w:r>
        <w:t xml:space="preserve">). La scelta di vaccinarsi viene piuttosto presa di volta in volta e sulla scelta pesano diversi fattori tra cui la percezione del rischio e il livello di informazione. </w:t>
      </w:r>
      <w:r w:rsidRPr="00313783">
        <w:rPr>
          <w:i/>
        </w:rPr>
        <w:t>“Il problema principale è pro</w:t>
      </w:r>
      <w:r>
        <w:rPr>
          <w:i/>
        </w:rPr>
        <w:t xml:space="preserve">prio la percezione del rischio – </w:t>
      </w:r>
      <w:r>
        <w:t xml:space="preserve">ha affermato </w:t>
      </w:r>
      <w:r>
        <w:rPr>
          <w:b/>
        </w:rPr>
        <w:t>Ketty Vaccaro, R</w:t>
      </w:r>
      <w:r w:rsidRPr="00313783">
        <w:rPr>
          <w:b/>
        </w:rPr>
        <w:t>esponsabile del settore Welfare e Salute del Censis</w:t>
      </w:r>
      <w:r>
        <w:rPr>
          <w:b/>
        </w:rPr>
        <w:t xml:space="preserve">. </w:t>
      </w:r>
      <w:r w:rsidRPr="00566F4B">
        <w:rPr>
          <w:i/>
        </w:rPr>
        <w:t xml:space="preserve">Se l’età è quasi un fattore soggettivo e l’informazione è spesso insufficiente, se non confusa e contraddittoria, </w:t>
      </w:r>
      <w:r>
        <w:rPr>
          <w:i/>
        </w:rPr>
        <w:t>sono</w:t>
      </w:r>
      <w:r w:rsidRPr="00566F4B">
        <w:rPr>
          <w:i/>
        </w:rPr>
        <w:t xml:space="preserve"> il consiglio del medico curante (</w:t>
      </w:r>
      <w:r>
        <w:rPr>
          <w:i/>
        </w:rPr>
        <w:t>per</w:t>
      </w:r>
      <w:r w:rsidRPr="00566F4B">
        <w:rPr>
          <w:i/>
        </w:rPr>
        <w:t xml:space="preserve"> il </w:t>
      </w:r>
      <w:r w:rsidRPr="00566F4B">
        <w:rPr>
          <w:b/>
          <w:i/>
        </w:rPr>
        <w:t>45,1%</w:t>
      </w:r>
      <w:r w:rsidRPr="00566F4B">
        <w:rPr>
          <w:i/>
        </w:rPr>
        <w:t xml:space="preserve"> del campione)</w:t>
      </w:r>
      <w:r>
        <w:rPr>
          <w:i/>
        </w:rPr>
        <w:t xml:space="preserve"> e la</w:t>
      </w:r>
      <w:r w:rsidRPr="00566F4B">
        <w:rPr>
          <w:i/>
        </w:rPr>
        <w:t xml:space="preserve"> familiarità con questa forma di prevenzione acquisita tramite la vaccinazione contro l’influenza, </w:t>
      </w:r>
      <w:r>
        <w:rPr>
          <w:i/>
        </w:rPr>
        <w:t>i</w:t>
      </w:r>
      <w:r w:rsidRPr="00566F4B">
        <w:rPr>
          <w:i/>
        </w:rPr>
        <w:t xml:space="preserve"> fattor</w:t>
      </w:r>
      <w:r>
        <w:rPr>
          <w:i/>
        </w:rPr>
        <w:t>i</w:t>
      </w:r>
      <w:r w:rsidRPr="00566F4B">
        <w:rPr>
          <w:i/>
        </w:rPr>
        <w:t xml:space="preserve"> in grado di incidere sull’interesse e lo sviluppo della vaccinazione tra gli anziani</w:t>
      </w:r>
      <w:r>
        <w:rPr>
          <w:i/>
        </w:rPr>
        <w:t>”</w:t>
      </w:r>
      <w:r w:rsidRPr="00566F4B">
        <w:rPr>
          <w:i/>
        </w:rPr>
        <w:t>.</w:t>
      </w:r>
      <w:r>
        <w:t xml:space="preserve"> </w:t>
      </w:r>
    </w:p>
    <w:p w:rsidR="00313783" w:rsidRPr="00566F4B" w:rsidRDefault="00313783" w:rsidP="00737E3A">
      <w:pPr>
        <w:spacing w:after="0"/>
        <w:jc w:val="both"/>
        <w:rPr>
          <w:sz w:val="10"/>
          <w:szCs w:val="10"/>
        </w:rPr>
      </w:pPr>
    </w:p>
    <w:p w:rsidR="000C0E51" w:rsidRPr="000C0E51" w:rsidRDefault="00961D3F" w:rsidP="00737E3A">
      <w:pPr>
        <w:spacing w:after="0"/>
        <w:jc w:val="both"/>
        <w:rPr>
          <w:b/>
        </w:rPr>
      </w:pPr>
      <w:r w:rsidRPr="00961D3F">
        <w:rPr>
          <w:i/>
        </w:rPr>
        <w:t>“La vaccinazione rimane lo strumento più efficace per la prevenzione delle malattie infettive</w:t>
      </w:r>
      <w:r>
        <w:rPr>
          <w:i/>
        </w:rPr>
        <w:t xml:space="preserve">. È pertanto </w:t>
      </w:r>
      <w:r w:rsidRPr="00961D3F">
        <w:rPr>
          <w:i/>
        </w:rPr>
        <w:t xml:space="preserve">importante </w:t>
      </w:r>
      <w:r>
        <w:rPr>
          <w:i/>
        </w:rPr>
        <w:t xml:space="preserve">combattere le resistenze ideologiche e fare corretta informazione ai cittadini, sottolineando che </w:t>
      </w:r>
      <w:r w:rsidR="000C0E51">
        <w:rPr>
          <w:i/>
        </w:rPr>
        <w:t xml:space="preserve">la vaccinazione </w:t>
      </w:r>
      <w:r>
        <w:rPr>
          <w:i/>
        </w:rPr>
        <w:t>rappresenta una risorsa, non una minaccia, che contribuisce a guadagnare anni in buona salute.</w:t>
      </w:r>
      <w:r w:rsidR="000C0E51">
        <w:rPr>
          <w:i/>
        </w:rPr>
        <w:t xml:space="preserve"> I malintesi comunicativi concorrono a determinare un calo delle vaccinazioni, osservabile ad esempio nel caso della vaccinazione anti-influenzale, mai così bassa come negli ultimi anni (</w:t>
      </w:r>
      <w:r w:rsidR="000C0E51" w:rsidRPr="000C0E51">
        <w:rPr>
          <w:b/>
          <w:i/>
        </w:rPr>
        <w:t>-20-30%</w:t>
      </w:r>
      <w:r w:rsidR="000C0E51">
        <w:rPr>
          <w:i/>
        </w:rPr>
        <w:t xml:space="preserve">)”, </w:t>
      </w:r>
      <w:r w:rsidR="000C0E51" w:rsidRPr="000C0E51">
        <w:t xml:space="preserve">ha dichiarato </w:t>
      </w:r>
      <w:r w:rsidR="000C0E51">
        <w:rPr>
          <w:b/>
        </w:rPr>
        <w:t xml:space="preserve">Walter Ricciardi, </w:t>
      </w:r>
      <w:r w:rsidR="000C0E51" w:rsidRPr="000C0E51">
        <w:rPr>
          <w:b/>
        </w:rPr>
        <w:t>Professore di Igiene</w:t>
      </w:r>
      <w:r w:rsidR="000C0E51">
        <w:rPr>
          <w:b/>
        </w:rPr>
        <w:t xml:space="preserve"> dell’</w:t>
      </w:r>
      <w:r w:rsidR="000C0E51" w:rsidRPr="000C0E51">
        <w:rPr>
          <w:b/>
        </w:rPr>
        <w:t>Università Cattolica del Sacro Cuore</w:t>
      </w:r>
      <w:r w:rsidR="000C0E51">
        <w:rPr>
          <w:b/>
        </w:rPr>
        <w:t xml:space="preserve"> di</w:t>
      </w:r>
      <w:r w:rsidR="000C0E51" w:rsidRPr="000C0E51">
        <w:rPr>
          <w:b/>
        </w:rPr>
        <w:t xml:space="preserve"> Roma</w:t>
      </w:r>
      <w:r w:rsidR="000C0E51">
        <w:rPr>
          <w:b/>
        </w:rPr>
        <w:t>.</w:t>
      </w:r>
    </w:p>
    <w:p w:rsidR="000C0E51" w:rsidRPr="003A5375" w:rsidRDefault="000C0E51" w:rsidP="00737E3A">
      <w:pPr>
        <w:spacing w:after="0"/>
        <w:jc w:val="both"/>
        <w:rPr>
          <w:sz w:val="10"/>
          <w:szCs w:val="10"/>
        </w:rPr>
      </w:pPr>
    </w:p>
    <w:p w:rsidR="003A5375" w:rsidRDefault="000C0E51" w:rsidP="00737E3A">
      <w:pPr>
        <w:spacing w:after="0"/>
        <w:jc w:val="both"/>
        <w:rPr>
          <w:i/>
        </w:rPr>
      </w:pPr>
      <w:r w:rsidRPr="003A5375">
        <w:rPr>
          <w:i/>
        </w:rPr>
        <w:t>“</w:t>
      </w:r>
      <w:r w:rsidR="00737E3A" w:rsidRPr="003A5375">
        <w:rPr>
          <w:i/>
        </w:rPr>
        <w:t>Nonostante il peso delle malattie infettive sul</w:t>
      </w:r>
      <w:r w:rsidR="003A5375">
        <w:rPr>
          <w:i/>
        </w:rPr>
        <w:t>l</w:t>
      </w:r>
      <w:r w:rsidR="00737E3A" w:rsidRPr="003A5375">
        <w:rPr>
          <w:i/>
        </w:rPr>
        <w:t xml:space="preserve">a popolazione anziana, la vaccinazione </w:t>
      </w:r>
      <w:r w:rsidR="003A5375">
        <w:rPr>
          <w:i/>
        </w:rPr>
        <w:t xml:space="preserve">per questo target </w:t>
      </w:r>
      <w:r w:rsidR="003A5375" w:rsidRPr="003A5375">
        <w:rPr>
          <w:i/>
        </w:rPr>
        <w:t>non è considerata un intervento sanitario di routine</w:t>
      </w:r>
      <w:r w:rsidR="00E22BB4">
        <w:rPr>
          <w:i/>
        </w:rPr>
        <w:t xml:space="preserve"> e</w:t>
      </w:r>
      <w:r w:rsidR="003A5375">
        <w:rPr>
          <w:i/>
        </w:rPr>
        <w:t xml:space="preserve"> </w:t>
      </w:r>
      <w:r w:rsidR="003A5375" w:rsidRPr="003A5375">
        <w:rPr>
          <w:i/>
        </w:rPr>
        <w:t xml:space="preserve">risulta fortemente sottoutilizzata. Basti pensare che </w:t>
      </w:r>
      <w:bookmarkStart w:id="0" w:name="_GoBack"/>
      <w:bookmarkEnd w:id="0"/>
      <w:r w:rsidR="003A5375" w:rsidRPr="003A5375">
        <w:rPr>
          <w:i/>
        </w:rPr>
        <w:t xml:space="preserve">nel Piano Nazionale </w:t>
      </w:r>
      <w:r w:rsidR="003A5375">
        <w:rPr>
          <w:i/>
        </w:rPr>
        <w:t xml:space="preserve">di Prevenzione Vaccinale 2014, a fronte di un’offerta articolata per l’infanzia e l’adolescenza, vi è un’unica vaccinazione, quella anti-influenzale, raccomandata per gli ultra 65enni”, </w:t>
      </w:r>
      <w:r w:rsidR="003A5375" w:rsidRPr="003A5375">
        <w:t xml:space="preserve">ha aggiunto </w:t>
      </w:r>
      <w:r w:rsidR="003A5375" w:rsidRPr="003A5375">
        <w:rPr>
          <w:b/>
        </w:rPr>
        <w:t>Bernabei.</w:t>
      </w:r>
      <w:r w:rsidR="003A5375">
        <w:rPr>
          <w:i/>
        </w:rPr>
        <w:t xml:space="preserve"> </w:t>
      </w:r>
    </w:p>
    <w:p w:rsidR="003A5375" w:rsidRPr="008E002A" w:rsidRDefault="003A5375" w:rsidP="00737E3A">
      <w:pPr>
        <w:spacing w:after="0"/>
        <w:jc w:val="both"/>
        <w:rPr>
          <w:sz w:val="10"/>
          <w:szCs w:val="10"/>
        </w:rPr>
      </w:pPr>
    </w:p>
    <w:p w:rsidR="006902B3" w:rsidRDefault="008E002A" w:rsidP="00D14266">
      <w:pPr>
        <w:spacing w:after="0"/>
        <w:jc w:val="both"/>
      </w:pPr>
      <w:r w:rsidRPr="008E002A">
        <w:rPr>
          <w:i/>
        </w:rPr>
        <w:t xml:space="preserve">“L’invecchiamento rappresenta </w:t>
      </w:r>
      <w:r w:rsidR="00F559A6">
        <w:rPr>
          <w:i/>
        </w:rPr>
        <w:t xml:space="preserve">anche </w:t>
      </w:r>
      <w:r w:rsidRPr="008E002A">
        <w:rPr>
          <w:i/>
        </w:rPr>
        <w:t>una sfida economica</w:t>
      </w:r>
      <w:r w:rsidR="00F559A6">
        <w:rPr>
          <w:i/>
        </w:rPr>
        <w:t xml:space="preserve"> </w:t>
      </w:r>
      <w:r w:rsidRPr="008E002A">
        <w:rPr>
          <w:i/>
        </w:rPr>
        <w:t>che le società si tro</w:t>
      </w:r>
      <w:r>
        <w:rPr>
          <w:i/>
        </w:rPr>
        <w:t xml:space="preserve">vano a dover fronteggiare oggi. In </w:t>
      </w:r>
      <w:r w:rsidR="00F559A6">
        <w:rPr>
          <w:i/>
        </w:rPr>
        <w:t>aggiunta all’impatto sociale e sanitario, si devono infatti considerare i costi legati alla mancata vaccinazione</w:t>
      </w:r>
      <w:r w:rsidR="00E22BB4">
        <w:rPr>
          <w:i/>
        </w:rPr>
        <w:t>,</w:t>
      </w:r>
      <w:r w:rsidR="00F559A6">
        <w:rPr>
          <w:i/>
        </w:rPr>
        <w:t xml:space="preserve"> sia diretti (farmaci, ospedalizzazioni), che indiretti (assenteismo e perdita di produttività), ma anche quelli intangibili (sofferenza, dolore, riduzione della qualità di vita).</w:t>
      </w:r>
      <w:r w:rsidR="006902B3">
        <w:rPr>
          <w:i/>
        </w:rPr>
        <w:t xml:space="preserve"> </w:t>
      </w:r>
      <w:r w:rsidR="00F559A6">
        <w:rPr>
          <w:i/>
        </w:rPr>
        <w:t xml:space="preserve">Senza considerare che promuovere un invecchiamento attivo e in salute significa anche proteggere la fascia di popolazione che detiene la maggior quota di ricchezza nel nostro Paese”, </w:t>
      </w:r>
      <w:r w:rsidR="00F559A6" w:rsidRPr="00F559A6">
        <w:t xml:space="preserve">ha dichiarato </w:t>
      </w:r>
      <w:r w:rsidR="00F559A6" w:rsidRPr="00F559A6">
        <w:rPr>
          <w:b/>
        </w:rPr>
        <w:t>Francesco Mennini, Professore di Economia Sanitaria dell’Università di Roma “Tor Vergata”.</w:t>
      </w:r>
      <w:r w:rsidR="00F559A6" w:rsidRPr="00F559A6">
        <w:t xml:space="preserve"> </w:t>
      </w:r>
      <w:r w:rsidR="00F559A6">
        <w:t>Gli</w:t>
      </w:r>
      <w:r w:rsidR="00F559A6" w:rsidRPr="00F559A6">
        <w:t xml:space="preserve"> </w:t>
      </w:r>
      <w:r w:rsidR="00F559A6" w:rsidRPr="004825D2">
        <w:rPr>
          <w:b/>
        </w:rPr>
        <w:t>over 70</w:t>
      </w:r>
      <w:r w:rsidR="00F559A6" w:rsidRPr="00F559A6">
        <w:t xml:space="preserve"> deteng</w:t>
      </w:r>
      <w:r w:rsidR="00F559A6">
        <w:t xml:space="preserve">ono infatti oltre il </w:t>
      </w:r>
      <w:r w:rsidR="00F559A6" w:rsidRPr="00F559A6">
        <w:rPr>
          <w:b/>
        </w:rPr>
        <w:t>34%</w:t>
      </w:r>
      <w:r w:rsidR="00F559A6">
        <w:t xml:space="preserve"> della ricchezza familiare totale in Italia, rappresentando una risorsa per il sistema Paese, che si fa carico di proprie politiche di</w:t>
      </w:r>
      <w:r w:rsidR="00F559A6" w:rsidRPr="004825D2">
        <w:rPr>
          <w:i/>
        </w:rPr>
        <w:t xml:space="preserve"> welfare</w:t>
      </w:r>
      <w:r w:rsidR="00F559A6">
        <w:t xml:space="preserve"> a carico di figli e nipoti, oltre che di se stessi.</w:t>
      </w:r>
      <w:r w:rsidR="006902B3">
        <w:t xml:space="preserve"> </w:t>
      </w:r>
      <w:r w:rsidR="006902B3" w:rsidRPr="00DB732E">
        <w:rPr>
          <w:i/>
        </w:rPr>
        <w:t>“Con coperture vaccinali più alte o con un abbassamento della soglia d’età da 65 a 60 anni, si potrebbero risparmiare centinaia di milioni di euro all’anno</w:t>
      </w:r>
      <w:r w:rsidR="004673D8" w:rsidRPr="00DB732E">
        <w:rPr>
          <w:i/>
        </w:rPr>
        <w:t xml:space="preserve">. </w:t>
      </w:r>
      <w:r w:rsidR="006902B3" w:rsidRPr="00DB732E">
        <w:rPr>
          <w:i/>
        </w:rPr>
        <w:t xml:space="preserve">Raggiungendo, ad esempio, </w:t>
      </w:r>
      <w:r w:rsidR="004673D8" w:rsidRPr="00DB732E">
        <w:rPr>
          <w:i/>
        </w:rPr>
        <w:t xml:space="preserve">un </w:t>
      </w:r>
      <w:r w:rsidR="006902B3" w:rsidRPr="00DB732E">
        <w:rPr>
          <w:i/>
        </w:rPr>
        <w:t>tass</w:t>
      </w:r>
      <w:r w:rsidR="004673D8" w:rsidRPr="00DB732E">
        <w:rPr>
          <w:i/>
        </w:rPr>
        <w:t>o</w:t>
      </w:r>
      <w:r w:rsidR="006902B3" w:rsidRPr="00DB732E">
        <w:rPr>
          <w:i/>
        </w:rPr>
        <w:t xml:space="preserve"> di copertura vaccinale </w:t>
      </w:r>
      <w:r w:rsidR="004673D8" w:rsidRPr="00DB732E">
        <w:rPr>
          <w:i/>
        </w:rPr>
        <w:t xml:space="preserve">per l’influenza </w:t>
      </w:r>
      <w:r w:rsidR="006902B3" w:rsidRPr="00DB732E">
        <w:rPr>
          <w:i/>
        </w:rPr>
        <w:t xml:space="preserve">del 75%, è stato stimato che in Europa si potrebbero risparmiare </w:t>
      </w:r>
      <w:r w:rsidR="006902B3" w:rsidRPr="00DB732E">
        <w:rPr>
          <w:b/>
          <w:i/>
        </w:rPr>
        <w:t>35.000</w:t>
      </w:r>
      <w:r w:rsidR="006902B3" w:rsidRPr="00DB732E">
        <w:rPr>
          <w:i/>
        </w:rPr>
        <w:t xml:space="preserve"> vite e </w:t>
      </w:r>
      <w:r w:rsidR="006902B3" w:rsidRPr="00DB732E">
        <w:rPr>
          <w:b/>
          <w:i/>
        </w:rPr>
        <w:t>438</w:t>
      </w:r>
      <w:r w:rsidR="006532A2">
        <w:rPr>
          <w:b/>
          <w:i/>
        </w:rPr>
        <w:t xml:space="preserve"> milioni</w:t>
      </w:r>
      <w:r w:rsidR="004673D8" w:rsidRPr="006532A2">
        <w:rPr>
          <w:b/>
          <w:i/>
        </w:rPr>
        <w:t xml:space="preserve"> di euro</w:t>
      </w:r>
      <w:r w:rsidR="004673D8" w:rsidRPr="00DB732E">
        <w:rPr>
          <w:i/>
        </w:rPr>
        <w:t xml:space="preserve"> ogni anno”,</w:t>
      </w:r>
      <w:r w:rsidR="004673D8" w:rsidRPr="00DB732E">
        <w:t xml:space="preserve"> ha concluso </w:t>
      </w:r>
      <w:r w:rsidR="004673D8" w:rsidRPr="00DB732E">
        <w:rPr>
          <w:b/>
        </w:rPr>
        <w:t>Mennini</w:t>
      </w:r>
      <w:r w:rsidR="004673D8" w:rsidRPr="00DB732E">
        <w:t>.</w:t>
      </w:r>
    </w:p>
    <w:p w:rsidR="00D14266" w:rsidRDefault="00D14266" w:rsidP="00D14266">
      <w:pPr>
        <w:spacing w:after="0"/>
        <w:jc w:val="both"/>
      </w:pPr>
    </w:p>
    <w:p w:rsidR="00F559A6" w:rsidRDefault="00F559A6" w:rsidP="00F42511">
      <w:pPr>
        <w:spacing w:after="0"/>
        <w:jc w:val="both"/>
      </w:pPr>
    </w:p>
    <w:p w:rsidR="00F559A6" w:rsidRDefault="00F559A6" w:rsidP="00F42511">
      <w:pPr>
        <w:spacing w:after="0"/>
        <w:jc w:val="both"/>
      </w:pPr>
    </w:p>
    <w:p w:rsidR="004C6D3F" w:rsidRDefault="004C6D3F" w:rsidP="00070B2B">
      <w:pPr>
        <w:autoSpaceDE w:val="0"/>
        <w:autoSpaceDN w:val="0"/>
        <w:adjustRightInd w:val="0"/>
        <w:spacing w:after="0"/>
        <w:contextualSpacing/>
        <w:jc w:val="both"/>
        <w:rPr>
          <w:rFonts w:cs="Arial"/>
          <w:color w:val="211D1E"/>
          <w:sz w:val="24"/>
          <w:szCs w:val="24"/>
        </w:rPr>
      </w:pPr>
    </w:p>
    <w:p w:rsidR="006532A2" w:rsidRDefault="006532A2" w:rsidP="004C6D3F">
      <w:pPr>
        <w:spacing w:after="0"/>
        <w:jc w:val="both"/>
        <w:rPr>
          <w:b/>
          <w:color w:val="262626"/>
        </w:rPr>
      </w:pPr>
    </w:p>
    <w:p w:rsidR="006532A2" w:rsidRDefault="006532A2" w:rsidP="004C6D3F">
      <w:pPr>
        <w:spacing w:after="0"/>
        <w:jc w:val="both"/>
        <w:rPr>
          <w:b/>
          <w:color w:val="262626"/>
        </w:rPr>
      </w:pPr>
    </w:p>
    <w:p w:rsidR="006532A2" w:rsidRDefault="006532A2" w:rsidP="004C6D3F">
      <w:pPr>
        <w:spacing w:after="0"/>
        <w:jc w:val="both"/>
        <w:rPr>
          <w:b/>
          <w:color w:val="262626"/>
        </w:rPr>
      </w:pPr>
    </w:p>
    <w:p w:rsidR="004C6D3F" w:rsidRPr="00D16C61" w:rsidRDefault="004C6D3F" w:rsidP="004C6D3F">
      <w:pPr>
        <w:spacing w:after="0"/>
        <w:jc w:val="both"/>
        <w:rPr>
          <w:b/>
          <w:color w:val="262626"/>
        </w:rPr>
      </w:pPr>
      <w:r w:rsidRPr="00D16C61">
        <w:rPr>
          <w:b/>
          <w:color w:val="262626"/>
        </w:rPr>
        <w:t>Ufficio stampa</w:t>
      </w:r>
    </w:p>
    <w:p w:rsidR="004C6D3F" w:rsidRDefault="004C6D3F" w:rsidP="004C6D3F">
      <w:pPr>
        <w:spacing w:after="0" w:line="240" w:lineRule="auto"/>
        <w:jc w:val="both"/>
        <w:rPr>
          <w:rFonts w:ascii="Calibri Light" w:hAnsi="Calibri Light"/>
          <w:bCs/>
          <w:color w:val="262626"/>
        </w:rPr>
      </w:pPr>
      <w:r w:rsidRPr="00D16C61">
        <w:rPr>
          <w:rFonts w:ascii="Calibri Light" w:hAnsi="Calibri Light"/>
          <w:bCs/>
          <w:noProof/>
          <w:color w:val="262626"/>
          <w:lang w:eastAsia="it-IT"/>
        </w:rPr>
        <w:drawing>
          <wp:inline distT="0" distB="0" distL="0" distR="0">
            <wp:extent cx="1600200" cy="1809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80975"/>
                    </a:xfrm>
                    <a:prstGeom prst="rect">
                      <a:avLst/>
                    </a:prstGeom>
                    <a:noFill/>
                    <a:ln>
                      <a:noFill/>
                    </a:ln>
                  </pic:spPr>
                </pic:pic>
              </a:graphicData>
            </a:graphic>
          </wp:inline>
        </w:drawing>
      </w:r>
    </w:p>
    <w:p w:rsidR="004C6D3F" w:rsidRPr="006902B3" w:rsidRDefault="004C6D3F" w:rsidP="004C6D3F">
      <w:pPr>
        <w:autoSpaceDE w:val="0"/>
        <w:autoSpaceDN w:val="0"/>
        <w:adjustRightInd w:val="0"/>
        <w:spacing w:after="0"/>
        <w:contextualSpacing/>
        <w:jc w:val="both"/>
        <w:rPr>
          <w:color w:val="262626"/>
        </w:rPr>
      </w:pPr>
      <w:r w:rsidRPr="00D16C61">
        <w:rPr>
          <w:color w:val="262626"/>
        </w:rPr>
        <w:t xml:space="preserve">Angela Del Giudice – </w:t>
      </w:r>
      <w:r>
        <w:rPr>
          <w:color w:val="262626"/>
        </w:rPr>
        <w:t>Tel. 02.20424936</w:t>
      </w:r>
      <w:r w:rsidRPr="00D16C61">
        <w:rPr>
          <w:color w:val="262626"/>
        </w:rPr>
        <w:t xml:space="preserve"> – Cell. 392.6858392 – E-mail </w:t>
      </w:r>
      <w:hyperlink r:id="rId10" w:history="1">
        <w:r w:rsidRPr="00D16C61">
          <w:rPr>
            <w:rStyle w:val="Collegamentoipertestuale"/>
          </w:rPr>
          <w:t>a.delgiudice@vrelations.it</w:t>
        </w:r>
      </w:hyperlink>
    </w:p>
    <w:sectPr w:rsidR="004C6D3F" w:rsidRPr="006902B3" w:rsidSect="00A15E35">
      <w:pgSz w:w="11906" w:h="16838"/>
      <w:pgMar w:top="1134" w:right="1191" w:bottom="1276" w:left="1191"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103" w:rsidRDefault="00CC5103" w:rsidP="00A41B8E">
      <w:pPr>
        <w:spacing w:after="0" w:line="240" w:lineRule="auto"/>
      </w:pPr>
      <w:r>
        <w:separator/>
      </w:r>
    </w:p>
  </w:endnote>
  <w:endnote w:type="continuationSeparator" w:id="0">
    <w:p w:rsidR="00CC5103" w:rsidRDefault="00CC5103" w:rsidP="00A4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oudyOlSt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103" w:rsidRDefault="00CC5103" w:rsidP="00A41B8E">
      <w:pPr>
        <w:spacing w:after="0" w:line="240" w:lineRule="auto"/>
      </w:pPr>
      <w:r>
        <w:separator/>
      </w:r>
    </w:p>
  </w:footnote>
  <w:footnote w:type="continuationSeparator" w:id="0">
    <w:p w:rsidR="00CC5103" w:rsidRDefault="00CC5103" w:rsidP="00A41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5690"/>
    <w:multiLevelType w:val="hybridMultilevel"/>
    <w:tmpl w:val="A64A10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8F50A4"/>
    <w:multiLevelType w:val="hybridMultilevel"/>
    <w:tmpl w:val="C95A31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C4C22"/>
    <w:multiLevelType w:val="hybridMultilevel"/>
    <w:tmpl w:val="02C496F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21090874"/>
    <w:multiLevelType w:val="hybridMultilevel"/>
    <w:tmpl w:val="18EC5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0E06A6"/>
    <w:multiLevelType w:val="hybridMultilevel"/>
    <w:tmpl w:val="795672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FE57CD"/>
    <w:multiLevelType w:val="hybridMultilevel"/>
    <w:tmpl w:val="35125D1E"/>
    <w:lvl w:ilvl="0" w:tplc="C43CCD84">
      <w:start w:val="1"/>
      <w:numFmt w:val="bullet"/>
      <w:lvlText w:val="•"/>
      <w:lvlJc w:val="left"/>
      <w:pPr>
        <w:tabs>
          <w:tab w:val="num" w:pos="720"/>
        </w:tabs>
        <w:ind w:left="720" w:hanging="360"/>
      </w:pPr>
      <w:rPr>
        <w:rFonts w:ascii="Arial" w:hAnsi="Arial" w:hint="default"/>
      </w:rPr>
    </w:lvl>
    <w:lvl w:ilvl="1" w:tplc="F404DF62" w:tentative="1">
      <w:start w:val="1"/>
      <w:numFmt w:val="bullet"/>
      <w:lvlText w:val="•"/>
      <w:lvlJc w:val="left"/>
      <w:pPr>
        <w:tabs>
          <w:tab w:val="num" w:pos="1440"/>
        </w:tabs>
        <w:ind w:left="1440" w:hanging="360"/>
      </w:pPr>
      <w:rPr>
        <w:rFonts w:ascii="Arial" w:hAnsi="Arial" w:hint="default"/>
      </w:rPr>
    </w:lvl>
    <w:lvl w:ilvl="2" w:tplc="66AC54C0" w:tentative="1">
      <w:start w:val="1"/>
      <w:numFmt w:val="bullet"/>
      <w:lvlText w:val="•"/>
      <w:lvlJc w:val="left"/>
      <w:pPr>
        <w:tabs>
          <w:tab w:val="num" w:pos="2160"/>
        </w:tabs>
        <w:ind w:left="2160" w:hanging="360"/>
      </w:pPr>
      <w:rPr>
        <w:rFonts w:ascii="Arial" w:hAnsi="Arial" w:hint="default"/>
      </w:rPr>
    </w:lvl>
    <w:lvl w:ilvl="3" w:tplc="A5ECC890" w:tentative="1">
      <w:start w:val="1"/>
      <w:numFmt w:val="bullet"/>
      <w:lvlText w:val="•"/>
      <w:lvlJc w:val="left"/>
      <w:pPr>
        <w:tabs>
          <w:tab w:val="num" w:pos="2880"/>
        </w:tabs>
        <w:ind w:left="2880" w:hanging="360"/>
      </w:pPr>
      <w:rPr>
        <w:rFonts w:ascii="Arial" w:hAnsi="Arial" w:hint="default"/>
      </w:rPr>
    </w:lvl>
    <w:lvl w:ilvl="4" w:tplc="BA747DC6" w:tentative="1">
      <w:start w:val="1"/>
      <w:numFmt w:val="bullet"/>
      <w:lvlText w:val="•"/>
      <w:lvlJc w:val="left"/>
      <w:pPr>
        <w:tabs>
          <w:tab w:val="num" w:pos="3600"/>
        </w:tabs>
        <w:ind w:left="3600" w:hanging="360"/>
      </w:pPr>
      <w:rPr>
        <w:rFonts w:ascii="Arial" w:hAnsi="Arial" w:hint="default"/>
      </w:rPr>
    </w:lvl>
    <w:lvl w:ilvl="5" w:tplc="81306EEE" w:tentative="1">
      <w:start w:val="1"/>
      <w:numFmt w:val="bullet"/>
      <w:lvlText w:val="•"/>
      <w:lvlJc w:val="left"/>
      <w:pPr>
        <w:tabs>
          <w:tab w:val="num" w:pos="4320"/>
        </w:tabs>
        <w:ind w:left="4320" w:hanging="360"/>
      </w:pPr>
      <w:rPr>
        <w:rFonts w:ascii="Arial" w:hAnsi="Arial" w:hint="default"/>
      </w:rPr>
    </w:lvl>
    <w:lvl w:ilvl="6" w:tplc="31724412" w:tentative="1">
      <w:start w:val="1"/>
      <w:numFmt w:val="bullet"/>
      <w:lvlText w:val="•"/>
      <w:lvlJc w:val="left"/>
      <w:pPr>
        <w:tabs>
          <w:tab w:val="num" w:pos="5040"/>
        </w:tabs>
        <w:ind w:left="5040" w:hanging="360"/>
      </w:pPr>
      <w:rPr>
        <w:rFonts w:ascii="Arial" w:hAnsi="Arial" w:hint="default"/>
      </w:rPr>
    </w:lvl>
    <w:lvl w:ilvl="7" w:tplc="E9B2F76C" w:tentative="1">
      <w:start w:val="1"/>
      <w:numFmt w:val="bullet"/>
      <w:lvlText w:val="•"/>
      <w:lvlJc w:val="left"/>
      <w:pPr>
        <w:tabs>
          <w:tab w:val="num" w:pos="5760"/>
        </w:tabs>
        <w:ind w:left="5760" w:hanging="360"/>
      </w:pPr>
      <w:rPr>
        <w:rFonts w:ascii="Arial" w:hAnsi="Arial" w:hint="default"/>
      </w:rPr>
    </w:lvl>
    <w:lvl w:ilvl="8" w:tplc="7F0456E8" w:tentative="1">
      <w:start w:val="1"/>
      <w:numFmt w:val="bullet"/>
      <w:lvlText w:val="•"/>
      <w:lvlJc w:val="left"/>
      <w:pPr>
        <w:tabs>
          <w:tab w:val="num" w:pos="6480"/>
        </w:tabs>
        <w:ind w:left="6480" w:hanging="360"/>
      </w:pPr>
      <w:rPr>
        <w:rFonts w:ascii="Arial" w:hAnsi="Arial" w:hint="default"/>
      </w:rPr>
    </w:lvl>
  </w:abstractNum>
  <w:abstractNum w:abstractNumId="6">
    <w:nsid w:val="2DB66188"/>
    <w:multiLevelType w:val="hybridMultilevel"/>
    <w:tmpl w:val="DBE447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440886"/>
    <w:multiLevelType w:val="hybridMultilevel"/>
    <w:tmpl w:val="4A040092"/>
    <w:lvl w:ilvl="0" w:tplc="04100005">
      <w:start w:val="1"/>
      <w:numFmt w:val="bullet"/>
      <w:lvlText w:val=""/>
      <w:lvlJc w:val="left"/>
      <w:pPr>
        <w:ind w:left="720" w:hanging="360"/>
      </w:pPr>
      <w:rPr>
        <w:rFonts w:ascii="Wingdings" w:hAnsi="Wingdings" w:hint="default"/>
      </w:rPr>
    </w:lvl>
    <w:lvl w:ilvl="1" w:tplc="5C2A114C">
      <w:numFmt w:val="bullet"/>
      <w:lvlText w:val="-"/>
      <w:lvlJc w:val="left"/>
      <w:pPr>
        <w:ind w:left="1440" w:hanging="360"/>
      </w:pPr>
      <w:rPr>
        <w:rFonts w:ascii="Calibri" w:eastAsiaTheme="minorHAnsi" w:hAnsi="Calibri" w:cs="HelveticaNeue-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EA4D66"/>
    <w:multiLevelType w:val="hybridMultilevel"/>
    <w:tmpl w:val="D3BC79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5951A73"/>
    <w:multiLevelType w:val="hybridMultilevel"/>
    <w:tmpl w:val="A76A27B6"/>
    <w:lvl w:ilvl="0" w:tplc="D4660328">
      <w:start w:val="1"/>
      <w:numFmt w:val="bullet"/>
      <w:lvlText w:val="•"/>
      <w:lvlJc w:val="left"/>
      <w:pPr>
        <w:tabs>
          <w:tab w:val="num" w:pos="720"/>
        </w:tabs>
        <w:ind w:left="720" w:hanging="360"/>
      </w:pPr>
      <w:rPr>
        <w:rFonts w:ascii="Arial" w:hAnsi="Arial" w:hint="default"/>
      </w:rPr>
    </w:lvl>
    <w:lvl w:ilvl="1" w:tplc="59405052" w:tentative="1">
      <w:start w:val="1"/>
      <w:numFmt w:val="bullet"/>
      <w:lvlText w:val="•"/>
      <w:lvlJc w:val="left"/>
      <w:pPr>
        <w:tabs>
          <w:tab w:val="num" w:pos="1440"/>
        </w:tabs>
        <w:ind w:left="1440" w:hanging="360"/>
      </w:pPr>
      <w:rPr>
        <w:rFonts w:ascii="Arial" w:hAnsi="Arial" w:hint="default"/>
      </w:rPr>
    </w:lvl>
    <w:lvl w:ilvl="2" w:tplc="CCCAF9C6" w:tentative="1">
      <w:start w:val="1"/>
      <w:numFmt w:val="bullet"/>
      <w:lvlText w:val="•"/>
      <w:lvlJc w:val="left"/>
      <w:pPr>
        <w:tabs>
          <w:tab w:val="num" w:pos="2160"/>
        </w:tabs>
        <w:ind w:left="2160" w:hanging="360"/>
      </w:pPr>
      <w:rPr>
        <w:rFonts w:ascii="Arial" w:hAnsi="Arial" w:hint="default"/>
      </w:rPr>
    </w:lvl>
    <w:lvl w:ilvl="3" w:tplc="ED1005BA" w:tentative="1">
      <w:start w:val="1"/>
      <w:numFmt w:val="bullet"/>
      <w:lvlText w:val="•"/>
      <w:lvlJc w:val="left"/>
      <w:pPr>
        <w:tabs>
          <w:tab w:val="num" w:pos="2880"/>
        </w:tabs>
        <w:ind w:left="2880" w:hanging="360"/>
      </w:pPr>
      <w:rPr>
        <w:rFonts w:ascii="Arial" w:hAnsi="Arial" w:hint="default"/>
      </w:rPr>
    </w:lvl>
    <w:lvl w:ilvl="4" w:tplc="F2A07258" w:tentative="1">
      <w:start w:val="1"/>
      <w:numFmt w:val="bullet"/>
      <w:lvlText w:val="•"/>
      <w:lvlJc w:val="left"/>
      <w:pPr>
        <w:tabs>
          <w:tab w:val="num" w:pos="3600"/>
        </w:tabs>
        <w:ind w:left="3600" w:hanging="360"/>
      </w:pPr>
      <w:rPr>
        <w:rFonts w:ascii="Arial" w:hAnsi="Arial" w:hint="default"/>
      </w:rPr>
    </w:lvl>
    <w:lvl w:ilvl="5" w:tplc="11E00F10" w:tentative="1">
      <w:start w:val="1"/>
      <w:numFmt w:val="bullet"/>
      <w:lvlText w:val="•"/>
      <w:lvlJc w:val="left"/>
      <w:pPr>
        <w:tabs>
          <w:tab w:val="num" w:pos="4320"/>
        </w:tabs>
        <w:ind w:left="4320" w:hanging="360"/>
      </w:pPr>
      <w:rPr>
        <w:rFonts w:ascii="Arial" w:hAnsi="Arial" w:hint="default"/>
      </w:rPr>
    </w:lvl>
    <w:lvl w:ilvl="6" w:tplc="1EBC741E" w:tentative="1">
      <w:start w:val="1"/>
      <w:numFmt w:val="bullet"/>
      <w:lvlText w:val="•"/>
      <w:lvlJc w:val="left"/>
      <w:pPr>
        <w:tabs>
          <w:tab w:val="num" w:pos="5040"/>
        </w:tabs>
        <w:ind w:left="5040" w:hanging="360"/>
      </w:pPr>
      <w:rPr>
        <w:rFonts w:ascii="Arial" w:hAnsi="Arial" w:hint="default"/>
      </w:rPr>
    </w:lvl>
    <w:lvl w:ilvl="7" w:tplc="FE7EE22C" w:tentative="1">
      <w:start w:val="1"/>
      <w:numFmt w:val="bullet"/>
      <w:lvlText w:val="•"/>
      <w:lvlJc w:val="left"/>
      <w:pPr>
        <w:tabs>
          <w:tab w:val="num" w:pos="5760"/>
        </w:tabs>
        <w:ind w:left="5760" w:hanging="360"/>
      </w:pPr>
      <w:rPr>
        <w:rFonts w:ascii="Arial" w:hAnsi="Arial" w:hint="default"/>
      </w:rPr>
    </w:lvl>
    <w:lvl w:ilvl="8" w:tplc="4E848822" w:tentative="1">
      <w:start w:val="1"/>
      <w:numFmt w:val="bullet"/>
      <w:lvlText w:val="•"/>
      <w:lvlJc w:val="left"/>
      <w:pPr>
        <w:tabs>
          <w:tab w:val="num" w:pos="6480"/>
        </w:tabs>
        <w:ind w:left="6480" w:hanging="360"/>
      </w:pPr>
      <w:rPr>
        <w:rFonts w:ascii="Arial" w:hAnsi="Arial" w:hint="default"/>
      </w:rPr>
    </w:lvl>
  </w:abstractNum>
  <w:abstractNum w:abstractNumId="10">
    <w:nsid w:val="4F926B19"/>
    <w:multiLevelType w:val="hybridMultilevel"/>
    <w:tmpl w:val="E9FAB604"/>
    <w:lvl w:ilvl="0" w:tplc="487AE8D6">
      <w:start w:val="1"/>
      <w:numFmt w:val="bullet"/>
      <w:lvlText w:val=""/>
      <w:lvlJc w:val="left"/>
      <w:pPr>
        <w:tabs>
          <w:tab w:val="num" w:pos="720"/>
        </w:tabs>
        <w:ind w:left="720" w:hanging="360"/>
      </w:pPr>
      <w:rPr>
        <w:rFonts w:ascii="Wingdings" w:hAnsi="Wingdings" w:hint="default"/>
      </w:rPr>
    </w:lvl>
    <w:lvl w:ilvl="1" w:tplc="EE9A4028">
      <w:start w:val="2429"/>
      <w:numFmt w:val="bullet"/>
      <w:lvlText w:val=""/>
      <w:lvlJc w:val="left"/>
      <w:pPr>
        <w:tabs>
          <w:tab w:val="num" w:pos="1440"/>
        </w:tabs>
        <w:ind w:left="1440" w:hanging="360"/>
      </w:pPr>
      <w:rPr>
        <w:rFonts w:ascii="Wingdings" w:hAnsi="Wingdings" w:hint="default"/>
      </w:rPr>
    </w:lvl>
    <w:lvl w:ilvl="2" w:tplc="CBA051CE" w:tentative="1">
      <w:start w:val="1"/>
      <w:numFmt w:val="bullet"/>
      <w:lvlText w:val=""/>
      <w:lvlJc w:val="left"/>
      <w:pPr>
        <w:tabs>
          <w:tab w:val="num" w:pos="2160"/>
        </w:tabs>
        <w:ind w:left="2160" w:hanging="360"/>
      </w:pPr>
      <w:rPr>
        <w:rFonts w:ascii="Wingdings" w:hAnsi="Wingdings" w:hint="default"/>
      </w:rPr>
    </w:lvl>
    <w:lvl w:ilvl="3" w:tplc="A37E91EE" w:tentative="1">
      <w:start w:val="1"/>
      <w:numFmt w:val="bullet"/>
      <w:lvlText w:val=""/>
      <w:lvlJc w:val="left"/>
      <w:pPr>
        <w:tabs>
          <w:tab w:val="num" w:pos="2880"/>
        </w:tabs>
        <w:ind w:left="2880" w:hanging="360"/>
      </w:pPr>
      <w:rPr>
        <w:rFonts w:ascii="Wingdings" w:hAnsi="Wingdings" w:hint="default"/>
      </w:rPr>
    </w:lvl>
    <w:lvl w:ilvl="4" w:tplc="C39A984A" w:tentative="1">
      <w:start w:val="1"/>
      <w:numFmt w:val="bullet"/>
      <w:lvlText w:val=""/>
      <w:lvlJc w:val="left"/>
      <w:pPr>
        <w:tabs>
          <w:tab w:val="num" w:pos="3600"/>
        </w:tabs>
        <w:ind w:left="3600" w:hanging="360"/>
      </w:pPr>
      <w:rPr>
        <w:rFonts w:ascii="Wingdings" w:hAnsi="Wingdings" w:hint="default"/>
      </w:rPr>
    </w:lvl>
    <w:lvl w:ilvl="5" w:tplc="BC467C62" w:tentative="1">
      <w:start w:val="1"/>
      <w:numFmt w:val="bullet"/>
      <w:lvlText w:val=""/>
      <w:lvlJc w:val="left"/>
      <w:pPr>
        <w:tabs>
          <w:tab w:val="num" w:pos="4320"/>
        </w:tabs>
        <w:ind w:left="4320" w:hanging="360"/>
      </w:pPr>
      <w:rPr>
        <w:rFonts w:ascii="Wingdings" w:hAnsi="Wingdings" w:hint="default"/>
      </w:rPr>
    </w:lvl>
    <w:lvl w:ilvl="6" w:tplc="4CA47D8A" w:tentative="1">
      <w:start w:val="1"/>
      <w:numFmt w:val="bullet"/>
      <w:lvlText w:val=""/>
      <w:lvlJc w:val="left"/>
      <w:pPr>
        <w:tabs>
          <w:tab w:val="num" w:pos="5040"/>
        </w:tabs>
        <w:ind w:left="5040" w:hanging="360"/>
      </w:pPr>
      <w:rPr>
        <w:rFonts w:ascii="Wingdings" w:hAnsi="Wingdings" w:hint="default"/>
      </w:rPr>
    </w:lvl>
    <w:lvl w:ilvl="7" w:tplc="72DE40EC" w:tentative="1">
      <w:start w:val="1"/>
      <w:numFmt w:val="bullet"/>
      <w:lvlText w:val=""/>
      <w:lvlJc w:val="left"/>
      <w:pPr>
        <w:tabs>
          <w:tab w:val="num" w:pos="5760"/>
        </w:tabs>
        <w:ind w:left="5760" w:hanging="360"/>
      </w:pPr>
      <w:rPr>
        <w:rFonts w:ascii="Wingdings" w:hAnsi="Wingdings" w:hint="default"/>
      </w:rPr>
    </w:lvl>
    <w:lvl w:ilvl="8" w:tplc="2D963D76" w:tentative="1">
      <w:start w:val="1"/>
      <w:numFmt w:val="bullet"/>
      <w:lvlText w:val=""/>
      <w:lvlJc w:val="left"/>
      <w:pPr>
        <w:tabs>
          <w:tab w:val="num" w:pos="6480"/>
        </w:tabs>
        <w:ind w:left="6480" w:hanging="360"/>
      </w:pPr>
      <w:rPr>
        <w:rFonts w:ascii="Wingdings" w:hAnsi="Wingdings" w:hint="default"/>
      </w:rPr>
    </w:lvl>
  </w:abstractNum>
  <w:abstractNum w:abstractNumId="11">
    <w:nsid w:val="56136C80"/>
    <w:multiLevelType w:val="hybridMultilevel"/>
    <w:tmpl w:val="6590E3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280ED3"/>
    <w:multiLevelType w:val="hybridMultilevel"/>
    <w:tmpl w:val="EEA264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BE265EE"/>
    <w:multiLevelType w:val="hybridMultilevel"/>
    <w:tmpl w:val="2452DC52"/>
    <w:lvl w:ilvl="0" w:tplc="1D9C325E">
      <w:start w:val="1"/>
      <w:numFmt w:val="decimal"/>
      <w:lvlText w:val="%1."/>
      <w:lvlJc w:val="left"/>
      <w:pPr>
        <w:ind w:left="720" w:hanging="360"/>
      </w:pPr>
      <w:rPr>
        <w:b w:val="0"/>
        <w:i w:val="0"/>
      </w:rPr>
    </w:lvl>
    <w:lvl w:ilvl="1" w:tplc="DE727C6A">
      <w:start w:val="1"/>
      <w:numFmt w:val="lowerLetter"/>
      <w:lvlText w:val="%2."/>
      <w:lvlJc w:val="left"/>
      <w:pPr>
        <w:ind w:left="1440" w:hanging="360"/>
      </w:pPr>
      <w:rPr>
        <w:b w:val="0"/>
      </w:rPr>
    </w:lvl>
    <w:lvl w:ilvl="2" w:tplc="C95437AA">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
  </w:num>
  <w:num w:numId="5">
    <w:abstractNumId w:val="3"/>
  </w:num>
  <w:num w:numId="6">
    <w:abstractNumId w:val="11"/>
  </w:num>
  <w:num w:numId="7">
    <w:abstractNumId w:val="4"/>
  </w:num>
  <w:num w:numId="8">
    <w:abstractNumId w:val="1"/>
  </w:num>
  <w:num w:numId="9">
    <w:abstractNumId w:val="0"/>
  </w:num>
  <w:num w:numId="10">
    <w:abstractNumId w:val="8"/>
  </w:num>
  <w:num w:numId="11">
    <w:abstractNumId w:val="10"/>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11"/>
    <w:rsid w:val="00003873"/>
    <w:rsid w:val="00020A9A"/>
    <w:rsid w:val="00065B91"/>
    <w:rsid w:val="00070B2B"/>
    <w:rsid w:val="00086B7E"/>
    <w:rsid w:val="00090F82"/>
    <w:rsid w:val="000A3E53"/>
    <w:rsid w:val="000A6E93"/>
    <w:rsid w:val="000B3DAC"/>
    <w:rsid w:val="000C0E51"/>
    <w:rsid w:val="000E36A5"/>
    <w:rsid w:val="000F4BC1"/>
    <w:rsid w:val="00115034"/>
    <w:rsid w:val="00151286"/>
    <w:rsid w:val="00181848"/>
    <w:rsid w:val="001846CA"/>
    <w:rsid w:val="001979DD"/>
    <w:rsid w:val="001B5A5E"/>
    <w:rsid w:val="001D7316"/>
    <w:rsid w:val="002051CE"/>
    <w:rsid w:val="0024251E"/>
    <w:rsid w:val="0024341A"/>
    <w:rsid w:val="002742D2"/>
    <w:rsid w:val="00291DAC"/>
    <w:rsid w:val="00296D98"/>
    <w:rsid w:val="002C338A"/>
    <w:rsid w:val="002C7AB3"/>
    <w:rsid w:val="002E1BED"/>
    <w:rsid w:val="002F518B"/>
    <w:rsid w:val="0031104F"/>
    <w:rsid w:val="00313783"/>
    <w:rsid w:val="00320E05"/>
    <w:rsid w:val="00331870"/>
    <w:rsid w:val="00362C4A"/>
    <w:rsid w:val="00381F82"/>
    <w:rsid w:val="0038611C"/>
    <w:rsid w:val="003A5375"/>
    <w:rsid w:val="003C34A8"/>
    <w:rsid w:val="003C77B7"/>
    <w:rsid w:val="003D15CE"/>
    <w:rsid w:val="003D2E44"/>
    <w:rsid w:val="00417ABE"/>
    <w:rsid w:val="00447CFF"/>
    <w:rsid w:val="00456F8A"/>
    <w:rsid w:val="0046208D"/>
    <w:rsid w:val="004670C2"/>
    <w:rsid w:val="004673D8"/>
    <w:rsid w:val="004825D2"/>
    <w:rsid w:val="004C6D3F"/>
    <w:rsid w:val="004D0248"/>
    <w:rsid w:val="004E4FA1"/>
    <w:rsid w:val="004E6411"/>
    <w:rsid w:val="004F119A"/>
    <w:rsid w:val="004F2F5B"/>
    <w:rsid w:val="005012D8"/>
    <w:rsid w:val="0050491D"/>
    <w:rsid w:val="0054613B"/>
    <w:rsid w:val="005615C7"/>
    <w:rsid w:val="00565DD4"/>
    <w:rsid w:val="00566F4B"/>
    <w:rsid w:val="005735EB"/>
    <w:rsid w:val="005819C4"/>
    <w:rsid w:val="005923C6"/>
    <w:rsid w:val="005931F9"/>
    <w:rsid w:val="005A298D"/>
    <w:rsid w:val="005A4A6F"/>
    <w:rsid w:val="005B0D65"/>
    <w:rsid w:val="005C46ED"/>
    <w:rsid w:val="005F04ED"/>
    <w:rsid w:val="005F455F"/>
    <w:rsid w:val="00612D3F"/>
    <w:rsid w:val="00627EE5"/>
    <w:rsid w:val="006308D3"/>
    <w:rsid w:val="00631C27"/>
    <w:rsid w:val="00641F9B"/>
    <w:rsid w:val="006532A2"/>
    <w:rsid w:val="006902B3"/>
    <w:rsid w:val="006A777F"/>
    <w:rsid w:val="006C50AE"/>
    <w:rsid w:val="006C7FE1"/>
    <w:rsid w:val="006D0238"/>
    <w:rsid w:val="006D3480"/>
    <w:rsid w:val="006D3913"/>
    <w:rsid w:val="00720B6E"/>
    <w:rsid w:val="00724A03"/>
    <w:rsid w:val="00737E3A"/>
    <w:rsid w:val="00742F97"/>
    <w:rsid w:val="00750CF9"/>
    <w:rsid w:val="0075506C"/>
    <w:rsid w:val="007651EF"/>
    <w:rsid w:val="00784F7D"/>
    <w:rsid w:val="007D7234"/>
    <w:rsid w:val="00801A38"/>
    <w:rsid w:val="00801A3C"/>
    <w:rsid w:val="00804587"/>
    <w:rsid w:val="0082245E"/>
    <w:rsid w:val="00827D16"/>
    <w:rsid w:val="008337A4"/>
    <w:rsid w:val="008465E7"/>
    <w:rsid w:val="00867DFD"/>
    <w:rsid w:val="00870287"/>
    <w:rsid w:val="008A3E1B"/>
    <w:rsid w:val="008A740E"/>
    <w:rsid w:val="008B472F"/>
    <w:rsid w:val="008D0B49"/>
    <w:rsid w:val="008E002A"/>
    <w:rsid w:val="008F00A2"/>
    <w:rsid w:val="008F1CC5"/>
    <w:rsid w:val="00901E80"/>
    <w:rsid w:val="00913DB0"/>
    <w:rsid w:val="009431C6"/>
    <w:rsid w:val="0094440A"/>
    <w:rsid w:val="00961D3F"/>
    <w:rsid w:val="00963489"/>
    <w:rsid w:val="00971BEC"/>
    <w:rsid w:val="00985EB6"/>
    <w:rsid w:val="009B1F79"/>
    <w:rsid w:val="009C3750"/>
    <w:rsid w:val="009D0D21"/>
    <w:rsid w:val="009F2302"/>
    <w:rsid w:val="00A15E35"/>
    <w:rsid w:val="00A32F97"/>
    <w:rsid w:val="00A35638"/>
    <w:rsid w:val="00A36656"/>
    <w:rsid w:val="00A41B8E"/>
    <w:rsid w:val="00A5411E"/>
    <w:rsid w:val="00A60C45"/>
    <w:rsid w:val="00A853A7"/>
    <w:rsid w:val="00A877B0"/>
    <w:rsid w:val="00A9789E"/>
    <w:rsid w:val="00AA2C2E"/>
    <w:rsid w:val="00AB353A"/>
    <w:rsid w:val="00AB70B1"/>
    <w:rsid w:val="00AC17C3"/>
    <w:rsid w:val="00AD4EFD"/>
    <w:rsid w:val="00AF51C5"/>
    <w:rsid w:val="00B10287"/>
    <w:rsid w:val="00B1192E"/>
    <w:rsid w:val="00B22C62"/>
    <w:rsid w:val="00B24A3F"/>
    <w:rsid w:val="00B34A1C"/>
    <w:rsid w:val="00B50569"/>
    <w:rsid w:val="00B90F73"/>
    <w:rsid w:val="00BB66D6"/>
    <w:rsid w:val="00BD0523"/>
    <w:rsid w:val="00BF0460"/>
    <w:rsid w:val="00C31F3D"/>
    <w:rsid w:val="00C4386D"/>
    <w:rsid w:val="00C44887"/>
    <w:rsid w:val="00C557DB"/>
    <w:rsid w:val="00C618B2"/>
    <w:rsid w:val="00C8301E"/>
    <w:rsid w:val="00C855DD"/>
    <w:rsid w:val="00CB0C06"/>
    <w:rsid w:val="00CB3F92"/>
    <w:rsid w:val="00CC5103"/>
    <w:rsid w:val="00CD6D6C"/>
    <w:rsid w:val="00D14266"/>
    <w:rsid w:val="00D564BA"/>
    <w:rsid w:val="00D83483"/>
    <w:rsid w:val="00D96BC0"/>
    <w:rsid w:val="00DA0F84"/>
    <w:rsid w:val="00DB24CE"/>
    <w:rsid w:val="00DB732E"/>
    <w:rsid w:val="00DD0B27"/>
    <w:rsid w:val="00E00228"/>
    <w:rsid w:val="00E12205"/>
    <w:rsid w:val="00E22BB4"/>
    <w:rsid w:val="00E24C0B"/>
    <w:rsid w:val="00E76864"/>
    <w:rsid w:val="00E95FEC"/>
    <w:rsid w:val="00EC0841"/>
    <w:rsid w:val="00EE2B59"/>
    <w:rsid w:val="00F11696"/>
    <w:rsid w:val="00F42511"/>
    <w:rsid w:val="00F430D7"/>
    <w:rsid w:val="00F559A6"/>
    <w:rsid w:val="00F60D6C"/>
    <w:rsid w:val="00F72C9D"/>
    <w:rsid w:val="00F76D9C"/>
    <w:rsid w:val="00F9266C"/>
    <w:rsid w:val="00FA10BE"/>
    <w:rsid w:val="00FA4AC5"/>
    <w:rsid w:val="00FC194D"/>
    <w:rsid w:val="00FD0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32A05-57F9-4500-AC00-599027B3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0F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0F84"/>
    <w:rPr>
      <w:rFonts w:ascii="Tahoma" w:hAnsi="Tahoma" w:cs="Tahoma"/>
      <w:sz w:val="16"/>
      <w:szCs w:val="16"/>
    </w:rPr>
  </w:style>
  <w:style w:type="paragraph" w:styleId="Testonotaapidipagina">
    <w:name w:val="footnote text"/>
    <w:basedOn w:val="Normale"/>
    <w:link w:val="TestonotaapidipaginaCarattere"/>
    <w:uiPriority w:val="99"/>
    <w:unhideWhenUsed/>
    <w:rsid w:val="00A41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41B8E"/>
    <w:rPr>
      <w:sz w:val="20"/>
      <w:szCs w:val="20"/>
    </w:rPr>
  </w:style>
  <w:style w:type="character" w:styleId="Rimandonotaapidipagina">
    <w:name w:val="footnote reference"/>
    <w:basedOn w:val="Carpredefinitoparagrafo"/>
    <w:uiPriority w:val="99"/>
    <w:unhideWhenUsed/>
    <w:rsid w:val="00A41B8E"/>
    <w:rPr>
      <w:vertAlign w:val="superscript"/>
    </w:rPr>
  </w:style>
  <w:style w:type="character" w:styleId="Collegamentoipertestuale">
    <w:name w:val="Hyperlink"/>
    <w:basedOn w:val="Carpredefinitoparagrafo"/>
    <w:uiPriority w:val="99"/>
    <w:unhideWhenUsed/>
    <w:rsid w:val="00A41B8E"/>
    <w:rPr>
      <w:color w:val="0000FF" w:themeColor="hyperlink"/>
      <w:u w:val="single"/>
    </w:rPr>
  </w:style>
  <w:style w:type="paragraph" w:customStyle="1" w:styleId="Default">
    <w:name w:val="Default"/>
    <w:rsid w:val="00801A38"/>
    <w:pPr>
      <w:autoSpaceDE w:val="0"/>
      <w:autoSpaceDN w:val="0"/>
      <w:adjustRightInd w:val="0"/>
      <w:spacing w:after="0" w:line="240" w:lineRule="auto"/>
    </w:pPr>
    <w:rPr>
      <w:rFonts w:ascii="GoudyOlSt BT" w:hAnsi="GoudyOlSt BT" w:cs="GoudyOlSt BT"/>
      <w:color w:val="000000"/>
      <w:sz w:val="24"/>
      <w:szCs w:val="24"/>
    </w:rPr>
  </w:style>
  <w:style w:type="character" w:customStyle="1" w:styleId="A8">
    <w:name w:val="A8"/>
    <w:uiPriority w:val="99"/>
    <w:rsid w:val="00801A38"/>
    <w:rPr>
      <w:rFonts w:cs="GoudyOlSt BT"/>
      <w:color w:val="211D1E"/>
      <w:sz w:val="11"/>
      <w:szCs w:val="11"/>
    </w:rPr>
  </w:style>
  <w:style w:type="paragraph" w:styleId="Paragrafoelenco">
    <w:name w:val="List Paragraph"/>
    <w:basedOn w:val="Normale"/>
    <w:uiPriority w:val="34"/>
    <w:qFormat/>
    <w:rsid w:val="00724A03"/>
    <w:pPr>
      <w:ind w:left="720"/>
      <w:contextualSpacing/>
    </w:pPr>
  </w:style>
  <w:style w:type="paragraph" w:styleId="Intestazione">
    <w:name w:val="header"/>
    <w:basedOn w:val="Normale"/>
    <w:link w:val="IntestazioneCarattere"/>
    <w:uiPriority w:val="99"/>
    <w:unhideWhenUsed/>
    <w:rsid w:val="00B90F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0F73"/>
  </w:style>
  <w:style w:type="paragraph" w:styleId="Pidipagina">
    <w:name w:val="footer"/>
    <w:basedOn w:val="Normale"/>
    <w:link w:val="PidipaginaCarattere"/>
    <w:uiPriority w:val="99"/>
    <w:unhideWhenUsed/>
    <w:rsid w:val="00B90F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0F73"/>
  </w:style>
  <w:style w:type="character" w:styleId="Rimandocommento">
    <w:name w:val="annotation reference"/>
    <w:basedOn w:val="Carpredefinitoparagrafo"/>
    <w:uiPriority w:val="99"/>
    <w:semiHidden/>
    <w:unhideWhenUsed/>
    <w:rsid w:val="00627EE5"/>
    <w:rPr>
      <w:sz w:val="16"/>
      <w:szCs w:val="16"/>
    </w:rPr>
  </w:style>
  <w:style w:type="paragraph" w:styleId="Testocommento">
    <w:name w:val="annotation text"/>
    <w:basedOn w:val="Normale"/>
    <w:link w:val="TestocommentoCarattere"/>
    <w:uiPriority w:val="99"/>
    <w:semiHidden/>
    <w:unhideWhenUsed/>
    <w:rsid w:val="00627EE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27EE5"/>
    <w:rPr>
      <w:sz w:val="20"/>
      <w:szCs w:val="20"/>
    </w:rPr>
  </w:style>
  <w:style w:type="paragraph" w:styleId="Soggettocommento">
    <w:name w:val="annotation subject"/>
    <w:basedOn w:val="Testocommento"/>
    <w:next w:val="Testocommento"/>
    <w:link w:val="SoggettocommentoCarattere"/>
    <w:uiPriority w:val="99"/>
    <w:semiHidden/>
    <w:unhideWhenUsed/>
    <w:rsid w:val="00627EE5"/>
    <w:rPr>
      <w:b/>
      <w:bCs/>
    </w:rPr>
  </w:style>
  <w:style w:type="character" w:customStyle="1" w:styleId="SoggettocommentoCarattere">
    <w:name w:val="Soggetto commento Carattere"/>
    <w:basedOn w:val="TestocommentoCarattere"/>
    <w:link w:val="Soggettocommento"/>
    <w:uiPriority w:val="99"/>
    <w:semiHidden/>
    <w:rsid w:val="00627E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7586">
      <w:bodyDiv w:val="1"/>
      <w:marLeft w:val="0"/>
      <w:marRight w:val="0"/>
      <w:marTop w:val="0"/>
      <w:marBottom w:val="0"/>
      <w:divBdr>
        <w:top w:val="none" w:sz="0" w:space="0" w:color="auto"/>
        <w:left w:val="none" w:sz="0" w:space="0" w:color="auto"/>
        <w:bottom w:val="none" w:sz="0" w:space="0" w:color="auto"/>
        <w:right w:val="none" w:sz="0" w:space="0" w:color="auto"/>
      </w:divBdr>
      <w:divsChild>
        <w:div w:id="1583175104">
          <w:marLeft w:val="446"/>
          <w:marRight w:val="0"/>
          <w:marTop w:val="0"/>
          <w:marBottom w:val="0"/>
          <w:divBdr>
            <w:top w:val="none" w:sz="0" w:space="0" w:color="auto"/>
            <w:left w:val="none" w:sz="0" w:space="0" w:color="auto"/>
            <w:bottom w:val="none" w:sz="0" w:space="0" w:color="auto"/>
            <w:right w:val="none" w:sz="0" w:space="0" w:color="auto"/>
          </w:divBdr>
        </w:div>
        <w:div w:id="2046296227">
          <w:marLeft w:val="446"/>
          <w:marRight w:val="0"/>
          <w:marTop w:val="0"/>
          <w:marBottom w:val="0"/>
          <w:divBdr>
            <w:top w:val="none" w:sz="0" w:space="0" w:color="auto"/>
            <w:left w:val="none" w:sz="0" w:space="0" w:color="auto"/>
            <w:bottom w:val="none" w:sz="0" w:space="0" w:color="auto"/>
            <w:right w:val="none" w:sz="0" w:space="0" w:color="auto"/>
          </w:divBdr>
        </w:div>
        <w:div w:id="1723167351">
          <w:marLeft w:val="446"/>
          <w:marRight w:val="0"/>
          <w:marTop w:val="0"/>
          <w:marBottom w:val="0"/>
          <w:divBdr>
            <w:top w:val="none" w:sz="0" w:space="0" w:color="auto"/>
            <w:left w:val="none" w:sz="0" w:space="0" w:color="auto"/>
            <w:bottom w:val="none" w:sz="0" w:space="0" w:color="auto"/>
            <w:right w:val="none" w:sz="0" w:space="0" w:color="auto"/>
          </w:divBdr>
        </w:div>
        <w:div w:id="200636644">
          <w:marLeft w:val="446"/>
          <w:marRight w:val="0"/>
          <w:marTop w:val="0"/>
          <w:marBottom w:val="0"/>
          <w:divBdr>
            <w:top w:val="none" w:sz="0" w:space="0" w:color="auto"/>
            <w:left w:val="none" w:sz="0" w:space="0" w:color="auto"/>
            <w:bottom w:val="none" w:sz="0" w:space="0" w:color="auto"/>
            <w:right w:val="none" w:sz="0" w:space="0" w:color="auto"/>
          </w:divBdr>
        </w:div>
        <w:div w:id="1637178489">
          <w:marLeft w:val="446"/>
          <w:marRight w:val="0"/>
          <w:marTop w:val="0"/>
          <w:marBottom w:val="0"/>
          <w:divBdr>
            <w:top w:val="none" w:sz="0" w:space="0" w:color="auto"/>
            <w:left w:val="none" w:sz="0" w:space="0" w:color="auto"/>
            <w:bottom w:val="none" w:sz="0" w:space="0" w:color="auto"/>
            <w:right w:val="none" w:sz="0" w:space="0" w:color="auto"/>
          </w:divBdr>
        </w:div>
      </w:divsChild>
    </w:div>
    <w:div w:id="1257445929">
      <w:bodyDiv w:val="1"/>
      <w:marLeft w:val="0"/>
      <w:marRight w:val="0"/>
      <w:marTop w:val="0"/>
      <w:marBottom w:val="0"/>
      <w:divBdr>
        <w:top w:val="none" w:sz="0" w:space="0" w:color="auto"/>
        <w:left w:val="none" w:sz="0" w:space="0" w:color="auto"/>
        <w:bottom w:val="none" w:sz="0" w:space="0" w:color="auto"/>
        <w:right w:val="none" w:sz="0" w:space="0" w:color="auto"/>
      </w:divBdr>
      <w:divsChild>
        <w:div w:id="2038654566">
          <w:marLeft w:val="446"/>
          <w:marRight w:val="0"/>
          <w:marTop w:val="0"/>
          <w:marBottom w:val="0"/>
          <w:divBdr>
            <w:top w:val="none" w:sz="0" w:space="0" w:color="auto"/>
            <w:left w:val="none" w:sz="0" w:space="0" w:color="auto"/>
            <w:bottom w:val="none" w:sz="0" w:space="0" w:color="auto"/>
            <w:right w:val="none" w:sz="0" w:space="0" w:color="auto"/>
          </w:divBdr>
        </w:div>
        <w:div w:id="721640386">
          <w:marLeft w:val="446"/>
          <w:marRight w:val="0"/>
          <w:marTop w:val="0"/>
          <w:marBottom w:val="0"/>
          <w:divBdr>
            <w:top w:val="none" w:sz="0" w:space="0" w:color="auto"/>
            <w:left w:val="none" w:sz="0" w:space="0" w:color="auto"/>
            <w:bottom w:val="none" w:sz="0" w:space="0" w:color="auto"/>
            <w:right w:val="none" w:sz="0" w:space="0" w:color="auto"/>
          </w:divBdr>
        </w:div>
        <w:div w:id="1764254272">
          <w:marLeft w:val="446"/>
          <w:marRight w:val="0"/>
          <w:marTop w:val="0"/>
          <w:marBottom w:val="0"/>
          <w:divBdr>
            <w:top w:val="none" w:sz="0" w:space="0" w:color="auto"/>
            <w:left w:val="none" w:sz="0" w:space="0" w:color="auto"/>
            <w:bottom w:val="none" w:sz="0" w:space="0" w:color="auto"/>
            <w:right w:val="none" w:sz="0" w:space="0" w:color="auto"/>
          </w:divBdr>
        </w:div>
        <w:div w:id="18247394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elgiudice@vrelations.it"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608F-4874-4149-A9B2-8BF039EC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6333</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Sanofi Pasteur MSD</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Bonfante</dc:creator>
  <cp:keywords/>
  <dc:description/>
  <cp:lastModifiedBy>Angela Del Giudice</cp:lastModifiedBy>
  <cp:revision>2</cp:revision>
  <dcterms:created xsi:type="dcterms:W3CDTF">2015-04-13T16:18:00Z</dcterms:created>
  <dcterms:modified xsi:type="dcterms:W3CDTF">2015-04-13T16:18:00Z</dcterms:modified>
</cp:coreProperties>
</file>