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43" w:rsidRPr="00E532A3" w:rsidRDefault="00204143" w:rsidP="00204143">
      <w:pPr>
        <w:spacing w:after="0"/>
        <w:jc w:val="center"/>
        <w:rPr>
          <w:b/>
          <w:color w:val="0070C0"/>
          <w:sz w:val="40"/>
          <w:szCs w:val="40"/>
          <w:u w:val="single"/>
        </w:rPr>
      </w:pPr>
      <w:r w:rsidRPr="00E532A3">
        <w:rPr>
          <w:b/>
          <w:color w:val="0070C0"/>
          <w:sz w:val="40"/>
          <w:szCs w:val="40"/>
          <w:u w:val="single"/>
        </w:rPr>
        <w:t>L’influenza</w:t>
      </w:r>
    </w:p>
    <w:p w:rsidR="00204143" w:rsidRPr="00DB2BAB" w:rsidRDefault="00204143" w:rsidP="00204143">
      <w:pPr>
        <w:spacing w:after="0"/>
        <w:jc w:val="both"/>
        <w:rPr>
          <w:b/>
          <w:color w:val="0070C0"/>
        </w:rPr>
      </w:pPr>
    </w:p>
    <w:p w:rsidR="00204143" w:rsidRPr="006E3DC8" w:rsidRDefault="00204143" w:rsidP="00204143">
      <w:pPr>
        <w:spacing w:after="0"/>
        <w:jc w:val="both"/>
        <w:rPr>
          <w:b/>
          <w:color w:val="0070C0"/>
        </w:rPr>
      </w:pPr>
      <w:r>
        <w:rPr>
          <w:b/>
          <w:color w:val="0070C0"/>
        </w:rPr>
        <w:t>L’i</w:t>
      </w:r>
      <w:r w:rsidRPr="006E3DC8">
        <w:rPr>
          <w:b/>
          <w:color w:val="0070C0"/>
        </w:rPr>
        <w:t xml:space="preserve">nfluenza </w:t>
      </w:r>
      <w:r>
        <w:rPr>
          <w:b/>
          <w:color w:val="0070C0"/>
        </w:rPr>
        <w:t xml:space="preserve">stagionale </w:t>
      </w:r>
    </w:p>
    <w:p w:rsidR="00204143" w:rsidRPr="00982144" w:rsidRDefault="00204143" w:rsidP="00204143">
      <w:pPr>
        <w:spacing w:after="0"/>
        <w:jc w:val="both"/>
        <w:rPr>
          <w:b/>
          <w:color w:val="0070C0"/>
          <w:sz w:val="6"/>
          <w:szCs w:val="6"/>
        </w:rPr>
      </w:pPr>
    </w:p>
    <w:p w:rsidR="00204143" w:rsidRDefault="00204143" w:rsidP="00204143">
      <w:pPr>
        <w:spacing w:after="0"/>
        <w:jc w:val="both"/>
      </w:pPr>
      <w:r>
        <w:t xml:space="preserve">L’influenza è </w:t>
      </w:r>
      <w:r w:rsidRPr="00BE4036">
        <w:t>un’</w:t>
      </w:r>
      <w:r w:rsidRPr="00BE4036">
        <w:rPr>
          <w:b/>
        </w:rPr>
        <w:t>infezione respiratoria virale molto contagiosa</w:t>
      </w:r>
      <w:r>
        <w:t xml:space="preserve"> che si trasmette facilmente attraverso goccioline di muco, saliva ed in genere per via aerea anche semplicemente parlando vicino ad un’altra persona. Si distingue dalle altre infezioni respiratorie molto più gravi, come ad esempio la polmonite, per l’andamento tipicamente stagionale (in Italia da dicembre a marzo) più che per i sintomi che la caratterizzano che possono essere molto variabili, dal semplice raffreddore al mal di testa, dall’infiammazione della gola alla bronchite. I </w:t>
      </w:r>
      <w:r w:rsidRPr="00BE4036">
        <w:rPr>
          <w:b/>
        </w:rPr>
        <w:t>virus responsabili dell’influenza</w:t>
      </w:r>
      <w:r>
        <w:t xml:space="preserve">, principalmente di tipo </w:t>
      </w:r>
      <w:r w:rsidRPr="00BE4036">
        <w:rPr>
          <w:b/>
        </w:rPr>
        <w:t>A</w:t>
      </w:r>
      <w:r>
        <w:t xml:space="preserve"> e </w:t>
      </w:r>
      <w:r w:rsidRPr="00BE4036">
        <w:rPr>
          <w:b/>
        </w:rPr>
        <w:t>B</w:t>
      </w:r>
      <w:r>
        <w:t xml:space="preserve">, si caratterizzano per una </w:t>
      </w:r>
      <w:r w:rsidRPr="00BE4036">
        <w:rPr>
          <w:b/>
        </w:rPr>
        <w:t>forte tendenza a mutare</w:t>
      </w:r>
      <w:r>
        <w:t>: la loro molecola cambia aspetto grazie a proteine “trasformiste” poste sulla superficie, così da sfuggire alla barriera costituita dal sistema immunitario delle persone che l’inverno precedente avevano già preso la malattia. Questo significa che le difese che l’organismo ha messo a punto contro il virus dell’influenza che circolava un anno, non sono più efficaci per il virus dell’anno successivo</w:t>
      </w:r>
      <w:r w:rsidRPr="00D01522">
        <w:rPr>
          <w:vertAlign w:val="superscript"/>
        </w:rPr>
        <w:t>1</w:t>
      </w:r>
      <w:r w:rsidRPr="006E3DC8">
        <w:t xml:space="preserve">. </w:t>
      </w:r>
    </w:p>
    <w:p w:rsidR="00204143" w:rsidRDefault="00204143" w:rsidP="00204143">
      <w:pPr>
        <w:spacing w:after="0"/>
        <w:jc w:val="both"/>
        <w:rPr>
          <w:b/>
          <w:color w:val="0070C0"/>
        </w:rPr>
      </w:pPr>
    </w:p>
    <w:p w:rsidR="00204143" w:rsidRDefault="00204143" w:rsidP="00204143">
      <w:pPr>
        <w:spacing w:after="0"/>
        <w:jc w:val="both"/>
        <w:rPr>
          <w:b/>
          <w:color w:val="0070C0"/>
        </w:rPr>
      </w:pPr>
      <w:r>
        <w:rPr>
          <w:b/>
          <w:color w:val="0070C0"/>
        </w:rPr>
        <w:t xml:space="preserve">Epidemiologia dell’influenza </w:t>
      </w:r>
    </w:p>
    <w:p w:rsidR="00204143" w:rsidRPr="00982144" w:rsidRDefault="00204143" w:rsidP="00204143">
      <w:pPr>
        <w:spacing w:after="0"/>
        <w:jc w:val="both"/>
        <w:rPr>
          <w:b/>
          <w:color w:val="0070C0"/>
          <w:sz w:val="6"/>
          <w:szCs w:val="6"/>
        </w:rPr>
      </w:pPr>
    </w:p>
    <w:p w:rsidR="00204143" w:rsidRDefault="00204143" w:rsidP="00204143">
      <w:pPr>
        <w:spacing w:after="0"/>
        <w:jc w:val="both"/>
      </w:pPr>
      <w:r>
        <w:t xml:space="preserve">L’influenza stagionale colpisce ogni anno il </w:t>
      </w:r>
      <w:r w:rsidRPr="00204143">
        <w:rPr>
          <w:b/>
        </w:rPr>
        <w:t>5-10%</w:t>
      </w:r>
      <w:r>
        <w:t xml:space="preserve"> della popolazione globale; </w:t>
      </w:r>
      <w:r w:rsidR="008F3AB9">
        <w:t>e sino a</w:t>
      </w:r>
      <w:r>
        <w:t xml:space="preserve">l </w:t>
      </w:r>
      <w:r w:rsidRPr="00E940E2">
        <w:rPr>
          <w:b/>
        </w:rPr>
        <w:t>20-30%</w:t>
      </w:r>
      <w:r>
        <w:t xml:space="preserve"> </w:t>
      </w:r>
      <w:r w:rsidR="008F3AB9">
        <w:t>de</w:t>
      </w:r>
      <w:r>
        <w:t>i bambini. I</w:t>
      </w:r>
      <w:r w:rsidRPr="006E3DC8">
        <w:t xml:space="preserve"> tassi di incidenza possono raggiungere il</w:t>
      </w:r>
      <w:r w:rsidRPr="006E3DC8">
        <w:rPr>
          <w:b/>
        </w:rPr>
        <w:t xml:space="preserve"> 40-50% </w:t>
      </w:r>
      <w:r w:rsidRPr="006E3DC8">
        <w:t>nei soggetti a rischio. Sebbene la fascia di età più colpita in termini numerici sia quella dei bambini, gli anziani e i soggetti fragili con fattori di rischio sia patologici (malattie croniche) che fisiologici (gravidanza) sono maggiormente interessati da complicanze gravi</w:t>
      </w:r>
      <w:r>
        <w:t xml:space="preserve">, </w:t>
      </w:r>
      <w:r w:rsidRPr="006E3DC8">
        <w:t>ospedalizzazioni</w:t>
      </w:r>
      <w:r>
        <w:t xml:space="preserve"> </w:t>
      </w:r>
      <w:r w:rsidRPr="006E3DC8">
        <w:t xml:space="preserve">e decessi. </w:t>
      </w:r>
    </w:p>
    <w:p w:rsidR="00204143" w:rsidRDefault="00204143" w:rsidP="00204143">
      <w:pPr>
        <w:spacing w:after="0"/>
        <w:jc w:val="both"/>
      </w:pPr>
      <w:r w:rsidRPr="006E3DC8">
        <w:t xml:space="preserve">Secondo le stime dell’Organizzazione Mondiale della Sanità (OMS) ogni anno </w:t>
      </w:r>
      <w:r w:rsidRPr="006E3DC8">
        <w:rPr>
          <w:b/>
        </w:rPr>
        <w:t>250</w:t>
      </w:r>
      <w:r>
        <w:rPr>
          <w:b/>
        </w:rPr>
        <w:t>.000</w:t>
      </w:r>
      <w:r w:rsidRPr="006E3DC8">
        <w:rPr>
          <w:b/>
        </w:rPr>
        <w:t>-500.000</w:t>
      </w:r>
      <w:r w:rsidRPr="006E3DC8">
        <w:t xml:space="preserve"> persone nel mondo muoiono a causa dell’influenza</w:t>
      </w:r>
      <w:r>
        <w:t>, con incidenza maggiore tra gli ultra 65enni</w:t>
      </w:r>
      <w:r w:rsidRPr="0038141E">
        <w:rPr>
          <w:vertAlign w:val="superscript"/>
        </w:rPr>
        <w:t>2</w:t>
      </w:r>
      <w:r w:rsidRPr="006E3DC8">
        <w:t xml:space="preserve">. </w:t>
      </w:r>
      <w:r>
        <w:t>In Europa s</w:t>
      </w:r>
      <w:r w:rsidRPr="006E3DC8">
        <w:t xml:space="preserve">ono circa </w:t>
      </w:r>
      <w:r w:rsidR="00E775F3">
        <w:rPr>
          <w:b/>
        </w:rPr>
        <w:t>38.500</w:t>
      </w:r>
      <w:r w:rsidRPr="006E3DC8">
        <w:t xml:space="preserve"> all’anno le morti premature per </w:t>
      </w:r>
      <w:r>
        <w:t>influenza s</w:t>
      </w:r>
      <w:r w:rsidRPr="006E3DC8">
        <w:t>econdo le stime del Centro Europeo per la Prevenzione e il Controllo delle Malattie (ECDC)</w:t>
      </w:r>
      <w:r>
        <w:rPr>
          <w:vertAlign w:val="superscript"/>
        </w:rPr>
        <w:t>3</w:t>
      </w:r>
      <w:r>
        <w:t>.</w:t>
      </w:r>
      <w:r w:rsidRPr="006E3DC8">
        <w:t xml:space="preserve"> </w:t>
      </w:r>
    </w:p>
    <w:p w:rsidR="00204143" w:rsidRDefault="00204143" w:rsidP="00204143">
      <w:pPr>
        <w:spacing w:after="0"/>
        <w:jc w:val="both"/>
      </w:pPr>
      <w:r w:rsidRPr="006E3DC8">
        <w:t xml:space="preserve">In Italia l’influenza è ancora oggi la </w:t>
      </w:r>
      <w:r w:rsidRPr="006E3DC8">
        <w:rPr>
          <w:b/>
        </w:rPr>
        <w:t>terza causa di morte per patologia infettiva</w:t>
      </w:r>
      <w:r w:rsidRPr="006E3DC8">
        <w:t xml:space="preserve">, preceduta solo da AIDS e tubercolosi. Secondo i dati </w:t>
      </w:r>
      <w:r w:rsidR="00DD54F5">
        <w:t>InfluNet</w:t>
      </w:r>
      <w:r>
        <w:rPr>
          <w:vertAlign w:val="superscript"/>
        </w:rPr>
        <w:t>4</w:t>
      </w:r>
      <w:r w:rsidRPr="00F77849">
        <w:t>,</w:t>
      </w:r>
      <w:r w:rsidRPr="006E3DC8">
        <w:t xml:space="preserve"> nel nostro Paese ogni anno si registrano </w:t>
      </w:r>
      <w:r w:rsidRPr="00BE4036">
        <w:rPr>
          <w:b/>
        </w:rPr>
        <w:t>da</w:t>
      </w:r>
      <w:r w:rsidRPr="006E3DC8">
        <w:rPr>
          <w:b/>
        </w:rPr>
        <w:t xml:space="preserve"> 5 a 8 milioni </w:t>
      </w:r>
      <w:r w:rsidRPr="006E3DC8">
        <w:t>di casi di sindrome influenzale</w:t>
      </w:r>
      <w:r>
        <w:t xml:space="preserve"> (8 milioni negli anni di picco), con un’incidenza di 3,5 casi per 1.000 a settimana (da 5 a 14 nei periodi di picco). C</w:t>
      </w:r>
      <w:r w:rsidRPr="006E3DC8">
        <w:t xml:space="preserve">irca </w:t>
      </w:r>
      <w:r w:rsidRPr="006E3DC8">
        <w:rPr>
          <w:b/>
        </w:rPr>
        <w:t>8.000</w:t>
      </w:r>
      <w:r w:rsidRPr="006E3DC8">
        <w:t xml:space="preserve"> </w:t>
      </w:r>
      <w:r>
        <w:t xml:space="preserve">decessi </w:t>
      </w:r>
      <w:r w:rsidRPr="00011DBA">
        <w:t xml:space="preserve">possono essere direttamente correlati con l’infezione influenzale e di questi </w:t>
      </w:r>
      <w:r w:rsidRPr="00011DBA">
        <w:rPr>
          <w:b/>
        </w:rPr>
        <w:t>80%</w:t>
      </w:r>
      <w:r w:rsidRPr="00011DBA">
        <w:t xml:space="preserve"> è rappresentato da </w:t>
      </w:r>
      <w:r w:rsidRPr="00011DBA">
        <w:rPr>
          <w:b/>
        </w:rPr>
        <w:t>anziani</w:t>
      </w:r>
      <w:r>
        <w:t xml:space="preserve">. </w:t>
      </w:r>
    </w:p>
    <w:p w:rsidR="00204143" w:rsidRPr="00624A23" w:rsidRDefault="00204143" w:rsidP="00204143">
      <w:pPr>
        <w:spacing w:after="0"/>
        <w:jc w:val="both"/>
      </w:pPr>
    </w:p>
    <w:p w:rsidR="00204143" w:rsidRPr="007575D9" w:rsidRDefault="00FB172A" w:rsidP="00204143">
      <w:pPr>
        <w:spacing w:after="0"/>
        <w:ind w:firstLine="284"/>
        <w:jc w:val="both"/>
        <w:rPr>
          <w:color w:val="0070C0"/>
          <w:u w:val="single"/>
        </w:rPr>
      </w:pPr>
      <w:r>
        <w:rPr>
          <w:color w:val="0070C0"/>
          <w:u w:val="single"/>
        </w:rPr>
        <w:t>Dati s</w:t>
      </w:r>
      <w:r w:rsidR="00204143">
        <w:rPr>
          <w:color w:val="0070C0"/>
          <w:u w:val="single"/>
        </w:rPr>
        <w:t>tagione 2014-2015</w:t>
      </w:r>
      <w:r w:rsidR="00E775F3">
        <w:rPr>
          <w:color w:val="0070C0"/>
          <w:u w:val="single"/>
        </w:rPr>
        <w:t xml:space="preserve"> relativi all’Italia</w:t>
      </w:r>
    </w:p>
    <w:p w:rsidR="00204143" w:rsidRPr="00B51612" w:rsidRDefault="00204143" w:rsidP="00204143">
      <w:pPr>
        <w:spacing w:after="0"/>
        <w:jc w:val="both"/>
        <w:rPr>
          <w:b/>
          <w:color w:val="0070C0"/>
          <w:sz w:val="6"/>
          <w:szCs w:val="6"/>
        </w:rPr>
      </w:pPr>
    </w:p>
    <w:p w:rsidR="00204143" w:rsidRDefault="00045FB2" w:rsidP="00204143">
      <w:pPr>
        <w:contextualSpacing/>
        <w:jc w:val="both"/>
      </w:pPr>
      <w:r>
        <w:t xml:space="preserve">Dall’inizio della sorveglianza 2014-2015 sono </w:t>
      </w:r>
      <w:r w:rsidR="00DD54F5">
        <w:rPr>
          <w:b/>
        </w:rPr>
        <w:t>circa 5.958</w:t>
      </w:r>
      <w:r w:rsidRPr="00045FB2">
        <w:rPr>
          <w:b/>
        </w:rPr>
        <w:t>.000 i casi di influenza</w:t>
      </w:r>
      <w:r w:rsidRPr="00045FB2">
        <w:t xml:space="preserve"> registrati</w:t>
      </w:r>
      <w:r>
        <w:rPr>
          <w:b/>
        </w:rPr>
        <w:t xml:space="preserve">, </w:t>
      </w:r>
      <w:r w:rsidR="00DD54F5">
        <w:rPr>
          <w:b/>
        </w:rPr>
        <w:t>631</w:t>
      </w:r>
      <w:r w:rsidR="00204143" w:rsidRPr="00204143">
        <w:rPr>
          <w:b/>
        </w:rPr>
        <w:t xml:space="preserve"> i casi gravi</w:t>
      </w:r>
      <w:r w:rsidR="00204143">
        <w:t xml:space="preserve"> di influenza confermata, </w:t>
      </w:r>
      <w:r w:rsidR="00DD54F5">
        <w:rPr>
          <w:b/>
        </w:rPr>
        <w:t>148</w:t>
      </w:r>
      <w:r w:rsidR="00204143" w:rsidRPr="00204143">
        <w:rPr>
          <w:b/>
        </w:rPr>
        <w:t xml:space="preserve"> dei quali deceduti</w:t>
      </w:r>
      <w:r w:rsidR="00204143">
        <w:t xml:space="preserve">. Il </w:t>
      </w:r>
      <w:r w:rsidR="00DD54F5">
        <w:t>77% dei casi gravi e il 90</w:t>
      </w:r>
      <w:r w:rsidR="00204143">
        <w:t>% dei decessi segnalati al sistema, presenta almeno una patologia cronica preesistente. Le più rappresentate sono</w:t>
      </w:r>
      <w:r w:rsidR="00DD54F5">
        <w:t xml:space="preserve"> le malattie cardiovascolari (33</w:t>
      </w:r>
      <w:r w:rsidR="00204143">
        <w:t>%), seguite dalle ma</w:t>
      </w:r>
      <w:r w:rsidR="00DD54F5">
        <w:t>lattie respiratorie croniche (29</w:t>
      </w:r>
      <w:r w:rsidR="00204143">
        <w:t xml:space="preserve">%) e dal diabete (16%). </w:t>
      </w:r>
    </w:p>
    <w:p w:rsidR="009F3E47" w:rsidRDefault="009F3E47" w:rsidP="00204143">
      <w:pPr>
        <w:contextualSpacing/>
        <w:jc w:val="both"/>
      </w:pPr>
      <w:r>
        <w:t>Sulla base dell’ultima rilevazio</w:t>
      </w:r>
      <w:r w:rsidR="00B631DC">
        <w:t>ne ISS disponibile (settimana 13</w:t>
      </w:r>
      <w:r>
        <w:t xml:space="preserve"> del 2015), il </w:t>
      </w:r>
      <w:r w:rsidR="00B631DC">
        <w:rPr>
          <w:b/>
        </w:rPr>
        <w:t>9,9</w:t>
      </w:r>
      <w:r w:rsidRPr="009F3E47">
        <w:rPr>
          <w:b/>
        </w:rPr>
        <w:t>%</w:t>
      </w:r>
      <w:r>
        <w:t xml:space="preserve"> di tutte le persone che si sono rivolte ai pronto soccorso è stato visitato per un’infezione respiratoria con febbre. Di </w:t>
      </w:r>
      <w:r w:rsidR="00B631DC">
        <w:t>questi, il 20,1</w:t>
      </w:r>
      <w:r>
        <w:t>% è stato ricoverato</w:t>
      </w:r>
      <w:r w:rsidR="00B631DC">
        <w:t>. Il numero di accessi ai pronto soccorso per sindrome respiratoria con febbre nella stagione 2014-2015 è stato maggiore rispetto a quanto osservato nelle stagioni precedenti</w:t>
      </w:r>
      <w:r w:rsidR="004F2429" w:rsidRPr="004F2429">
        <w:rPr>
          <w:vertAlign w:val="superscript"/>
        </w:rPr>
        <w:t>5</w:t>
      </w:r>
      <w:r w:rsidR="0091250B">
        <w:rPr>
          <w:vertAlign w:val="superscript"/>
        </w:rPr>
        <w:t>,6</w:t>
      </w:r>
      <w:r>
        <w:t>.</w:t>
      </w:r>
    </w:p>
    <w:p w:rsidR="00FB172A" w:rsidRDefault="0091250B" w:rsidP="00204143">
      <w:pPr>
        <w:jc w:val="both"/>
      </w:pPr>
      <w:r>
        <w:t xml:space="preserve">I dati europei del sistema di rilevazione Euromomo mostrano, infine, un </w:t>
      </w:r>
      <w:r w:rsidRPr="00B631DC">
        <w:rPr>
          <w:b/>
        </w:rPr>
        <w:t>eccesso di mortalità</w:t>
      </w:r>
      <w:r>
        <w:t xml:space="preserve"> nella popolazione </w:t>
      </w:r>
      <w:r w:rsidRPr="00B631DC">
        <w:rPr>
          <w:b/>
        </w:rPr>
        <w:t>over 65</w:t>
      </w:r>
      <w:r>
        <w:t xml:space="preserve"> nella stagione 2015 rispetto alle quattro stagioni precedenti</w:t>
      </w:r>
      <w:r w:rsidRPr="0091250B">
        <w:rPr>
          <w:vertAlign w:val="superscript"/>
        </w:rPr>
        <w:t>7</w:t>
      </w:r>
      <w:r>
        <w:t xml:space="preserve">. </w:t>
      </w:r>
    </w:p>
    <w:p w:rsidR="00E532A3" w:rsidRDefault="00E532A3" w:rsidP="00FB172A">
      <w:pPr>
        <w:spacing w:after="0"/>
        <w:jc w:val="both"/>
        <w:rPr>
          <w:b/>
          <w:color w:val="0070C0"/>
        </w:rPr>
      </w:pPr>
    </w:p>
    <w:p w:rsidR="00E532A3" w:rsidRDefault="00E532A3" w:rsidP="00FB172A">
      <w:pPr>
        <w:spacing w:after="0"/>
        <w:jc w:val="both"/>
        <w:rPr>
          <w:b/>
          <w:color w:val="0070C0"/>
        </w:rPr>
      </w:pPr>
    </w:p>
    <w:p w:rsidR="00FB172A" w:rsidRDefault="00FB172A" w:rsidP="00FB172A">
      <w:pPr>
        <w:spacing w:after="0"/>
        <w:jc w:val="both"/>
        <w:rPr>
          <w:b/>
          <w:color w:val="0070C0"/>
        </w:rPr>
      </w:pPr>
      <w:r>
        <w:rPr>
          <w:b/>
          <w:color w:val="0070C0"/>
        </w:rPr>
        <w:lastRenderedPageBreak/>
        <w:t>Soggetti a rischio e</w:t>
      </w:r>
      <w:r w:rsidRPr="00667CB1">
        <w:rPr>
          <w:b/>
          <w:color w:val="0070C0"/>
        </w:rPr>
        <w:t xml:space="preserve"> complicanze dell’influenza</w:t>
      </w:r>
    </w:p>
    <w:p w:rsidR="00FB172A" w:rsidRPr="00982144" w:rsidRDefault="00FB172A" w:rsidP="00FB172A">
      <w:pPr>
        <w:spacing w:after="0"/>
        <w:jc w:val="both"/>
        <w:rPr>
          <w:b/>
          <w:color w:val="0070C0"/>
          <w:sz w:val="6"/>
          <w:szCs w:val="6"/>
        </w:rPr>
      </w:pPr>
    </w:p>
    <w:p w:rsidR="00FB172A" w:rsidRPr="00F77849" w:rsidRDefault="00FB172A" w:rsidP="00FB172A">
      <w:pPr>
        <w:spacing w:after="0"/>
        <w:jc w:val="both"/>
      </w:pPr>
      <w:r w:rsidRPr="00BE4036">
        <w:t xml:space="preserve">I virus influenzali, per la loro semplicità di azione e diffusione rendono spesso nell’immaginario comune questa malattia </w:t>
      </w:r>
      <w:r>
        <w:t>“</w:t>
      </w:r>
      <w:r w:rsidRPr="00BE4036">
        <w:t>banale</w:t>
      </w:r>
      <w:r>
        <w:t>”</w:t>
      </w:r>
      <w:r w:rsidRPr="00BE4036">
        <w:t xml:space="preserve"> e scevra da complicanze. S</w:t>
      </w:r>
      <w:r>
        <w:t xml:space="preserve">pesso è cosi, associandosi comunque </w:t>
      </w:r>
      <w:r w:rsidRPr="00BE4036">
        <w:t>ad una riduzione per un breve periodo di tempo della qualità di vita di una persona sana.</w:t>
      </w:r>
      <w:r>
        <w:t xml:space="preserve"> </w:t>
      </w:r>
      <w:r w:rsidRPr="00BE4036">
        <w:t>Altrettanto spesso</w:t>
      </w:r>
      <w:r>
        <w:t xml:space="preserve"> però, soprattutto </w:t>
      </w:r>
      <w:r w:rsidRPr="00982144">
        <w:t xml:space="preserve">negli </w:t>
      </w:r>
      <w:r w:rsidRPr="00A97108">
        <w:rPr>
          <w:b/>
        </w:rPr>
        <w:t>anziani</w:t>
      </w:r>
      <w:r>
        <w:t xml:space="preserve">, nei </w:t>
      </w:r>
      <w:r w:rsidRPr="00A97108">
        <w:rPr>
          <w:b/>
        </w:rPr>
        <w:t>soggetti con un sistema immunitario indebolito</w:t>
      </w:r>
      <w:r w:rsidRPr="00982144">
        <w:t xml:space="preserve"> da terapie o da malattie e nelle </w:t>
      </w:r>
      <w:r w:rsidRPr="00A97108">
        <w:rPr>
          <w:b/>
        </w:rPr>
        <w:t>persone affette da malattie croniche</w:t>
      </w:r>
      <w:r>
        <w:t>,</w:t>
      </w:r>
      <w:r w:rsidRPr="00982144">
        <w:t xml:space="preserve"> </w:t>
      </w:r>
      <w:r w:rsidRPr="00BE4036">
        <w:t>l’influenza può presentare importanti complicanze, tali da rendere necessari</w:t>
      </w:r>
      <w:r>
        <w:t>o</w:t>
      </w:r>
      <w:r w:rsidRPr="00BE4036">
        <w:t xml:space="preserve"> il ricovero ospedaliero e portare alla perdita dell’autosufficienza se non, in alcuni casi, anche alla morte</w:t>
      </w:r>
      <w:r>
        <w:t xml:space="preserve">. Le complicanze dell’influenza vanno dalle polmoniti batteriche </w:t>
      </w:r>
      <w:r w:rsidRPr="00982144">
        <w:t>al peggioramento di malattie preesistenti (ad esempio malattie croniche dell’apparato cardio- vascolare o respiratorio), alle sinusiti e</w:t>
      </w:r>
      <w:r>
        <w:t xml:space="preserve"> alle otiti (queste ultime soprattutto nei bambini). Le </w:t>
      </w:r>
      <w:r w:rsidRPr="00982144">
        <w:rPr>
          <w:b/>
        </w:rPr>
        <w:t>complicanze respiratorie</w:t>
      </w:r>
      <w:r>
        <w:t xml:space="preserve"> sono le più frequenti, soprattutto le polmoniti batteriche, ma anche le </w:t>
      </w:r>
      <w:r w:rsidRPr="00FB4E7E">
        <w:t>polmoniti virali</w:t>
      </w:r>
      <w:r>
        <w:t xml:space="preserve">, di solito ad elevata mortalità. Vi sono poi le </w:t>
      </w:r>
      <w:r w:rsidRPr="00982144">
        <w:rPr>
          <w:b/>
        </w:rPr>
        <w:t>complicanze cardiache</w:t>
      </w:r>
      <w:r w:rsidR="00DD54F5">
        <w:t xml:space="preserve"> che possono comparire a</w:t>
      </w:r>
      <w:r>
        <w:t xml:space="preserve"> seguito dell’influenza e causare</w:t>
      </w:r>
      <w:r w:rsidRPr="006D0539">
        <w:t xml:space="preserve"> </w:t>
      </w:r>
      <w:r>
        <w:t xml:space="preserve">improvvisamente, soprattutto negli anziani, arresto cardiaco e morte. </w:t>
      </w:r>
    </w:p>
    <w:p w:rsidR="00FB172A" w:rsidRPr="00982144" w:rsidRDefault="00FB172A" w:rsidP="00FB172A">
      <w:pPr>
        <w:spacing w:after="0"/>
        <w:jc w:val="both"/>
      </w:pPr>
      <w:r>
        <w:t xml:space="preserve">Particolari categorie come ad esempio i </w:t>
      </w:r>
      <w:r w:rsidRPr="00624A23">
        <w:rPr>
          <w:b/>
        </w:rPr>
        <w:t xml:space="preserve">diabetici </w:t>
      </w:r>
      <w:r>
        <w:t xml:space="preserve">possono andare incontro ad un aggravamento della </w:t>
      </w:r>
      <w:r w:rsidRPr="00982144">
        <w:t>malattia, con sviluppo di chetoacidosi</w:t>
      </w:r>
      <w:r>
        <w:t xml:space="preserve"> che </w:t>
      </w:r>
      <w:r w:rsidRPr="00982144">
        <w:t>può associarsi ad ipopot</w:t>
      </w:r>
      <w:r>
        <w:t xml:space="preserve">assiemia e portare a gravissime </w:t>
      </w:r>
      <w:r w:rsidRPr="00982144">
        <w:t xml:space="preserve">conseguenze. Una particolare attenzione </w:t>
      </w:r>
      <w:r>
        <w:t xml:space="preserve">va rivolta infine alle </w:t>
      </w:r>
      <w:r w:rsidRPr="00624A23">
        <w:rPr>
          <w:b/>
        </w:rPr>
        <w:t>donne in gravidanza</w:t>
      </w:r>
      <w:r>
        <w:t xml:space="preserve"> </w:t>
      </w:r>
      <w:r w:rsidRPr="00982144">
        <w:t>che possono andare incont</w:t>
      </w:r>
      <w:r>
        <w:t xml:space="preserve">ro a complicazioni a carico del </w:t>
      </w:r>
      <w:r w:rsidRPr="00982144">
        <w:t>sistema cardio-respiratorio, con conseguent</w:t>
      </w:r>
      <w:r>
        <w:t xml:space="preserve">i danni al feto da ipossia cioè </w:t>
      </w:r>
      <w:r w:rsidRPr="00982144">
        <w:t>carenza di ossigeno.</w:t>
      </w:r>
    </w:p>
    <w:p w:rsidR="00FB172A" w:rsidRPr="001F4D1A" w:rsidRDefault="00FB172A" w:rsidP="00FB172A">
      <w:pPr>
        <w:spacing w:after="0"/>
        <w:jc w:val="both"/>
      </w:pPr>
    </w:p>
    <w:p w:rsidR="00FB172A" w:rsidRDefault="00FB172A" w:rsidP="00FB172A">
      <w:pPr>
        <w:spacing w:after="0"/>
        <w:jc w:val="both"/>
        <w:rPr>
          <w:b/>
          <w:color w:val="0070C0"/>
        </w:rPr>
      </w:pPr>
      <w:r w:rsidRPr="006E3DC8">
        <w:rPr>
          <w:b/>
          <w:color w:val="0070C0"/>
        </w:rPr>
        <w:t>L’influenza</w:t>
      </w:r>
      <w:r>
        <w:rPr>
          <w:b/>
          <w:color w:val="0070C0"/>
        </w:rPr>
        <w:t xml:space="preserve">: un </w:t>
      </w:r>
      <w:r w:rsidRPr="006E3DC8">
        <w:rPr>
          <w:b/>
          <w:color w:val="0070C0"/>
        </w:rPr>
        <w:t>problema di sanità pubblica</w:t>
      </w:r>
      <w:r>
        <w:rPr>
          <w:b/>
          <w:color w:val="0070C0"/>
        </w:rPr>
        <w:t xml:space="preserve"> </w:t>
      </w:r>
    </w:p>
    <w:p w:rsidR="00FB172A" w:rsidRPr="00624A23" w:rsidRDefault="00FB172A" w:rsidP="00FB172A">
      <w:pPr>
        <w:spacing w:after="0"/>
        <w:jc w:val="both"/>
        <w:rPr>
          <w:b/>
          <w:color w:val="0070C0"/>
          <w:sz w:val="6"/>
          <w:szCs w:val="6"/>
        </w:rPr>
      </w:pPr>
    </w:p>
    <w:p w:rsidR="00FB172A" w:rsidRDefault="00FB172A" w:rsidP="00FB172A">
      <w:pPr>
        <w:spacing w:after="0"/>
        <w:jc w:val="both"/>
      </w:pPr>
      <w:r w:rsidRPr="00DB0328">
        <w:t xml:space="preserve">L'influenza stagionale ha un forte impatto socio-sanitario </w:t>
      </w:r>
      <w:r>
        <w:t>ed economico a livello globale</w:t>
      </w:r>
      <w:r w:rsidRPr="00DB0328">
        <w:t xml:space="preserve">. </w:t>
      </w:r>
      <w:r>
        <w:t xml:space="preserve">Nel </w:t>
      </w:r>
      <w:r w:rsidRPr="006E3DC8">
        <w:t>2003 l’OMS ha indicato ai Paesi membri di attivare con urgenza politiche vaccinali in grado di produrre un incremento delle coperture per l’influenza nei gruppi ad alto rischio e negli anziani al di sopra dei 65</w:t>
      </w:r>
      <w:r>
        <w:t xml:space="preserve"> </w:t>
      </w:r>
      <w:r w:rsidRPr="006E3DC8">
        <w:t>anni, raggiungendo e mantenendo</w:t>
      </w:r>
      <w:r>
        <w:t>, entro il 2010,</w:t>
      </w:r>
      <w:r w:rsidRPr="006E3DC8">
        <w:t xml:space="preserve"> </w:t>
      </w:r>
      <w:r>
        <w:t xml:space="preserve">coperture </w:t>
      </w:r>
      <w:r w:rsidRPr="006E3DC8">
        <w:t xml:space="preserve">vaccinali del </w:t>
      </w:r>
      <w:r w:rsidRPr="006E3DC8">
        <w:rPr>
          <w:b/>
        </w:rPr>
        <w:t>75%</w:t>
      </w:r>
      <w:r w:rsidRPr="006E3DC8">
        <w:t xml:space="preserve"> come </w:t>
      </w:r>
      <w:r w:rsidRPr="00624A23">
        <w:rPr>
          <w:b/>
        </w:rPr>
        <w:t>obiettivo minimo perseguibile</w:t>
      </w:r>
      <w:r w:rsidRPr="006E3DC8">
        <w:t xml:space="preserve"> e del </w:t>
      </w:r>
      <w:r w:rsidRPr="006E3DC8">
        <w:rPr>
          <w:b/>
        </w:rPr>
        <w:t>95%</w:t>
      </w:r>
      <w:r w:rsidRPr="006E3DC8">
        <w:t xml:space="preserve"> come </w:t>
      </w:r>
      <w:r w:rsidRPr="00624A23">
        <w:rPr>
          <w:b/>
        </w:rPr>
        <w:t>obiettivo ottimale</w:t>
      </w:r>
      <w:r>
        <w:rPr>
          <w:vertAlign w:val="superscript"/>
        </w:rPr>
        <w:t>8</w:t>
      </w:r>
      <w:r w:rsidRPr="006E3DC8">
        <w:t xml:space="preserve">. </w:t>
      </w:r>
      <w:r>
        <w:t>Anche le raccomandazioni del Consiglio Europeo del 2009 hanno indicato ai Paesi membri di promuovere entro la stagione invernale 2014-2015 una copertura vaccinale del 75% per i soggetti a rischio</w:t>
      </w:r>
      <w:r>
        <w:rPr>
          <w:vertAlign w:val="superscript"/>
        </w:rPr>
        <w:t>9</w:t>
      </w:r>
      <w:r>
        <w:t>.</w:t>
      </w:r>
    </w:p>
    <w:p w:rsidR="00FB172A" w:rsidRPr="00E532A3" w:rsidRDefault="00FB172A" w:rsidP="00FB172A">
      <w:pPr>
        <w:spacing w:after="0"/>
        <w:jc w:val="both"/>
        <w:rPr>
          <w:sz w:val="10"/>
          <w:szCs w:val="10"/>
        </w:rPr>
      </w:pPr>
      <w:r>
        <w:t>Questi</w:t>
      </w:r>
      <w:r w:rsidRPr="006E3DC8">
        <w:t xml:space="preserve"> obiettivi </w:t>
      </w:r>
      <w:r>
        <w:t>sono indicati n</w:t>
      </w:r>
      <w:r w:rsidRPr="006E3DC8">
        <w:t xml:space="preserve">el Piano Nazionale di Prevenzione Vaccinale </w:t>
      </w:r>
      <w:r>
        <w:t xml:space="preserve">(PNPV) </w:t>
      </w:r>
      <w:r w:rsidRPr="006E3DC8">
        <w:t>2012-2014</w:t>
      </w:r>
      <w:r>
        <w:rPr>
          <w:vertAlign w:val="superscript"/>
        </w:rPr>
        <w:t>10</w:t>
      </w:r>
      <w:r w:rsidRPr="006E3DC8">
        <w:t xml:space="preserve"> che prevede l’</w:t>
      </w:r>
      <w:r w:rsidRPr="006E3DC8">
        <w:rPr>
          <w:b/>
        </w:rPr>
        <w:t xml:space="preserve">offerta attiva e gratuita </w:t>
      </w:r>
      <w:r w:rsidRPr="006E3DC8">
        <w:t>della vaccinazione antinfluenzale per i soggetti che per le loro condizioni personali o di esposizione (operatori sanitari) corrono un maggior rischio di andare incontro a complicanze nel caso contraggano l'influenza, come gli anziani e le persone affette da patologie quali:</w:t>
      </w:r>
    </w:p>
    <w:p w:rsidR="00FB172A" w:rsidRPr="006E3DC8" w:rsidRDefault="00B631DC" w:rsidP="00FB172A">
      <w:pPr>
        <w:pStyle w:val="Paragrafoelenco"/>
        <w:numPr>
          <w:ilvl w:val="0"/>
          <w:numId w:val="1"/>
        </w:numPr>
        <w:spacing w:after="0"/>
        <w:ind w:left="567" w:hanging="283"/>
        <w:jc w:val="both"/>
      </w:pPr>
      <w:r w:rsidRPr="006E3DC8">
        <w:t>Malattie</w:t>
      </w:r>
      <w:r w:rsidR="00FB172A" w:rsidRPr="006E3DC8">
        <w:t xml:space="preserve"> croniche a carico dell'apparato respiratorio come l’asma, la displasia broncopolmonare, la fibrosi cistica e la broncopneumopatia cronico ostruttiva (BPCO);</w:t>
      </w:r>
    </w:p>
    <w:p w:rsidR="00FB172A" w:rsidRPr="006E3DC8" w:rsidRDefault="00B631DC" w:rsidP="00FB172A">
      <w:pPr>
        <w:pStyle w:val="Paragrafoelenco"/>
        <w:numPr>
          <w:ilvl w:val="0"/>
          <w:numId w:val="1"/>
        </w:numPr>
        <w:spacing w:after="0"/>
        <w:ind w:left="567" w:hanging="283"/>
        <w:jc w:val="both"/>
      </w:pPr>
      <w:r w:rsidRPr="006E3DC8">
        <w:t>Malattie</w:t>
      </w:r>
      <w:r w:rsidR="00FB172A" w:rsidRPr="006E3DC8">
        <w:t xml:space="preserve"> dell’apparato cardio-circolatorio, comprese le cardiopatie congenite e acquisite;</w:t>
      </w:r>
    </w:p>
    <w:p w:rsidR="00FB172A" w:rsidRPr="006E3DC8" w:rsidRDefault="00B631DC" w:rsidP="00FB172A">
      <w:pPr>
        <w:pStyle w:val="Paragrafoelenco"/>
        <w:numPr>
          <w:ilvl w:val="0"/>
          <w:numId w:val="1"/>
        </w:numPr>
        <w:spacing w:after="0"/>
        <w:ind w:left="567" w:hanging="283"/>
        <w:jc w:val="both"/>
      </w:pPr>
      <w:r w:rsidRPr="006E3DC8">
        <w:t>Diabete</w:t>
      </w:r>
      <w:r w:rsidR="00FB172A" w:rsidRPr="006E3DC8">
        <w:t xml:space="preserve"> mellito e altre malattie metaboliche;</w:t>
      </w:r>
    </w:p>
    <w:p w:rsidR="00FB172A" w:rsidRPr="006E3DC8" w:rsidRDefault="00B631DC" w:rsidP="00FB172A">
      <w:pPr>
        <w:pStyle w:val="Paragrafoelenco"/>
        <w:numPr>
          <w:ilvl w:val="0"/>
          <w:numId w:val="1"/>
        </w:numPr>
        <w:spacing w:after="0"/>
        <w:ind w:left="567" w:hanging="283"/>
        <w:jc w:val="both"/>
      </w:pPr>
      <w:r w:rsidRPr="006E3DC8">
        <w:t>Insufficienza</w:t>
      </w:r>
      <w:r w:rsidR="00FB172A" w:rsidRPr="006E3DC8">
        <w:t xml:space="preserve"> renale cronica;</w:t>
      </w:r>
    </w:p>
    <w:p w:rsidR="00FB172A" w:rsidRPr="006E3DC8" w:rsidRDefault="00B631DC" w:rsidP="00FB172A">
      <w:pPr>
        <w:pStyle w:val="Paragrafoelenco"/>
        <w:numPr>
          <w:ilvl w:val="0"/>
          <w:numId w:val="1"/>
        </w:numPr>
        <w:spacing w:after="0"/>
        <w:ind w:left="567" w:hanging="283"/>
        <w:jc w:val="both"/>
      </w:pPr>
      <w:r w:rsidRPr="006E3DC8">
        <w:t>Malattie</w:t>
      </w:r>
      <w:r w:rsidR="00FB172A" w:rsidRPr="006E3DC8">
        <w:t xml:space="preserve"> degli organi emopoietici ed </w:t>
      </w:r>
      <w:proofErr w:type="spellStart"/>
      <w:r w:rsidR="00FB172A" w:rsidRPr="006E3DC8">
        <w:t>emoglobinopatie</w:t>
      </w:r>
      <w:proofErr w:type="spellEnd"/>
      <w:r w:rsidR="00FB172A" w:rsidRPr="006E3DC8">
        <w:t>;</w:t>
      </w:r>
    </w:p>
    <w:p w:rsidR="00FB172A" w:rsidRPr="006E3DC8" w:rsidRDefault="00B631DC" w:rsidP="00FB172A">
      <w:pPr>
        <w:pStyle w:val="Paragrafoelenco"/>
        <w:numPr>
          <w:ilvl w:val="0"/>
          <w:numId w:val="1"/>
        </w:numPr>
        <w:spacing w:after="0"/>
        <w:ind w:left="567" w:hanging="283"/>
        <w:jc w:val="both"/>
      </w:pPr>
      <w:r w:rsidRPr="006E3DC8">
        <w:t>Tumori</w:t>
      </w:r>
      <w:r w:rsidR="00FB172A" w:rsidRPr="006E3DC8">
        <w:t>;</w:t>
      </w:r>
    </w:p>
    <w:p w:rsidR="00FB172A" w:rsidRPr="006E3DC8" w:rsidRDefault="00B631DC" w:rsidP="00FB172A">
      <w:pPr>
        <w:pStyle w:val="Paragrafoelenco"/>
        <w:numPr>
          <w:ilvl w:val="0"/>
          <w:numId w:val="1"/>
        </w:numPr>
        <w:spacing w:after="0"/>
        <w:ind w:left="567" w:hanging="283"/>
        <w:jc w:val="both"/>
      </w:pPr>
      <w:r w:rsidRPr="006E3DC8">
        <w:t>Malattie</w:t>
      </w:r>
      <w:r w:rsidR="00FB172A" w:rsidRPr="006E3DC8">
        <w:t xml:space="preserve"> congenite o acquisite che comportino carente produzione di anticorpi, immunosoppressione indotta da farmaci o da HIV;</w:t>
      </w:r>
    </w:p>
    <w:p w:rsidR="00FB172A" w:rsidRPr="006E3DC8" w:rsidRDefault="00B631DC" w:rsidP="00FB172A">
      <w:pPr>
        <w:pStyle w:val="Paragrafoelenco"/>
        <w:numPr>
          <w:ilvl w:val="0"/>
          <w:numId w:val="1"/>
        </w:numPr>
        <w:spacing w:after="0"/>
        <w:ind w:left="567" w:hanging="283"/>
        <w:jc w:val="both"/>
      </w:pPr>
      <w:r w:rsidRPr="006E3DC8">
        <w:t>Malattie</w:t>
      </w:r>
      <w:r w:rsidR="00FB172A" w:rsidRPr="006E3DC8">
        <w:t xml:space="preserve"> infiammatorie croniche e sindromi da malassorbimento intestinale;</w:t>
      </w:r>
    </w:p>
    <w:p w:rsidR="00FB172A" w:rsidRPr="006E3DC8" w:rsidRDefault="00B631DC" w:rsidP="00FB172A">
      <w:pPr>
        <w:pStyle w:val="Paragrafoelenco"/>
        <w:numPr>
          <w:ilvl w:val="0"/>
          <w:numId w:val="1"/>
        </w:numPr>
        <w:spacing w:after="0"/>
        <w:ind w:left="567" w:hanging="283"/>
        <w:jc w:val="both"/>
      </w:pPr>
      <w:r w:rsidRPr="006E3DC8">
        <w:t>Patologie</w:t>
      </w:r>
      <w:r w:rsidR="00FB172A" w:rsidRPr="006E3DC8">
        <w:t xml:space="preserve"> per le quali sono programmati importanti interventi chirurgici;</w:t>
      </w:r>
    </w:p>
    <w:p w:rsidR="00FB172A" w:rsidRPr="006E3DC8" w:rsidRDefault="00B631DC" w:rsidP="00FB172A">
      <w:pPr>
        <w:pStyle w:val="Paragrafoelenco"/>
        <w:numPr>
          <w:ilvl w:val="0"/>
          <w:numId w:val="1"/>
        </w:numPr>
        <w:spacing w:after="0"/>
        <w:ind w:left="567" w:hanging="283"/>
        <w:jc w:val="both"/>
      </w:pPr>
      <w:r w:rsidRPr="006E3DC8">
        <w:t>Patologie</w:t>
      </w:r>
      <w:r w:rsidR="00FB172A" w:rsidRPr="006E3DC8">
        <w:t xml:space="preserve"> associate a un aumentato rischio di aspirazione delle secrezioni respiratorie (ad esempio le malattie neuromuscolari); </w:t>
      </w:r>
    </w:p>
    <w:p w:rsidR="00C9443D" w:rsidRPr="00E532A3" w:rsidRDefault="00B631DC" w:rsidP="00E532A3">
      <w:pPr>
        <w:pStyle w:val="Paragrafoelenco"/>
        <w:numPr>
          <w:ilvl w:val="0"/>
          <w:numId w:val="1"/>
        </w:numPr>
        <w:spacing w:after="0"/>
        <w:ind w:left="567" w:hanging="283"/>
        <w:jc w:val="both"/>
      </w:pPr>
      <w:r w:rsidRPr="006E3DC8">
        <w:t>Epatopatie</w:t>
      </w:r>
      <w:r w:rsidR="00FB172A" w:rsidRPr="006E3DC8">
        <w:t xml:space="preserve"> croniche.</w:t>
      </w:r>
    </w:p>
    <w:p w:rsidR="005C6BCF" w:rsidRPr="007575D9" w:rsidRDefault="005C6BCF" w:rsidP="005C6BCF">
      <w:pPr>
        <w:spacing w:after="0"/>
        <w:ind w:firstLine="284"/>
        <w:jc w:val="both"/>
        <w:rPr>
          <w:color w:val="0070C0"/>
          <w:u w:val="single"/>
        </w:rPr>
      </w:pPr>
      <w:r w:rsidRPr="007575D9">
        <w:rPr>
          <w:color w:val="0070C0"/>
          <w:u w:val="single"/>
        </w:rPr>
        <w:lastRenderedPageBreak/>
        <w:t>Strategie vaccinali contro l’influenza</w:t>
      </w:r>
      <w:r>
        <w:rPr>
          <w:color w:val="0070C0"/>
          <w:u w:val="single"/>
        </w:rPr>
        <w:t xml:space="preserve"> </w:t>
      </w:r>
    </w:p>
    <w:p w:rsidR="005C6BCF" w:rsidRPr="00B51612" w:rsidRDefault="005C6BCF" w:rsidP="005C6BCF">
      <w:pPr>
        <w:spacing w:after="0"/>
        <w:jc w:val="both"/>
        <w:rPr>
          <w:b/>
          <w:color w:val="0070C0"/>
          <w:sz w:val="6"/>
          <w:szCs w:val="6"/>
        </w:rPr>
      </w:pPr>
    </w:p>
    <w:p w:rsidR="005C6BCF" w:rsidRPr="000E2C2A" w:rsidRDefault="005C6BCF" w:rsidP="005C6BCF">
      <w:pPr>
        <w:spacing w:after="0"/>
        <w:jc w:val="both"/>
        <w:rPr>
          <w:sz w:val="10"/>
          <w:szCs w:val="10"/>
        </w:rPr>
      </w:pPr>
      <w:r w:rsidRPr="000E2C2A">
        <w:t>Le persone affette da malattie croniche rappresentano il target principale della vaccinazione influenzale. Altro target elettivo è rappresentato dalla popolazione anziana, motivo per cui la</w:t>
      </w:r>
      <w:r w:rsidRPr="006E3DC8">
        <w:t xml:space="preserve"> maggior parte dei Paesi prevede </w:t>
      </w:r>
      <w:r w:rsidRPr="000E2C2A">
        <w:rPr>
          <w:b/>
        </w:rPr>
        <w:t>raccomandazioni sulla base di una soglia per età</w:t>
      </w:r>
      <w:r w:rsidRPr="006E3DC8">
        <w:t xml:space="preserve">, solitamente rappresentata dai </w:t>
      </w:r>
      <w:r w:rsidRPr="000E2C2A">
        <w:rPr>
          <w:b/>
        </w:rPr>
        <w:t>65 anni</w:t>
      </w:r>
      <w:r w:rsidRPr="00624A23">
        <w:t>, in</w:t>
      </w:r>
      <w:r>
        <w:t xml:space="preserve"> alcuni casi abbassata a 60 (</w:t>
      </w:r>
      <w:r w:rsidRPr="006E3DC8">
        <w:t>Germa</w:t>
      </w:r>
      <w:r>
        <w:t>nia, Ungheria, Islanda e Grecia) o 50 (</w:t>
      </w:r>
      <w:r w:rsidRPr="006E3DC8">
        <w:t>Polonia</w:t>
      </w:r>
      <w:r>
        <w:t xml:space="preserve">). Ci sono anche </w:t>
      </w:r>
      <w:r w:rsidRPr="006E3DC8">
        <w:t xml:space="preserve">Paesi, </w:t>
      </w:r>
      <w:r>
        <w:t xml:space="preserve">come gli Stati Uniti e il Canada, in cui </w:t>
      </w:r>
      <w:r w:rsidRPr="006E3DC8">
        <w:t>la vaccinazione per l’influenza è raccoman</w:t>
      </w:r>
      <w:r>
        <w:t xml:space="preserve">data per tutti i gruppi di età per via dei benefici attesi in termini di </w:t>
      </w:r>
      <w:r w:rsidRPr="006E3DC8">
        <w:t xml:space="preserve">aumento della copertura vaccinale, riduzione della morbosità e mortalità, riduzione dell’assenteismo dal lavoro. </w:t>
      </w:r>
    </w:p>
    <w:p w:rsidR="005C6BCF" w:rsidRDefault="005C6BCF" w:rsidP="005C6BCF">
      <w:pPr>
        <w:spacing w:after="0"/>
        <w:jc w:val="both"/>
      </w:pPr>
      <w:r>
        <w:t xml:space="preserve">Tra i </w:t>
      </w:r>
      <w:r w:rsidRPr="00157387">
        <w:t xml:space="preserve">soggetti </w:t>
      </w:r>
      <w:r>
        <w:t>fragili</w:t>
      </w:r>
      <w:r w:rsidRPr="00157387">
        <w:t xml:space="preserve">, la popolazione anziana è una fascia in </w:t>
      </w:r>
      <w:r>
        <w:t xml:space="preserve">significativo aumento a causa del progressivo </w:t>
      </w:r>
      <w:r w:rsidRPr="00157387">
        <w:t>invecchiamento della popolazione. L’aumento d</w:t>
      </w:r>
      <w:r>
        <w:t>ell’</w:t>
      </w:r>
      <w:r w:rsidRPr="00157387">
        <w:t>età</w:t>
      </w:r>
      <w:r>
        <w:t>, inoltre,</w:t>
      </w:r>
      <w:r w:rsidRPr="00157387">
        <w:t xml:space="preserve"> si associa</w:t>
      </w:r>
      <w:r>
        <w:t xml:space="preserve"> a un aument</w:t>
      </w:r>
      <w:r w:rsidRPr="006921D2">
        <w:t xml:space="preserve">o </w:t>
      </w:r>
      <w:r>
        <w:t xml:space="preserve">delle comorbidità che rappresentano fattori di rischio </w:t>
      </w:r>
      <w:r w:rsidRPr="006921D2">
        <w:t xml:space="preserve">che possono facilitare </w:t>
      </w:r>
      <w:r>
        <w:t>lo sviluppo delle infezioni virali</w:t>
      </w:r>
      <w:r w:rsidRPr="006921D2">
        <w:t>.</w:t>
      </w:r>
    </w:p>
    <w:p w:rsidR="00FB172A" w:rsidRDefault="005C6BCF" w:rsidP="00FB172A">
      <w:pPr>
        <w:jc w:val="both"/>
      </w:pPr>
      <w:r>
        <w:t xml:space="preserve">In Italia (dati Istat 2010) oltre il </w:t>
      </w:r>
      <w:r w:rsidRPr="005C6BCF">
        <w:rPr>
          <w:b/>
        </w:rPr>
        <w:t>50%</w:t>
      </w:r>
      <w:r>
        <w:t xml:space="preserve"> delle persone di età compresa tra i </w:t>
      </w:r>
      <w:r w:rsidRPr="005C6BCF">
        <w:rPr>
          <w:b/>
        </w:rPr>
        <w:t>65 e i 74 anni</w:t>
      </w:r>
      <w:r>
        <w:t xml:space="preserve"> soffre di almeno una patologia cronica. Da una ricerca realizzata con il </w:t>
      </w:r>
      <w:r w:rsidRPr="005C6BCF">
        <w:rPr>
          <w:i/>
        </w:rPr>
        <w:t>database</w:t>
      </w:r>
      <w:r>
        <w:t xml:space="preserve"> di </w:t>
      </w:r>
      <w:proofErr w:type="spellStart"/>
      <w:r w:rsidRPr="005C6BCF">
        <w:rPr>
          <w:i/>
        </w:rPr>
        <w:t>Health</w:t>
      </w:r>
      <w:proofErr w:type="spellEnd"/>
      <w:r w:rsidRPr="005C6BCF">
        <w:rPr>
          <w:i/>
        </w:rPr>
        <w:t xml:space="preserve"> </w:t>
      </w:r>
      <w:proofErr w:type="spellStart"/>
      <w:r w:rsidRPr="005C6BCF">
        <w:rPr>
          <w:i/>
        </w:rPr>
        <w:t>Search</w:t>
      </w:r>
      <w:proofErr w:type="spellEnd"/>
      <w:r>
        <w:t xml:space="preserve"> della Società Italiana di Medicina Generale</w:t>
      </w:r>
      <w:r w:rsidR="00CF276D" w:rsidRPr="00CF276D">
        <w:rPr>
          <w:vertAlign w:val="superscript"/>
        </w:rPr>
        <w:t>11</w:t>
      </w:r>
      <w:r w:rsidR="00CF276D">
        <w:t xml:space="preserve"> (937.495 pazienti osservati) con l’obiettivo</w:t>
      </w:r>
      <w:r>
        <w:t xml:space="preserve"> </w:t>
      </w:r>
      <w:r w:rsidR="00CF276D" w:rsidRPr="00157387">
        <w:t xml:space="preserve">di stimare la prevalenza delle patologie croniche per le quali è raccomandata la vaccinazione nella popolazione italiana assistita dai </w:t>
      </w:r>
      <w:r w:rsidR="00CF276D">
        <w:t xml:space="preserve">MMG, è emerso che il </w:t>
      </w:r>
      <w:r w:rsidR="00CF276D" w:rsidRPr="008F7FEF">
        <w:rPr>
          <w:b/>
        </w:rPr>
        <w:t>40%</w:t>
      </w:r>
      <w:r w:rsidR="00CF276D" w:rsidRPr="00157387">
        <w:t xml:space="preserve"> dei</w:t>
      </w:r>
      <w:r w:rsidR="00CF276D">
        <w:t xml:space="preserve"> pazienti</w:t>
      </w:r>
      <w:r w:rsidR="00CF276D" w:rsidRPr="00157387">
        <w:t xml:space="preserve"> presenta almeno un patologia cronica. </w:t>
      </w:r>
      <w:r w:rsidR="00CF276D">
        <w:t xml:space="preserve">La percentuale sale al </w:t>
      </w:r>
      <w:r w:rsidR="00CF276D" w:rsidRPr="007575D9">
        <w:rPr>
          <w:b/>
        </w:rPr>
        <w:t>61%</w:t>
      </w:r>
      <w:r w:rsidR="00CF276D">
        <w:t xml:space="preserve"> nella </w:t>
      </w:r>
      <w:r w:rsidR="00CF276D" w:rsidRPr="00157387">
        <w:t xml:space="preserve">fascia d’età </w:t>
      </w:r>
      <w:r w:rsidR="00CF276D" w:rsidRPr="00603F2C">
        <w:rPr>
          <w:b/>
        </w:rPr>
        <w:t>60-64</w:t>
      </w:r>
      <w:r w:rsidR="00CF276D" w:rsidRPr="00157387">
        <w:t xml:space="preserve"> </w:t>
      </w:r>
      <w:r w:rsidR="00CF276D">
        <w:t xml:space="preserve">per arrivare al </w:t>
      </w:r>
      <w:r w:rsidR="00CF276D" w:rsidRPr="00603F2C">
        <w:rPr>
          <w:b/>
        </w:rPr>
        <w:t>78,5%</w:t>
      </w:r>
      <w:r w:rsidR="00CF276D">
        <w:t xml:space="preserve"> nei</w:t>
      </w:r>
      <w:r w:rsidR="00CF276D" w:rsidRPr="00157387">
        <w:t xml:space="preserve"> soggetti di </w:t>
      </w:r>
      <w:r w:rsidR="00CF276D" w:rsidRPr="007575D9">
        <w:rPr>
          <w:b/>
        </w:rPr>
        <w:t>età superiore a 65 anni</w:t>
      </w:r>
      <w:r w:rsidR="00CF276D">
        <w:t>.</w:t>
      </w:r>
      <w:r w:rsidR="00CF276D" w:rsidRPr="00157387">
        <w:t xml:space="preserve"> Le condizioni di rischio sono risultate più frequenti nelle fasce d’età più avanzate ma</w:t>
      </w:r>
      <w:r w:rsidR="00CF276D">
        <w:t xml:space="preserve"> comunque</w:t>
      </w:r>
      <w:r w:rsidR="00CF276D" w:rsidRPr="00157387">
        <w:t xml:space="preserve"> non trascurabili </w:t>
      </w:r>
      <w:r w:rsidR="00CF276D">
        <w:t>anche nelle persone più giovani</w:t>
      </w:r>
      <w:r w:rsidR="00CF276D" w:rsidRPr="00157387">
        <w:t xml:space="preserve">: </w:t>
      </w:r>
      <w:r w:rsidR="00CF276D" w:rsidRPr="00603F2C">
        <w:rPr>
          <w:b/>
        </w:rPr>
        <w:t>27,9%</w:t>
      </w:r>
      <w:r w:rsidR="00CF276D" w:rsidRPr="00157387">
        <w:t xml:space="preserve"> tra </w:t>
      </w:r>
      <w:r w:rsidR="00CF276D" w:rsidRPr="00E56F19">
        <w:rPr>
          <w:b/>
        </w:rPr>
        <w:t>45 e 49 anni</w:t>
      </w:r>
      <w:r w:rsidR="00CF276D">
        <w:t xml:space="preserve"> e </w:t>
      </w:r>
      <w:r w:rsidR="00CF276D" w:rsidRPr="00603F2C">
        <w:rPr>
          <w:b/>
        </w:rPr>
        <w:t>19,7%</w:t>
      </w:r>
      <w:r w:rsidR="00CF276D" w:rsidRPr="00157387">
        <w:t xml:space="preserve"> tra </w:t>
      </w:r>
      <w:r w:rsidR="00CF276D" w:rsidRPr="00E56F19">
        <w:rPr>
          <w:b/>
        </w:rPr>
        <w:t>40 e 44 anni</w:t>
      </w:r>
      <w:r w:rsidR="00CF276D" w:rsidRPr="00157387">
        <w:t>.</w:t>
      </w:r>
      <w:r w:rsidR="00CF276D">
        <w:t xml:space="preserve"> Inoltre n</w:t>
      </w:r>
      <w:r w:rsidR="00CF276D" w:rsidRPr="006E3DC8">
        <w:t>ei soggetti di età compresa tra i 19 e i 49 anni in buone condizioni di salute, l’influenza</w:t>
      </w:r>
      <w:r w:rsidR="00CF276D">
        <w:t>, sebbene meno impattante dal punto di vista delle complicanze,</w:t>
      </w:r>
      <w:r w:rsidR="00CF276D" w:rsidRPr="006E3DC8">
        <w:t xml:space="preserve"> rappresenta la principale causa di visite mediche</w:t>
      </w:r>
      <w:r w:rsidR="00CF276D">
        <w:t>,</w:t>
      </w:r>
      <w:r w:rsidR="00CF276D" w:rsidRPr="006E3DC8">
        <w:t xml:space="preserve"> </w:t>
      </w:r>
      <w:r w:rsidR="00CF276D">
        <w:t>determinando</w:t>
      </w:r>
      <w:r w:rsidR="00CF276D" w:rsidRPr="006E3DC8">
        <w:t xml:space="preserve"> un carico di lavoro gravoso in particolare per i medici di famiglia. La durata media di assenza dal la</w:t>
      </w:r>
      <w:r w:rsidR="00CF276D">
        <w:t>voro per influenza in Italia è di</w:t>
      </w:r>
      <w:r w:rsidR="00CF276D" w:rsidRPr="006E3DC8">
        <w:t xml:space="preserve"> </w:t>
      </w:r>
      <w:r w:rsidR="00CF276D" w:rsidRPr="006E3DC8">
        <w:rPr>
          <w:b/>
        </w:rPr>
        <w:t>4,8</w:t>
      </w:r>
      <w:r w:rsidR="00CF276D" w:rsidRPr="006E3DC8">
        <w:t xml:space="preserve"> giornate</w:t>
      </w:r>
      <w:r w:rsidR="00CF276D">
        <w:t xml:space="preserve">, con un costo complessivo di </w:t>
      </w:r>
      <w:r w:rsidR="00CF276D" w:rsidRPr="00324559">
        <w:rPr>
          <w:b/>
        </w:rPr>
        <w:t>330</w:t>
      </w:r>
      <w:r w:rsidR="00CF276D">
        <w:rPr>
          <w:b/>
        </w:rPr>
        <w:t xml:space="preserve"> euro </w:t>
      </w:r>
      <w:r w:rsidR="00CF276D" w:rsidRPr="00CF276D">
        <w:t>per ogni caso verificato</w:t>
      </w:r>
      <w:r w:rsidR="00CF276D" w:rsidRPr="00CF276D">
        <w:rPr>
          <w:vertAlign w:val="superscript"/>
        </w:rPr>
        <w:t>12</w:t>
      </w:r>
      <w:r w:rsidR="00CF276D" w:rsidRPr="00CF276D">
        <w:t>.</w:t>
      </w:r>
    </w:p>
    <w:p w:rsidR="00CF276D" w:rsidRDefault="00CF276D" w:rsidP="00CF276D">
      <w:pPr>
        <w:spacing w:after="0"/>
        <w:jc w:val="both"/>
      </w:pPr>
      <w:r>
        <w:t>Per questi motivi, un abbassamento della soglia d’età per la raccomandazione di vaccinazione a 60 o addirittura a 50 anni, indipendentemente dalla condizione clinica, si stima possa produrre benefici di salute ed economici contribuendo a:</w:t>
      </w:r>
    </w:p>
    <w:p w:rsidR="00CF276D" w:rsidRPr="00E56F19" w:rsidRDefault="00CF276D" w:rsidP="00CF276D">
      <w:pPr>
        <w:spacing w:after="0"/>
        <w:jc w:val="both"/>
        <w:rPr>
          <w:sz w:val="6"/>
          <w:szCs w:val="6"/>
        </w:rPr>
      </w:pPr>
    </w:p>
    <w:p w:rsidR="00CF276D" w:rsidRDefault="00943E95" w:rsidP="00CF276D">
      <w:pPr>
        <w:pStyle w:val="Paragrafoelenco"/>
        <w:numPr>
          <w:ilvl w:val="0"/>
          <w:numId w:val="1"/>
        </w:numPr>
        <w:spacing w:after="0"/>
        <w:ind w:left="567" w:hanging="283"/>
        <w:jc w:val="both"/>
      </w:pPr>
      <w:r>
        <w:t>Limitare</w:t>
      </w:r>
      <w:r w:rsidR="00CF276D">
        <w:t xml:space="preserve"> il peso socio-sanitario dell’influenza;</w:t>
      </w:r>
    </w:p>
    <w:p w:rsidR="00CF276D" w:rsidRDefault="00943E95" w:rsidP="00CF276D">
      <w:pPr>
        <w:pStyle w:val="Paragrafoelenco"/>
        <w:numPr>
          <w:ilvl w:val="0"/>
          <w:numId w:val="1"/>
        </w:numPr>
        <w:spacing w:after="0"/>
        <w:ind w:left="567" w:hanging="283"/>
        <w:jc w:val="both"/>
      </w:pPr>
      <w:r>
        <w:t>Contribuire</w:t>
      </w:r>
      <w:r w:rsidR="00CF276D">
        <w:t xml:space="preserve"> all’invecchiamento in buona salute,</w:t>
      </w:r>
    </w:p>
    <w:p w:rsidR="00CF276D" w:rsidRDefault="00943E95" w:rsidP="00CF276D">
      <w:pPr>
        <w:pStyle w:val="Paragrafoelenco"/>
        <w:numPr>
          <w:ilvl w:val="0"/>
          <w:numId w:val="1"/>
        </w:numPr>
        <w:spacing w:after="0"/>
        <w:ind w:left="567" w:hanging="283"/>
        <w:jc w:val="both"/>
      </w:pPr>
      <w:r>
        <w:t>Sostenere</w:t>
      </w:r>
      <w:r w:rsidR="00CF276D">
        <w:t xml:space="preserve"> lo sviluppo e il mantenimento della vita sociale dei soggetti a partire dai 50 anni e ridurre il numero di giorni di lavoro persi a causa della malattia.</w:t>
      </w:r>
    </w:p>
    <w:p w:rsidR="00CF276D" w:rsidRDefault="00CF276D" w:rsidP="00CF276D">
      <w:pPr>
        <w:spacing w:after="0" w:line="240" w:lineRule="auto"/>
      </w:pPr>
    </w:p>
    <w:p w:rsidR="00CF276D" w:rsidRPr="000E2C2A" w:rsidRDefault="00CF276D" w:rsidP="00CF276D">
      <w:pPr>
        <w:spacing w:after="0"/>
        <w:ind w:firstLine="284"/>
        <w:jc w:val="both"/>
        <w:rPr>
          <w:color w:val="0070C0"/>
          <w:u w:val="single"/>
        </w:rPr>
      </w:pPr>
      <w:r w:rsidRPr="000E2C2A">
        <w:rPr>
          <w:color w:val="0070C0"/>
          <w:u w:val="single"/>
        </w:rPr>
        <w:t>La vaccinazione degli operatori sanitari</w:t>
      </w:r>
    </w:p>
    <w:p w:rsidR="00CF276D" w:rsidRPr="003D0EC7" w:rsidRDefault="00CF276D" w:rsidP="00CF276D">
      <w:pPr>
        <w:spacing w:after="0" w:line="240" w:lineRule="auto"/>
        <w:rPr>
          <w:b/>
          <w:sz w:val="6"/>
          <w:szCs w:val="6"/>
        </w:rPr>
      </w:pPr>
    </w:p>
    <w:p w:rsidR="00707394" w:rsidRPr="00B35235" w:rsidRDefault="00CF276D" w:rsidP="00B35235">
      <w:pPr>
        <w:jc w:val="both"/>
        <w:rPr>
          <w:bCs/>
        </w:rPr>
      </w:pPr>
      <w:r w:rsidRPr="00E25889">
        <w:rPr>
          <w:bCs/>
        </w:rPr>
        <w:t xml:space="preserve">Gli operatori sanitari, </w:t>
      </w:r>
      <w:r>
        <w:rPr>
          <w:bCs/>
        </w:rPr>
        <w:t>per via</w:t>
      </w:r>
      <w:r w:rsidRPr="00E25889">
        <w:rPr>
          <w:bCs/>
        </w:rPr>
        <w:t xml:space="preserve"> del contatto con i pazienti e con materiale potenzialmente infetto, sono a elevato rischio di esposizione e di trasmissione di malattie prevenibili attraverso la vaccinazione</w:t>
      </w:r>
      <w:r w:rsidR="00943E95">
        <w:rPr>
          <w:bCs/>
          <w:vertAlign w:val="superscript"/>
        </w:rPr>
        <w:t>13</w:t>
      </w:r>
      <w:r w:rsidRPr="003D0EC7">
        <w:rPr>
          <w:bCs/>
        </w:rPr>
        <w:t>.</w:t>
      </w:r>
      <w:r w:rsidRPr="00E25889">
        <w:rPr>
          <w:bCs/>
        </w:rPr>
        <w:t xml:space="preserve"> La promozione e l'attuazione di adeguati interventi di immunizzazione del personale sanitario sono </w:t>
      </w:r>
      <w:r>
        <w:rPr>
          <w:bCs/>
        </w:rPr>
        <w:t xml:space="preserve">pertanto </w:t>
      </w:r>
      <w:r w:rsidRPr="00E25889">
        <w:rPr>
          <w:bCs/>
        </w:rPr>
        <w:t xml:space="preserve">fondamentali per la prevenzione e il controllo della diffusione di queste malattie in ambito sanitario. Il </w:t>
      </w:r>
      <w:r>
        <w:rPr>
          <w:bCs/>
        </w:rPr>
        <w:t>PNPV</w:t>
      </w:r>
      <w:r w:rsidRPr="00E25889">
        <w:rPr>
          <w:bCs/>
        </w:rPr>
        <w:t xml:space="preserve"> </w:t>
      </w:r>
      <w:r>
        <w:rPr>
          <w:bCs/>
        </w:rPr>
        <w:t>2012-2014</w:t>
      </w:r>
      <w:r w:rsidRPr="00E25889">
        <w:rPr>
          <w:bCs/>
        </w:rPr>
        <w:t xml:space="preserve"> raccomanda fortemente a tutti gli operatori sanitari e agli studenti dei corsi di laurea e di diploma dell'area sanitaria la vaccinazione antinfluenzale</w:t>
      </w:r>
      <w:r>
        <w:rPr>
          <w:bCs/>
        </w:rPr>
        <w:t>, con</w:t>
      </w:r>
      <w:r w:rsidRPr="00E25889">
        <w:t xml:space="preserve"> </w:t>
      </w:r>
      <w:r w:rsidRPr="00E25889">
        <w:rPr>
          <w:bCs/>
        </w:rPr>
        <w:t>il duplice scopo di salvaguard</w:t>
      </w:r>
      <w:r>
        <w:rPr>
          <w:bCs/>
        </w:rPr>
        <w:t xml:space="preserve">are </w:t>
      </w:r>
      <w:r w:rsidRPr="00E25889">
        <w:rPr>
          <w:bCs/>
        </w:rPr>
        <w:t xml:space="preserve">la salute del singolo con cui l’operatore può venire a contatto </w:t>
      </w:r>
      <w:r>
        <w:rPr>
          <w:bCs/>
        </w:rPr>
        <w:t>ed</w:t>
      </w:r>
      <w:r w:rsidRPr="00E25889">
        <w:rPr>
          <w:bCs/>
        </w:rPr>
        <w:t xml:space="preserve"> evitare l’interruzione di servizi essenziali di assistenza in caso di epidemia influenzale</w:t>
      </w:r>
      <w:r>
        <w:rPr>
          <w:bCs/>
        </w:rPr>
        <w:t>.</w:t>
      </w:r>
      <w:bookmarkStart w:id="0" w:name="_Toc413767698"/>
    </w:p>
    <w:p w:rsidR="00707394" w:rsidRPr="000A287A" w:rsidRDefault="00707394" w:rsidP="00707394">
      <w:pPr>
        <w:spacing w:after="0"/>
        <w:jc w:val="both"/>
        <w:rPr>
          <w:b/>
          <w:color w:val="0070C0"/>
        </w:rPr>
      </w:pPr>
      <w:r w:rsidRPr="000A287A">
        <w:rPr>
          <w:b/>
          <w:color w:val="0070C0"/>
        </w:rPr>
        <w:t>I benefici economici e di salute pubblica della vaccinazione antinfluenzale</w:t>
      </w:r>
      <w:bookmarkEnd w:id="0"/>
      <w:r w:rsidRPr="000A287A">
        <w:rPr>
          <w:b/>
          <w:color w:val="0070C0"/>
        </w:rPr>
        <w:t xml:space="preserve"> </w:t>
      </w:r>
    </w:p>
    <w:p w:rsidR="00707394" w:rsidRPr="00232A7B" w:rsidRDefault="00707394" w:rsidP="00707394">
      <w:pPr>
        <w:spacing w:after="0"/>
        <w:jc w:val="both"/>
        <w:rPr>
          <w:b/>
          <w:color w:val="0070C0"/>
          <w:sz w:val="6"/>
          <w:szCs w:val="6"/>
        </w:rPr>
      </w:pPr>
    </w:p>
    <w:p w:rsidR="00707394" w:rsidRDefault="00707394" w:rsidP="00707394">
      <w:pPr>
        <w:spacing w:after="0"/>
        <w:jc w:val="both"/>
      </w:pPr>
      <w:r>
        <w:t xml:space="preserve">La vaccinazione rappresenta lo strumento più efficace per la prevenzione dell’influenza e delle sue complicanze più gravi. </w:t>
      </w:r>
      <w:r w:rsidRPr="006316F9">
        <w:t xml:space="preserve">La </w:t>
      </w:r>
      <w:r>
        <w:t>composizione dei vaccini</w:t>
      </w:r>
      <w:r w:rsidRPr="006316F9">
        <w:t xml:space="preserve"> viene aggiornata di anno in anno dal</w:t>
      </w:r>
      <w:r>
        <w:t>l’OMS</w:t>
      </w:r>
      <w:r w:rsidRPr="006316F9">
        <w:t xml:space="preserve">. In </w:t>
      </w:r>
      <w:r w:rsidRPr="006316F9">
        <w:lastRenderedPageBreak/>
        <w:t xml:space="preserve">presenza di un buona corrispondenza fra la composizione del vaccino e i virus influenzali circolanti, l’efficacia stimata negli studi clinici in adulti sani </w:t>
      </w:r>
      <w:r>
        <w:t>è del</w:t>
      </w:r>
      <w:r>
        <w:rPr>
          <w:b/>
        </w:rPr>
        <w:t xml:space="preserve"> 70-</w:t>
      </w:r>
      <w:r w:rsidRPr="00427FD1">
        <w:rPr>
          <w:b/>
        </w:rPr>
        <w:t>90%</w:t>
      </w:r>
      <w:r>
        <w:rPr>
          <w:vertAlign w:val="superscript"/>
        </w:rPr>
        <w:t>14</w:t>
      </w:r>
      <w:r w:rsidRPr="006316F9">
        <w:t xml:space="preserve">. Nei bambini e ragazzi fino a 16 anni è stimata un’efficacia pari al </w:t>
      </w:r>
      <w:r w:rsidRPr="00427FD1">
        <w:rPr>
          <w:b/>
        </w:rPr>
        <w:t>60-70%</w:t>
      </w:r>
      <w:r>
        <w:rPr>
          <w:vertAlign w:val="superscript"/>
        </w:rPr>
        <w:t>15</w:t>
      </w:r>
      <w:r w:rsidRPr="006316F9">
        <w:t xml:space="preserve">. </w:t>
      </w:r>
    </w:p>
    <w:p w:rsidR="00707394" w:rsidRPr="00707394" w:rsidRDefault="00707394" w:rsidP="00707394">
      <w:pPr>
        <w:spacing w:after="0"/>
        <w:jc w:val="both"/>
        <w:rPr>
          <w:sz w:val="10"/>
          <w:szCs w:val="10"/>
        </w:rPr>
      </w:pPr>
    </w:p>
    <w:p w:rsidR="00707394" w:rsidRDefault="00707394" w:rsidP="00707394">
      <w:pPr>
        <w:spacing w:after="0"/>
        <w:jc w:val="both"/>
        <w:rPr>
          <w:bCs/>
        </w:rPr>
      </w:pPr>
      <w:r>
        <w:rPr>
          <w:bCs/>
        </w:rPr>
        <w:t>La vaccinazione rimane uno strumento efficace per prevenire l’influenza.</w:t>
      </w:r>
    </w:p>
    <w:p w:rsidR="00707394" w:rsidRDefault="00707394" w:rsidP="00707394">
      <w:pPr>
        <w:pStyle w:val="Paragrafoelenco"/>
        <w:numPr>
          <w:ilvl w:val="0"/>
          <w:numId w:val="2"/>
        </w:numPr>
        <w:spacing w:after="0"/>
        <w:contextualSpacing w:val="0"/>
        <w:jc w:val="both"/>
        <w:rPr>
          <w:bCs/>
        </w:rPr>
      </w:pPr>
      <w:r>
        <w:rPr>
          <w:bCs/>
        </w:rPr>
        <w:t>Sono disponibili vaccini sicuri ed efficaci con un’ampia esperienza di campo</w:t>
      </w:r>
      <w:r w:rsidRPr="00707394">
        <w:rPr>
          <w:bCs/>
          <w:vertAlign w:val="superscript"/>
        </w:rPr>
        <w:t>2</w:t>
      </w:r>
      <w:r>
        <w:rPr>
          <w:bCs/>
        </w:rPr>
        <w:t>.</w:t>
      </w:r>
    </w:p>
    <w:p w:rsidR="00707394" w:rsidRPr="00707394" w:rsidRDefault="00707394" w:rsidP="00707394">
      <w:pPr>
        <w:spacing w:after="0"/>
        <w:jc w:val="both"/>
        <w:rPr>
          <w:bCs/>
          <w:sz w:val="10"/>
          <w:szCs w:val="10"/>
        </w:rPr>
      </w:pPr>
    </w:p>
    <w:p w:rsidR="00974664" w:rsidRDefault="00707394" w:rsidP="00707394">
      <w:pPr>
        <w:spacing w:after="0"/>
        <w:jc w:val="both"/>
        <w:rPr>
          <w:bCs/>
        </w:rPr>
      </w:pPr>
      <w:r w:rsidRPr="00707394">
        <w:rPr>
          <w:bCs/>
        </w:rPr>
        <w:t xml:space="preserve">Negli </w:t>
      </w:r>
      <w:r w:rsidRPr="00E775F3">
        <w:rPr>
          <w:b/>
          <w:bCs/>
        </w:rPr>
        <w:t>Stati Uniti</w:t>
      </w:r>
      <w:r w:rsidRPr="00707394">
        <w:rPr>
          <w:bCs/>
        </w:rPr>
        <w:t xml:space="preserve"> il </w:t>
      </w:r>
      <w:r w:rsidRPr="00707394">
        <w:rPr>
          <w:bCs/>
          <w:i/>
        </w:rPr>
        <w:t xml:space="preserve">Centers for </w:t>
      </w:r>
      <w:proofErr w:type="spellStart"/>
      <w:r w:rsidRPr="00707394">
        <w:rPr>
          <w:bCs/>
          <w:i/>
        </w:rPr>
        <w:t>Disease</w:t>
      </w:r>
      <w:proofErr w:type="spellEnd"/>
      <w:r w:rsidRPr="00707394">
        <w:rPr>
          <w:bCs/>
          <w:i/>
        </w:rPr>
        <w:t xml:space="preserve"> and Control </w:t>
      </w:r>
      <w:proofErr w:type="spellStart"/>
      <w:r w:rsidRPr="00707394">
        <w:rPr>
          <w:bCs/>
          <w:i/>
        </w:rPr>
        <w:t>Prevention</w:t>
      </w:r>
      <w:proofErr w:type="spellEnd"/>
      <w:r w:rsidRPr="00707394">
        <w:rPr>
          <w:bCs/>
        </w:rPr>
        <w:t xml:space="preserve"> (CDC) ha stimato i casi di sindromi influenzali (</w:t>
      </w:r>
      <w:r w:rsidRPr="00707394">
        <w:rPr>
          <w:bCs/>
          <w:i/>
        </w:rPr>
        <w:t>Influenza-Like-</w:t>
      </w:r>
      <w:proofErr w:type="spellStart"/>
      <w:r w:rsidRPr="00707394">
        <w:rPr>
          <w:bCs/>
          <w:i/>
        </w:rPr>
        <w:t>Illness</w:t>
      </w:r>
      <w:proofErr w:type="spellEnd"/>
      <w:r w:rsidRPr="00707394">
        <w:rPr>
          <w:bCs/>
        </w:rPr>
        <w:t>, ILI) e le ospedalizzazioni per la stagione 2012-2013, fornendo dei nuovi dati per valutare l'impatto della vaccinazione influenzale stagionale</w:t>
      </w:r>
      <w:r w:rsidRPr="00707394">
        <w:rPr>
          <w:bCs/>
          <w:vertAlign w:val="superscript"/>
        </w:rPr>
        <w:t>16</w:t>
      </w:r>
      <w:r w:rsidR="00974664">
        <w:rPr>
          <w:bCs/>
        </w:rPr>
        <w:t>:</w:t>
      </w:r>
    </w:p>
    <w:p w:rsidR="00974664" w:rsidRPr="00974664" w:rsidRDefault="00974664" w:rsidP="00707394">
      <w:pPr>
        <w:spacing w:after="0"/>
        <w:jc w:val="both"/>
        <w:rPr>
          <w:bCs/>
          <w:sz w:val="10"/>
          <w:szCs w:val="10"/>
        </w:rPr>
      </w:pPr>
    </w:p>
    <w:p w:rsidR="00974664" w:rsidRDefault="00974664" w:rsidP="00974664">
      <w:pPr>
        <w:pStyle w:val="Paragrafoelenco"/>
        <w:numPr>
          <w:ilvl w:val="0"/>
          <w:numId w:val="2"/>
        </w:numPr>
        <w:spacing w:after="0"/>
        <w:jc w:val="both"/>
        <w:rPr>
          <w:bCs/>
        </w:rPr>
      </w:pPr>
      <w:r>
        <w:rPr>
          <w:bCs/>
        </w:rPr>
        <w:t>C</w:t>
      </w:r>
      <w:r w:rsidRPr="00974664">
        <w:rPr>
          <w:bCs/>
        </w:rPr>
        <w:t xml:space="preserve">irca </w:t>
      </w:r>
      <w:r w:rsidRPr="00974664">
        <w:rPr>
          <w:b/>
          <w:bCs/>
        </w:rPr>
        <w:t>6,6 milioni</w:t>
      </w:r>
      <w:r w:rsidRPr="00974664">
        <w:rPr>
          <w:bCs/>
        </w:rPr>
        <w:t xml:space="preserve"> di casi di ILI e </w:t>
      </w:r>
      <w:r w:rsidRPr="00974664">
        <w:rPr>
          <w:b/>
          <w:bCs/>
        </w:rPr>
        <w:t>3,2 milioni</w:t>
      </w:r>
      <w:r w:rsidRPr="00974664">
        <w:rPr>
          <w:bCs/>
        </w:rPr>
        <w:t xml:space="preserve"> di casi di influenza evitati</w:t>
      </w:r>
      <w:r>
        <w:rPr>
          <w:bCs/>
        </w:rPr>
        <w:t>;</w:t>
      </w:r>
    </w:p>
    <w:p w:rsidR="00974664" w:rsidRDefault="00974664" w:rsidP="00707394">
      <w:pPr>
        <w:pStyle w:val="Paragrafoelenco"/>
        <w:numPr>
          <w:ilvl w:val="0"/>
          <w:numId w:val="2"/>
        </w:numPr>
        <w:spacing w:after="0"/>
        <w:jc w:val="both"/>
        <w:rPr>
          <w:bCs/>
        </w:rPr>
      </w:pPr>
      <w:r w:rsidRPr="00974664">
        <w:rPr>
          <w:b/>
          <w:bCs/>
        </w:rPr>
        <w:t xml:space="preserve">79.000 </w:t>
      </w:r>
      <w:r w:rsidRPr="00974664">
        <w:rPr>
          <w:bCs/>
        </w:rPr>
        <w:t>ospedalizzazioni in meno (pari al 17%) rispetto a quanto si sarebbe atteso in assenza di alcuna protezione vaccinale.</w:t>
      </w:r>
    </w:p>
    <w:p w:rsidR="00E775F3" w:rsidRPr="00E775F3" w:rsidRDefault="00E775F3" w:rsidP="00E775F3">
      <w:pPr>
        <w:pStyle w:val="Paragrafoelenco"/>
        <w:spacing w:after="0"/>
        <w:ind w:left="774"/>
        <w:jc w:val="both"/>
        <w:rPr>
          <w:bCs/>
          <w:sz w:val="10"/>
          <w:szCs w:val="10"/>
        </w:rPr>
      </w:pPr>
    </w:p>
    <w:p w:rsidR="00974664" w:rsidRDefault="00E775F3" w:rsidP="00E775F3">
      <w:pPr>
        <w:spacing w:after="0"/>
        <w:contextualSpacing/>
        <w:jc w:val="both"/>
        <w:rPr>
          <w:bCs/>
        </w:rPr>
      </w:pPr>
      <w:r w:rsidRPr="00E775F3">
        <w:rPr>
          <w:bCs/>
        </w:rPr>
        <w:t>Il report CDC riporta anche i benefici stimati suddivisi per classe di età da cui si evince che i bambini e i soggetti oltre i 65 anni di età rappresentano la popolazione in cui si rilevano la maggior parte delle ospedalizzazioni; nella fascia 20-64 anni si rileva il maggior numero di casi evitati con necessità di trattamento medico.</w:t>
      </w:r>
    </w:p>
    <w:p w:rsidR="00E775F3" w:rsidRDefault="00E775F3" w:rsidP="00E775F3">
      <w:pPr>
        <w:spacing w:after="0"/>
        <w:contextualSpacing/>
        <w:jc w:val="both"/>
        <w:rPr>
          <w:bCs/>
        </w:rPr>
      </w:pPr>
      <w:r>
        <w:rPr>
          <w:bCs/>
        </w:rPr>
        <w:t xml:space="preserve">In </w:t>
      </w:r>
      <w:r w:rsidRPr="00E775F3">
        <w:rPr>
          <w:b/>
          <w:bCs/>
        </w:rPr>
        <w:t xml:space="preserve">Europa </w:t>
      </w:r>
      <w:r>
        <w:rPr>
          <w:bCs/>
        </w:rPr>
        <w:t xml:space="preserve">si stimano circa </w:t>
      </w:r>
      <w:r w:rsidRPr="00E775F3">
        <w:rPr>
          <w:b/>
          <w:bCs/>
        </w:rPr>
        <w:t>38.500</w:t>
      </w:r>
      <w:r>
        <w:rPr>
          <w:bCs/>
        </w:rPr>
        <w:t xml:space="preserve"> decessi in eccesso a causa dell’influenza stagionale, seppur con notevoli variazioni stagionali</w:t>
      </w:r>
      <w:r w:rsidRPr="00E775F3">
        <w:rPr>
          <w:bCs/>
          <w:vertAlign w:val="superscript"/>
        </w:rPr>
        <w:t>3</w:t>
      </w:r>
      <w:r>
        <w:rPr>
          <w:bCs/>
        </w:rPr>
        <w:t xml:space="preserve">. </w:t>
      </w:r>
    </w:p>
    <w:p w:rsidR="00E775F3" w:rsidRDefault="00E775F3" w:rsidP="00E775F3">
      <w:pPr>
        <w:spacing w:after="0"/>
        <w:jc w:val="both"/>
      </w:pPr>
      <w:r>
        <w:rPr>
          <w:bCs/>
        </w:rPr>
        <w:t>Un recente studio</w:t>
      </w:r>
      <w:r w:rsidRPr="00E775F3">
        <w:rPr>
          <w:bCs/>
          <w:vertAlign w:val="superscript"/>
        </w:rPr>
        <w:t>17</w:t>
      </w:r>
      <w:r>
        <w:rPr>
          <w:bCs/>
        </w:rPr>
        <w:t xml:space="preserve"> condotto </w:t>
      </w:r>
      <w:r>
        <w:t xml:space="preserve">in 27 Paesi dell’Unione Europea </w:t>
      </w:r>
      <w:r w:rsidRPr="000A287A">
        <w:t xml:space="preserve">sui benefici annuali per la sanità pubblica e l'importanza economica della vaccinazione antinfluenzale sui 5 gruppi target raccomandati dall'OMS </w:t>
      </w:r>
      <w:r>
        <w:t>(</w:t>
      </w:r>
      <w:r w:rsidRPr="000A287A">
        <w:t>bambini di età compresa tra i 6 ed i 23 mesi</w:t>
      </w:r>
      <w:r>
        <w:t xml:space="preserve">; </w:t>
      </w:r>
      <w:r w:rsidRPr="000A287A">
        <w:t>persone con condizioni di salute croniche</w:t>
      </w:r>
      <w:r>
        <w:t xml:space="preserve">; </w:t>
      </w:r>
      <w:r w:rsidRPr="000A287A">
        <w:t>donne incinte</w:t>
      </w:r>
      <w:r>
        <w:t xml:space="preserve">; </w:t>
      </w:r>
      <w:r w:rsidRPr="000A287A">
        <w:t>operatori sanitari</w:t>
      </w:r>
      <w:r>
        <w:t xml:space="preserve">; </w:t>
      </w:r>
      <w:r w:rsidRPr="000A287A">
        <w:t>anziani con più di 65 anni</w:t>
      </w:r>
      <w:r>
        <w:t>) ha evidenziato che con gli attuali tassi di copertura vaccinale vengono evitati:</w:t>
      </w:r>
    </w:p>
    <w:p w:rsidR="00E775F3" w:rsidRPr="00A437ED" w:rsidRDefault="00E775F3" w:rsidP="00E775F3">
      <w:pPr>
        <w:spacing w:after="0"/>
        <w:jc w:val="both"/>
        <w:rPr>
          <w:sz w:val="6"/>
          <w:szCs w:val="6"/>
        </w:rPr>
      </w:pPr>
    </w:p>
    <w:p w:rsidR="00E775F3" w:rsidRPr="00A437ED" w:rsidRDefault="00E775F3" w:rsidP="00E775F3">
      <w:pPr>
        <w:pStyle w:val="Paragrafoelenco"/>
        <w:numPr>
          <w:ilvl w:val="0"/>
          <w:numId w:val="3"/>
        </w:numPr>
        <w:spacing w:after="0"/>
        <w:jc w:val="both"/>
      </w:pPr>
      <w:r>
        <w:rPr>
          <w:bCs/>
        </w:rPr>
        <w:t>I</w:t>
      </w:r>
      <w:r w:rsidRPr="00A437ED">
        <w:rPr>
          <w:bCs/>
        </w:rPr>
        <w:t xml:space="preserve">l </w:t>
      </w:r>
      <w:r w:rsidRPr="00A437ED">
        <w:rPr>
          <w:b/>
          <w:bCs/>
        </w:rPr>
        <w:t>70%</w:t>
      </w:r>
      <w:r w:rsidRPr="00A437ED">
        <w:rPr>
          <w:bCs/>
        </w:rPr>
        <w:t xml:space="preserve"> dei ca</w:t>
      </w:r>
      <w:r>
        <w:rPr>
          <w:bCs/>
        </w:rPr>
        <w:t xml:space="preserve">si influenzali tra gli </w:t>
      </w:r>
      <w:r w:rsidRPr="00A437ED">
        <w:rPr>
          <w:b/>
          <w:bCs/>
        </w:rPr>
        <w:t>over 65</w:t>
      </w:r>
      <w:r>
        <w:rPr>
          <w:bCs/>
        </w:rPr>
        <w:t>;</w:t>
      </w:r>
    </w:p>
    <w:p w:rsidR="00E775F3" w:rsidRPr="00AF5C00" w:rsidRDefault="00E775F3" w:rsidP="00E775F3">
      <w:pPr>
        <w:pStyle w:val="Paragrafoelenco"/>
        <w:numPr>
          <w:ilvl w:val="0"/>
          <w:numId w:val="3"/>
        </w:numPr>
        <w:spacing w:after="0"/>
        <w:jc w:val="both"/>
      </w:pPr>
      <w:r>
        <w:rPr>
          <w:bCs/>
        </w:rPr>
        <w:t xml:space="preserve">Il </w:t>
      </w:r>
      <w:r w:rsidRPr="00A437ED">
        <w:rPr>
          <w:b/>
          <w:bCs/>
        </w:rPr>
        <w:t>25%</w:t>
      </w:r>
      <w:r>
        <w:rPr>
          <w:bCs/>
        </w:rPr>
        <w:t xml:space="preserve"> dei casi influenzali tra i </w:t>
      </w:r>
      <w:r w:rsidRPr="00CA37CD">
        <w:rPr>
          <w:b/>
          <w:bCs/>
        </w:rPr>
        <w:t>soggetti con patologie croniche sottostanti</w:t>
      </w:r>
      <w:r>
        <w:rPr>
          <w:bCs/>
        </w:rPr>
        <w:t>;</w:t>
      </w:r>
    </w:p>
    <w:p w:rsidR="00E775F3" w:rsidRPr="00CA37CD" w:rsidRDefault="00E775F3" w:rsidP="00E775F3">
      <w:pPr>
        <w:pStyle w:val="Paragrafoelenco"/>
        <w:numPr>
          <w:ilvl w:val="0"/>
          <w:numId w:val="3"/>
        </w:numPr>
        <w:spacing w:after="0"/>
        <w:jc w:val="both"/>
      </w:pPr>
      <w:r>
        <w:rPr>
          <w:bCs/>
        </w:rPr>
        <w:t>Soltanto l'</w:t>
      </w:r>
      <w:r w:rsidRPr="00CA37CD">
        <w:rPr>
          <w:b/>
          <w:bCs/>
        </w:rPr>
        <w:t>1%</w:t>
      </w:r>
      <w:r w:rsidRPr="00A437ED">
        <w:rPr>
          <w:bCs/>
        </w:rPr>
        <w:t xml:space="preserve"> dei casi per gli </w:t>
      </w:r>
      <w:r w:rsidRPr="00CA37CD">
        <w:rPr>
          <w:b/>
          <w:bCs/>
        </w:rPr>
        <w:t>operatori sanitari</w:t>
      </w:r>
      <w:r w:rsidRPr="00A437ED">
        <w:rPr>
          <w:bCs/>
        </w:rPr>
        <w:t xml:space="preserve"> e lo </w:t>
      </w:r>
      <w:r w:rsidRPr="00CA37CD">
        <w:rPr>
          <w:b/>
          <w:bCs/>
        </w:rPr>
        <w:t>0,7%</w:t>
      </w:r>
      <w:r w:rsidRPr="00A437ED">
        <w:rPr>
          <w:bCs/>
        </w:rPr>
        <w:t xml:space="preserve"> </w:t>
      </w:r>
      <w:r>
        <w:rPr>
          <w:bCs/>
        </w:rPr>
        <w:t xml:space="preserve">per le </w:t>
      </w:r>
      <w:r w:rsidRPr="00CA37CD">
        <w:rPr>
          <w:b/>
          <w:bCs/>
        </w:rPr>
        <w:t>donne incinte</w:t>
      </w:r>
      <w:r w:rsidRPr="00A437ED">
        <w:rPr>
          <w:bCs/>
        </w:rPr>
        <w:t xml:space="preserve">. </w:t>
      </w:r>
    </w:p>
    <w:p w:rsidR="00E775F3" w:rsidRPr="00CA37CD" w:rsidRDefault="00E775F3" w:rsidP="00E775F3">
      <w:pPr>
        <w:spacing w:after="0"/>
        <w:jc w:val="both"/>
        <w:rPr>
          <w:bCs/>
          <w:sz w:val="10"/>
          <w:szCs w:val="10"/>
        </w:rPr>
      </w:pPr>
    </w:p>
    <w:p w:rsidR="00E775F3" w:rsidRPr="009904B9" w:rsidRDefault="00E775F3" w:rsidP="00E775F3">
      <w:pPr>
        <w:spacing w:after="0"/>
        <w:jc w:val="both"/>
        <w:rPr>
          <w:bCs/>
        </w:rPr>
      </w:pPr>
      <w:r w:rsidRPr="00CA37CD">
        <w:rPr>
          <w:bCs/>
        </w:rPr>
        <w:t xml:space="preserve">Anche i tassi delle ospedalizzazioni prevenute risultano bassi </w:t>
      </w:r>
      <w:r>
        <w:rPr>
          <w:bCs/>
        </w:rPr>
        <w:t>nelle due ultime</w:t>
      </w:r>
      <w:r w:rsidRPr="00CA37CD">
        <w:rPr>
          <w:bCs/>
        </w:rPr>
        <w:t xml:space="preserve"> categorie: </w:t>
      </w:r>
      <w:r w:rsidRPr="00CA37CD">
        <w:rPr>
          <w:b/>
          <w:bCs/>
        </w:rPr>
        <w:t>0,1%</w:t>
      </w:r>
      <w:r w:rsidRPr="00CA37CD">
        <w:rPr>
          <w:bCs/>
        </w:rPr>
        <w:t xml:space="preserve"> sia per gli </w:t>
      </w:r>
      <w:r w:rsidRPr="00CA37CD">
        <w:rPr>
          <w:b/>
          <w:bCs/>
        </w:rPr>
        <w:t>operatori sanitari</w:t>
      </w:r>
      <w:r w:rsidRPr="00CA37CD">
        <w:rPr>
          <w:bCs/>
        </w:rPr>
        <w:t xml:space="preserve"> che per le</w:t>
      </w:r>
      <w:r>
        <w:t xml:space="preserve"> </w:t>
      </w:r>
      <w:r w:rsidRPr="00CA37CD">
        <w:rPr>
          <w:b/>
        </w:rPr>
        <w:t>donne in gravidanza</w:t>
      </w:r>
      <w:r>
        <w:t xml:space="preserve">, </w:t>
      </w:r>
      <w:r w:rsidRPr="00E25889">
        <w:t>mentre il tasso risulta piuttosto consistente (</w:t>
      </w:r>
      <w:r w:rsidRPr="00CA37CD">
        <w:rPr>
          <w:b/>
        </w:rPr>
        <w:t>92%</w:t>
      </w:r>
      <w:r w:rsidRPr="0055444F">
        <w:t>)</w:t>
      </w:r>
      <w:r w:rsidRPr="00E25889">
        <w:t xml:space="preserve"> tra le </w:t>
      </w:r>
      <w:r w:rsidRPr="00CA37CD">
        <w:rPr>
          <w:b/>
        </w:rPr>
        <w:t>persone anziane</w:t>
      </w:r>
      <w:r w:rsidRPr="0055444F">
        <w:t xml:space="preserve"> </w:t>
      </w:r>
      <w:r w:rsidRPr="00E25889">
        <w:t xml:space="preserve">(tabella </w:t>
      </w:r>
      <w:r>
        <w:t>1</w:t>
      </w:r>
      <w:r w:rsidRPr="00E25889">
        <w:t>)</w:t>
      </w:r>
      <w:r>
        <w:t>.</w:t>
      </w:r>
      <w:r w:rsidRPr="00E25889">
        <w:t xml:space="preserve"> </w:t>
      </w:r>
    </w:p>
    <w:p w:rsidR="00E775F3" w:rsidRDefault="00E775F3" w:rsidP="00B35235">
      <w:pPr>
        <w:spacing w:after="0" w:line="240" w:lineRule="auto"/>
        <w:rPr>
          <w:noProof/>
          <w:sz w:val="20"/>
          <w:szCs w:val="20"/>
          <w:lang w:eastAsia="it-IT"/>
        </w:rPr>
      </w:pPr>
    </w:p>
    <w:p w:rsidR="00E775F3" w:rsidRDefault="00E775F3" w:rsidP="00E775F3">
      <w:pPr>
        <w:spacing w:after="0" w:line="240" w:lineRule="auto"/>
        <w:jc w:val="center"/>
        <w:rPr>
          <w:i/>
          <w:sz w:val="20"/>
          <w:szCs w:val="20"/>
        </w:rPr>
      </w:pPr>
      <w:r w:rsidRPr="0046594E">
        <w:rPr>
          <w:i/>
          <w:sz w:val="20"/>
          <w:szCs w:val="20"/>
        </w:rPr>
        <w:t xml:space="preserve">Tabella </w:t>
      </w:r>
      <w:r>
        <w:rPr>
          <w:i/>
          <w:sz w:val="20"/>
          <w:szCs w:val="20"/>
        </w:rPr>
        <w:t>1</w:t>
      </w:r>
      <w:r w:rsidRPr="0046594E">
        <w:rPr>
          <w:i/>
          <w:sz w:val="20"/>
          <w:szCs w:val="20"/>
        </w:rPr>
        <w:t xml:space="preserve"> – Eventi correlati all'influenza evitati in 8 paesi EU (Francia, Italia, Spagna, UK, Polonia, </w:t>
      </w:r>
    </w:p>
    <w:p w:rsidR="00E775F3" w:rsidRPr="0046594E" w:rsidRDefault="00E775F3" w:rsidP="00E775F3">
      <w:pPr>
        <w:spacing w:after="0" w:line="240" w:lineRule="auto"/>
        <w:jc w:val="center"/>
        <w:rPr>
          <w:i/>
          <w:sz w:val="20"/>
          <w:szCs w:val="20"/>
        </w:rPr>
      </w:pPr>
      <w:r w:rsidRPr="0046594E">
        <w:rPr>
          <w:i/>
          <w:sz w:val="20"/>
          <w:szCs w:val="20"/>
        </w:rPr>
        <w:t>Slovenia, Svezia e Germania) utilizzando gli attuali tassi di copertura vaccinale</w:t>
      </w:r>
    </w:p>
    <w:p w:rsidR="00974664" w:rsidRPr="00E775F3" w:rsidRDefault="00974664" w:rsidP="00E775F3">
      <w:pPr>
        <w:spacing w:after="0"/>
        <w:contextualSpacing/>
        <w:jc w:val="both"/>
        <w:rPr>
          <w:bCs/>
          <w:sz w:val="10"/>
          <w:szCs w:val="10"/>
        </w:rPr>
      </w:pPr>
    </w:p>
    <w:p w:rsidR="00E775F3" w:rsidRDefault="00E775F3" w:rsidP="00E775F3">
      <w:pPr>
        <w:spacing w:after="0"/>
        <w:contextualSpacing/>
        <w:jc w:val="center"/>
        <w:rPr>
          <w:bCs/>
        </w:rPr>
      </w:pPr>
      <w:r>
        <w:rPr>
          <w:noProof/>
          <w:lang w:eastAsia="it-IT"/>
        </w:rPr>
        <w:drawing>
          <wp:inline distT="0" distB="0" distL="0" distR="0" wp14:anchorId="60DB8510" wp14:editId="608CA182">
            <wp:extent cx="5295568" cy="122087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01492" cy="1222236"/>
                    </a:xfrm>
                    <a:prstGeom prst="rect">
                      <a:avLst/>
                    </a:prstGeom>
                  </pic:spPr>
                </pic:pic>
              </a:graphicData>
            </a:graphic>
          </wp:inline>
        </w:drawing>
      </w:r>
    </w:p>
    <w:p w:rsidR="00E775F3" w:rsidRPr="00B35235" w:rsidRDefault="00E775F3" w:rsidP="00E775F3">
      <w:pPr>
        <w:spacing w:after="0"/>
        <w:contextualSpacing/>
        <w:jc w:val="both"/>
        <w:rPr>
          <w:bCs/>
          <w:sz w:val="10"/>
          <w:szCs w:val="10"/>
        </w:rPr>
      </w:pPr>
    </w:p>
    <w:p w:rsidR="00E775F3" w:rsidRDefault="00E775F3" w:rsidP="00E775F3">
      <w:pPr>
        <w:spacing w:after="0" w:line="240" w:lineRule="auto"/>
        <w:jc w:val="both"/>
      </w:pPr>
      <w:r>
        <w:t xml:space="preserve">Lo studio ha evidenziato come, sulla base degli </w:t>
      </w:r>
      <w:r w:rsidRPr="00E25889">
        <w:t>attuali tassi di copertura vaccinale</w:t>
      </w:r>
      <w:r>
        <w:t>,</w:t>
      </w:r>
      <w:r w:rsidRPr="00E25889">
        <w:t xml:space="preserve"> vengano </w:t>
      </w:r>
      <w:r>
        <w:t>evitati ogni anno</w:t>
      </w:r>
      <w:r w:rsidRPr="00E25889">
        <w:t xml:space="preserve">:  </w:t>
      </w:r>
    </w:p>
    <w:p w:rsidR="00E775F3" w:rsidRPr="00B6286F" w:rsidRDefault="00E775F3" w:rsidP="00E775F3">
      <w:pPr>
        <w:spacing w:after="0" w:line="240" w:lineRule="auto"/>
        <w:jc w:val="both"/>
        <w:rPr>
          <w:sz w:val="6"/>
          <w:szCs w:val="6"/>
        </w:rPr>
      </w:pPr>
    </w:p>
    <w:p w:rsidR="00E775F3" w:rsidRDefault="00E775F3" w:rsidP="00E775F3">
      <w:pPr>
        <w:pStyle w:val="Paragrafoelenco"/>
        <w:numPr>
          <w:ilvl w:val="0"/>
          <w:numId w:val="4"/>
        </w:numPr>
        <w:spacing w:after="0" w:line="240" w:lineRule="auto"/>
        <w:jc w:val="both"/>
      </w:pPr>
      <w:r w:rsidRPr="00B6286F">
        <w:rPr>
          <w:b/>
        </w:rPr>
        <w:t>1,6 milioni</w:t>
      </w:r>
      <w:r w:rsidRPr="00E25889">
        <w:t xml:space="preserve"> di </w:t>
      </w:r>
      <w:r w:rsidRPr="00B6286F">
        <w:t>casi di influenza;</w:t>
      </w:r>
    </w:p>
    <w:p w:rsidR="00E775F3" w:rsidRPr="00B6286F" w:rsidRDefault="00E775F3" w:rsidP="00E775F3">
      <w:pPr>
        <w:pStyle w:val="Paragrafoelenco"/>
        <w:numPr>
          <w:ilvl w:val="0"/>
          <w:numId w:val="4"/>
        </w:numPr>
        <w:spacing w:after="0" w:line="240" w:lineRule="auto"/>
        <w:jc w:val="both"/>
      </w:pPr>
      <w:r>
        <w:rPr>
          <w:b/>
        </w:rPr>
        <w:t xml:space="preserve">Oltre 45.000 </w:t>
      </w:r>
      <w:r w:rsidRPr="00B6286F">
        <w:t>ospedalizzazioni;</w:t>
      </w:r>
    </w:p>
    <w:p w:rsidR="00E775F3" w:rsidRPr="00B6286F" w:rsidRDefault="00E775F3" w:rsidP="00E775F3">
      <w:pPr>
        <w:pStyle w:val="Paragrafoelenco"/>
        <w:numPr>
          <w:ilvl w:val="0"/>
          <w:numId w:val="4"/>
        </w:numPr>
        <w:spacing w:after="0" w:line="240" w:lineRule="auto"/>
        <w:jc w:val="both"/>
      </w:pPr>
      <w:r>
        <w:rPr>
          <w:b/>
        </w:rPr>
        <w:t xml:space="preserve">Oltre </w:t>
      </w:r>
      <w:r w:rsidRPr="00B6286F">
        <w:rPr>
          <w:b/>
        </w:rPr>
        <w:t>25.</w:t>
      </w:r>
      <w:r>
        <w:rPr>
          <w:b/>
        </w:rPr>
        <w:t>0</w:t>
      </w:r>
      <w:r w:rsidRPr="00B6286F">
        <w:rPr>
          <w:b/>
        </w:rPr>
        <w:t xml:space="preserve">00 </w:t>
      </w:r>
      <w:r w:rsidRPr="00B6286F">
        <w:t>morti correlate;</w:t>
      </w:r>
    </w:p>
    <w:p w:rsidR="00E775F3" w:rsidRPr="00B6286F" w:rsidRDefault="00E775F3" w:rsidP="00E775F3">
      <w:pPr>
        <w:pStyle w:val="Paragrafoelenco"/>
        <w:numPr>
          <w:ilvl w:val="0"/>
          <w:numId w:val="4"/>
        </w:numPr>
        <w:spacing w:after="0" w:line="240" w:lineRule="auto"/>
        <w:jc w:val="both"/>
      </w:pPr>
      <w:r w:rsidRPr="00B6286F">
        <w:rPr>
          <w:b/>
        </w:rPr>
        <w:t>715</w:t>
      </w:r>
      <w:r>
        <w:rPr>
          <w:b/>
        </w:rPr>
        <w:t xml:space="preserve"> </w:t>
      </w:r>
      <w:r w:rsidRPr="00B6286F">
        <w:t xml:space="preserve">giorni di lavoro persi. </w:t>
      </w:r>
    </w:p>
    <w:p w:rsidR="00E775F3" w:rsidRDefault="00E775F3" w:rsidP="00E775F3">
      <w:pPr>
        <w:spacing w:after="0" w:line="240" w:lineRule="auto"/>
        <w:jc w:val="both"/>
      </w:pPr>
    </w:p>
    <w:p w:rsidR="00E775F3" w:rsidRDefault="00E775F3" w:rsidP="00E775F3">
      <w:pPr>
        <w:spacing w:after="0" w:line="240" w:lineRule="auto"/>
        <w:jc w:val="both"/>
      </w:pPr>
      <w:r w:rsidRPr="00E25889">
        <w:t xml:space="preserve">I costi totali evitati legati all'influenza emergenti dalle stime di efficacia sono pari a </w:t>
      </w:r>
      <w:r w:rsidRPr="00603B97">
        <w:rPr>
          <w:b/>
        </w:rPr>
        <w:t>248 milioni di euro</w:t>
      </w:r>
      <w:r>
        <w:t xml:space="preserve"> (</w:t>
      </w:r>
      <w:r w:rsidRPr="00E25889">
        <w:t xml:space="preserve">di cui </w:t>
      </w:r>
      <w:r w:rsidRPr="00603B97">
        <w:rPr>
          <w:b/>
        </w:rPr>
        <w:t>131 milioni</w:t>
      </w:r>
      <w:r>
        <w:t xml:space="preserve"> </w:t>
      </w:r>
      <w:r w:rsidRPr="00E25889">
        <w:t xml:space="preserve">dovuti alle </w:t>
      </w:r>
      <w:r w:rsidRPr="00603B97">
        <w:rPr>
          <w:b/>
        </w:rPr>
        <w:t>ospedalizzazioni</w:t>
      </w:r>
      <w:r>
        <w:t xml:space="preserve"> e </w:t>
      </w:r>
      <w:r w:rsidRPr="00603B97">
        <w:rPr>
          <w:b/>
        </w:rPr>
        <w:t>96 milioni</w:t>
      </w:r>
      <w:r w:rsidRPr="00E25889">
        <w:t xml:space="preserve"> attribuibili ai costi indiretti), che diventano </w:t>
      </w:r>
      <w:r w:rsidRPr="00603B97">
        <w:rPr>
          <w:b/>
        </w:rPr>
        <w:t>332 milioni di euro</w:t>
      </w:r>
      <w:r w:rsidRPr="00E25889">
        <w:t xml:space="preserve"> se vengono utilizzati</w:t>
      </w:r>
      <w:r>
        <w:t xml:space="preserve"> i valori di efficacia di campo (</w:t>
      </w:r>
      <w:r w:rsidRPr="00E25889">
        <w:t xml:space="preserve">tabella </w:t>
      </w:r>
      <w:r>
        <w:t>2</w:t>
      </w:r>
      <w:r w:rsidRPr="00E25889">
        <w:t>)</w:t>
      </w:r>
      <w:r>
        <w:t>.</w:t>
      </w:r>
    </w:p>
    <w:p w:rsidR="00E775F3" w:rsidRDefault="00E775F3" w:rsidP="00E775F3">
      <w:pPr>
        <w:spacing w:after="0" w:line="240" w:lineRule="auto"/>
        <w:jc w:val="both"/>
      </w:pPr>
    </w:p>
    <w:p w:rsidR="00E775F3" w:rsidRPr="00B35235" w:rsidRDefault="00E775F3" w:rsidP="00E775F3">
      <w:pPr>
        <w:spacing w:after="0" w:line="240" w:lineRule="auto"/>
        <w:rPr>
          <w:i/>
          <w:sz w:val="10"/>
          <w:szCs w:val="10"/>
        </w:rPr>
      </w:pPr>
    </w:p>
    <w:p w:rsidR="00974845" w:rsidRPr="002D223A" w:rsidRDefault="00E775F3" w:rsidP="00974845">
      <w:pPr>
        <w:spacing w:after="0" w:line="240" w:lineRule="auto"/>
        <w:jc w:val="center"/>
        <w:rPr>
          <w:i/>
          <w:sz w:val="20"/>
          <w:szCs w:val="20"/>
        </w:rPr>
      </w:pPr>
      <w:r w:rsidRPr="002D223A">
        <w:rPr>
          <w:i/>
          <w:sz w:val="20"/>
          <w:szCs w:val="20"/>
        </w:rPr>
        <w:t xml:space="preserve">Tabella 2 – I benefici economici e di salute pubblica della vaccinazione influenzale trivalente </w:t>
      </w:r>
    </w:p>
    <w:p w:rsidR="00E775F3" w:rsidRPr="00974845" w:rsidRDefault="00E775F3" w:rsidP="00974845">
      <w:pPr>
        <w:spacing w:after="0" w:line="240" w:lineRule="auto"/>
        <w:jc w:val="center"/>
        <w:rPr>
          <w:i/>
          <w:sz w:val="20"/>
          <w:szCs w:val="20"/>
        </w:rPr>
      </w:pPr>
      <w:proofErr w:type="gramStart"/>
      <w:r w:rsidRPr="002D223A">
        <w:rPr>
          <w:i/>
          <w:sz w:val="20"/>
          <w:szCs w:val="20"/>
        </w:rPr>
        <w:t>in</w:t>
      </w:r>
      <w:proofErr w:type="gramEnd"/>
      <w:r w:rsidRPr="002D223A">
        <w:rPr>
          <w:i/>
          <w:sz w:val="20"/>
          <w:szCs w:val="20"/>
        </w:rPr>
        <w:t xml:space="preserve"> 27 Paesi dell’Unione Europea</w:t>
      </w:r>
      <w:r w:rsidR="00974845" w:rsidRPr="002D223A">
        <w:rPr>
          <w:i/>
          <w:sz w:val="20"/>
          <w:szCs w:val="20"/>
        </w:rPr>
        <w:t xml:space="preserve"> (verificare)</w:t>
      </w:r>
    </w:p>
    <w:p w:rsidR="00974845" w:rsidRPr="00974845" w:rsidRDefault="00974845" w:rsidP="00974845">
      <w:pPr>
        <w:spacing w:after="0" w:line="240" w:lineRule="auto"/>
        <w:jc w:val="center"/>
        <w:rPr>
          <w:i/>
          <w:sz w:val="10"/>
          <w:szCs w:val="10"/>
        </w:rPr>
      </w:pPr>
    </w:p>
    <w:p w:rsidR="00E775F3" w:rsidRDefault="00E775F3" w:rsidP="00974845">
      <w:pPr>
        <w:spacing w:after="0"/>
        <w:contextualSpacing/>
        <w:jc w:val="center"/>
        <w:rPr>
          <w:bCs/>
        </w:rPr>
      </w:pPr>
      <w:r>
        <w:rPr>
          <w:noProof/>
          <w:lang w:eastAsia="it-IT"/>
        </w:rPr>
        <w:drawing>
          <wp:inline distT="0" distB="0" distL="0" distR="0" wp14:anchorId="0D28EA97" wp14:editId="75BC63F7">
            <wp:extent cx="3510951" cy="204167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012" t="4077" r="6824" b="9710"/>
                    <a:stretch/>
                  </pic:blipFill>
                  <pic:spPr bwMode="auto">
                    <a:xfrm>
                      <a:off x="0" y="0"/>
                      <a:ext cx="3525640" cy="2050220"/>
                    </a:xfrm>
                    <a:prstGeom prst="rect">
                      <a:avLst/>
                    </a:prstGeom>
                    <a:noFill/>
                    <a:ln>
                      <a:noFill/>
                    </a:ln>
                    <a:extLst>
                      <a:ext uri="{53640926-AAD7-44D8-BBD7-CCE9431645EC}">
                        <a14:shadowObscured xmlns:a14="http://schemas.microsoft.com/office/drawing/2010/main"/>
                      </a:ext>
                    </a:extLst>
                  </pic:spPr>
                </pic:pic>
              </a:graphicData>
            </a:graphic>
          </wp:inline>
        </w:drawing>
      </w:r>
    </w:p>
    <w:p w:rsidR="00974845" w:rsidRDefault="00974845" w:rsidP="00E775F3">
      <w:pPr>
        <w:spacing w:after="0"/>
        <w:contextualSpacing/>
        <w:jc w:val="both"/>
        <w:rPr>
          <w:bCs/>
        </w:rPr>
      </w:pPr>
    </w:p>
    <w:p w:rsidR="00974845" w:rsidRPr="00B35235" w:rsidRDefault="00974845" w:rsidP="00974845">
      <w:pPr>
        <w:jc w:val="both"/>
      </w:pPr>
      <w:r w:rsidRPr="00E25889">
        <w:t>Se</w:t>
      </w:r>
      <w:r>
        <w:t>condo lo studio, se</w:t>
      </w:r>
      <w:r w:rsidRPr="00E25889">
        <w:t xml:space="preserve"> </w:t>
      </w:r>
      <w:r>
        <w:t xml:space="preserve">si raggiungesse una </w:t>
      </w:r>
      <w:r w:rsidRPr="00E25889">
        <w:t xml:space="preserve">copertura vaccinale del </w:t>
      </w:r>
      <w:r w:rsidRPr="00E42E2E">
        <w:rPr>
          <w:b/>
        </w:rPr>
        <w:t>75%</w:t>
      </w:r>
      <w:r w:rsidRPr="00E25889">
        <w:t xml:space="preserve">, ovvero il valore soglia raccomandato dall'OMS, si </w:t>
      </w:r>
      <w:r>
        <w:t xml:space="preserve">eviterebbero ogni anno ulteriori </w:t>
      </w:r>
      <w:r w:rsidRPr="00E42E2E">
        <w:rPr>
          <w:b/>
        </w:rPr>
        <w:t>1,6 milioni</w:t>
      </w:r>
      <w:r>
        <w:t xml:space="preserve"> di casi d’influenza e </w:t>
      </w:r>
      <w:r w:rsidRPr="00E42E2E">
        <w:rPr>
          <w:b/>
        </w:rPr>
        <w:t>circa 10.000</w:t>
      </w:r>
      <w:r>
        <w:t xml:space="preserve"> morti. </w:t>
      </w:r>
      <w:r w:rsidRPr="00E42E2E">
        <w:t xml:space="preserve">I </w:t>
      </w:r>
      <w:r>
        <w:t>risparmi</w:t>
      </w:r>
      <w:r w:rsidRPr="00E42E2E">
        <w:t xml:space="preserve"> aumenterebbero di</w:t>
      </w:r>
      <w:r w:rsidRPr="00E25889">
        <w:rPr>
          <w:b/>
        </w:rPr>
        <w:t xml:space="preserve"> 190 milioni di euro </w:t>
      </w:r>
      <w:r w:rsidRPr="00E42E2E">
        <w:t xml:space="preserve">secondo i valori di efficacia e </w:t>
      </w:r>
      <w:r>
        <w:t xml:space="preserve">di </w:t>
      </w:r>
      <w:r w:rsidRPr="00E42E2E">
        <w:t>ben</w:t>
      </w:r>
      <w:r w:rsidRPr="00E25889">
        <w:rPr>
          <w:b/>
        </w:rPr>
        <w:t xml:space="preserve"> 226 milioni </w:t>
      </w:r>
      <w:r>
        <w:rPr>
          <w:b/>
        </w:rPr>
        <w:t xml:space="preserve">di euro </w:t>
      </w:r>
      <w:r w:rsidRPr="00E42E2E">
        <w:t>utilizzando le stime attraverso efficacia di capo</w:t>
      </w:r>
      <w:r>
        <w:t xml:space="preserve"> (tabella 3).</w:t>
      </w:r>
    </w:p>
    <w:p w:rsidR="00974845" w:rsidRDefault="00974845" w:rsidP="00974845">
      <w:pPr>
        <w:spacing w:after="0" w:line="240" w:lineRule="auto"/>
        <w:jc w:val="center"/>
        <w:rPr>
          <w:i/>
          <w:sz w:val="20"/>
          <w:szCs w:val="20"/>
        </w:rPr>
      </w:pPr>
      <w:r w:rsidRPr="0046594E">
        <w:rPr>
          <w:i/>
          <w:sz w:val="20"/>
          <w:szCs w:val="20"/>
        </w:rPr>
        <w:t xml:space="preserve">Tabella </w:t>
      </w:r>
      <w:r>
        <w:rPr>
          <w:i/>
          <w:sz w:val="20"/>
          <w:szCs w:val="20"/>
        </w:rPr>
        <w:t>3</w:t>
      </w:r>
      <w:r w:rsidRPr="0046594E">
        <w:rPr>
          <w:i/>
          <w:sz w:val="20"/>
          <w:szCs w:val="20"/>
        </w:rPr>
        <w:t xml:space="preserve"> – </w:t>
      </w:r>
      <w:r>
        <w:rPr>
          <w:i/>
          <w:sz w:val="20"/>
          <w:szCs w:val="20"/>
        </w:rPr>
        <w:t xml:space="preserve">I benefici economici e di salute pubblica aggiuntivi della vaccinazione influenzale trivalente </w:t>
      </w:r>
    </w:p>
    <w:p w:rsidR="00974845" w:rsidRDefault="00974845" w:rsidP="00974845">
      <w:pPr>
        <w:spacing w:after="0" w:line="240" w:lineRule="auto"/>
        <w:jc w:val="center"/>
        <w:rPr>
          <w:i/>
          <w:sz w:val="20"/>
          <w:szCs w:val="20"/>
        </w:rPr>
      </w:pPr>
      <w:proofErr w:type="gramStart"/>
      <w:r>
        <w:rPr>
          <w:i/>
          <w:sz w:val="20"/>
          <w:szCs w:val="20"/>
        </w:rPr>
        <w:t>in</w:t>
      </w:r>
      <w:proofErr w:type="gramEnd"/>
      <w:r>
        <w:rPr>
          <w:i/>
          <w:sz w:val="20"/>
          <w:szCs w:val="20"/>
        </w:rPr>
        <w:t xml:space="preserve"> 27 Paesi dell’Unione Europea.</w:t>
      </w:r>
    </w:p>
    <w:p w:rsidR="00974845" w:rsidRPr="009275A4" w:rsidRDefault="00974845" w:rsidP="00974845">
      <w:pPr>
        <w:spacing w:after="0" w:line="240" w:lineRule="auto"/>
        <w:jc w:val="center"/>
        <w:rPr>
          <w:i/>
          <w:sz w:val="10"/>
          <w:szCs w:val="10"/>
        </w:rPr>
      </w:pPr>
    </w:p>
    <w:p w:rsidR="00974845" w:rsidRDefault="00974845" w:rsidP="00B35235">
      <w:pPr>
        <w:jc w:val="center"/>
      </w:pPr>
      <w:r>
        <w:rPr>
          <w:noProof/>
          <w:lang w:eastAsia="it-IT"/>
        </w:rPr>
        <w:drawing>
          <wp:inline distT="0" distB="0" distL="0" distR="0" wp14:anchorId="66394BDD" wp14:editId="3F204702">
            <wp:extent cx="5907357" cy="1751162"/>
            <wp:effectExtent l="0" t="0" r="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0177"/>
                    <a:stretch/>
                  </pic:blipFill>
                  <pic:spPr bwMode="auto">
                    <a:xfrm>
                      <a:off x="0" y="0"/>
                      <a:ext cx="5904230" cy="1750235"/>
                    </a:xfrm>
                    <a:prstGeom prst="rect">
                      <a:avLst/>
                    </a:prstGeom>
                    <a:ln>
                      <a:noFill/>
                    </a:ln>
                    <a:extLst>
                      <a:ext uri="{53640926-AAD7-44D8-BBD7-CCE9431645EC}">
                        <a14:shadowObscured xmlns:a14="http://schemas.microsoft.com/office/drawing/2010/main"/>
                      </a:ext>
                    </a:extLst>
                  </pic:spPr>
                </pic:pic>
              </a:graphicData>
            </a:graphic>
          </wp:inline>
        </w:drawing>
      </w:r>
    </w:p>
    <w:p w:rsidR="00E775F3" w:rsidRDefault="00974845" w:rsidP="00B35235">
      <w:pPr>
        <w:jc w:val="both"/>
      </w:pPr>
      <w:r>
        <w:t>Dallo studio è emerso dunque</w:t>
      </w:r>
      <w:r w:rsidRPr="00E25889">
        <w:t xml:space="preserve"> che dei </w:t>
      </w:r>
      <w:r w:rsidRPr="009275A4">
        <w:rPr>
          <w:b/>
        </w:rPr>
        <w:t>180 milioni</w:t>
      </w:r>
      <w:r w:rsidRPr="00E25889">
        <w:t xml:space="preserve"> di persone per le quali la vaccinazione antinfluenzale è raccomandata, solo </w:t>
      </w:r>
      <w:r w:rsidRPr="009275A4">
        <w:rPr>
          <w:b/>
        </w:rPr>
        <w:t>80 milioni</w:t>
      </w:r>
      <w:r w:rsidRPr="00E25889">
        <w:t xml:space="preserve"> si vaccinano effettivamente. Attualmente la vaccinazi</w:t>
      </w:r>
      <w:r>
        <w:t xml:space="preserve">one previene in media tra gli </w:t>
      </w:r>
      <w:r w:rsidRPr="009275A4">
        <w:rPr>
          <w:b/>
        </w:rPr>
        <w:t>1,6 ed i 2,1 milioni</w:t>
      </w:r>
      <w:r w:rsidRPr="00E25889">
        <w:t xml:space="preserve"> di casi di</w:t>
      </w:r>
      <w:r w:rsidRPr="009275A4">
        <w:rPr>
          <w:b/>
        </w:rPr>
        <w:t xml:space="preserve"> influenza</w:t>
      </w:r>
      <w:r w:rsidRPr="00E25889">
        <w:t xml:space="preserve">, dalle </w:t>
      </w:r>
      <w:r w:rsidRPr="009275A4">
        <w:rPr>
          <w:b/>
        </w:rPr>
        <w:t>45.300 alle 65.600 ospedalizzazioni</w:t>
      </w:r>
      <w:r w:rsidRPr="00E25889">
        <w:t xml:space="preserve"> e dalle </w:t>
      </w:r>
      <w:r w:rsidRPr="009275A4">
        <w:rPr>
          <w:b/>
        </w:rPr>
        <w:t>25.200 alle 37.200 morti</w:t>
      </w:r>
      <w:r w:rsidRPr="00E25889">
        <w:t>. Per raggiungere il target del 75% raccomandato dal</w:t>
      </w:r>
      <w:r>
        <w:t>l’OMS e dal C</w:t>
      </w:r>
      <w:r w:rsidRPr="00E25889">
        <w:t xml:space="preserve">onsiglio </w:t>
      </w:r>
      <w:r>
        <w:t>Europeo</w:t>
      </w:r>
      <w:r w:rsidRPr="00E25889">
        <w:t xml:space="preserve">, </w:t>
      </w:r>
      <w:r w:rsidRPr="009275A4">
        <w:rPr>
          <w:b/>
        </w:rPr>
        <w:t>54,7 milioni</w:t>
      </w:r>
      <w:r w:rsidRPr="00E25889">
        <w:t xml:space="preserve"> di persone in più dovrebbero essere vaccinate nella popolazione </w:t>
      </w:r>
      <w:r>
        <w:t>over 65</w:t>
      </w:r>
      <w:r w:rsidRPr="00E25889">
        <w:t xml:space="preserve"> e negli altri gruppi a rischio. Raggiungendo tale livello soglia, </w:t>
      </w:r>
      <w:r>
        <w:t xml:space="preserve">ogni anno </w:t>
      </w:r>
      <w:r w:rsidRPr="00E25889">
        <w:t xml:space="preserve">il tasso </w:t>
      </w:r>
      <w:r>
        <w:t xml:space="preserve">di </w:t>
      </w:r>
      <w:r w:rsidRPr="00E25889">
        <w:t>influenza evitat</w:t>
      </w:r>
      <w:r>
        <w:t xml:space="preserve">o crescerebbe di ulteriori </w:t>
      </w:r>
      <w:r w:rsidRPr="009275A4">
        <w:rPr>
          <w:b/>
        </w:rPr>
        <w:t>1,6,</w:t>
      </w:r>
      <w:r>
        <w:rPr>
          <w:b/>
        </w:rPr>
        <w:t xml:space="preserve"> </w:t>
      </w:r>
      <w:r w:rsidRPr="009275A4">
        <w:rPr>
          <w:b/>
        </w:rPr>
        <w:t>-</w:t>
      </w:r>
      <w:r>
        <w:rPr>
          <w:b/>
        </w:rPr>
        <w:t xml:space="preserve"> </w:t>
      </w:r>
      <w:r w:rsidRPr="009275A4">
        <w:rPr>
          <w:b/>
        </w:rPr>
        <w:t xml:space="preserve">1,7 milioni </w:t>
      </w:r>
      <w:r w:rsidRPr="009275A4">
        <w:t>di casi</w:t>
      </w:r>
      <w:r w:rsidRPr="00E25889">
        <w:t xml:space="preserve">, le </w:t>
      </w:r>
      <w:r w:rsidRPr="009275A4">
        <w:rPr>
          <w:b/>
        </w:rPr>
        <w:t>ospedalizzazioni</w:t>
      </w:r>
      <w:r>
        <w:t xml:space="preserve"> di un ulteriore </w:t>
      </w:r>
      <w:r>
        <w:rPr>
          <w:b/>
        </w:rPr>
        <w:t>23.</w:t>
      </w:r>
      <w:r w:rsidRPr="009275A4">
        <w:rPr>
          <w:b/>
        </w:rPr>
        <w:t xml:space="preserve">800 </w:t>
      </w:r>
      <w:r>
        <w:rPr>
          <w:b/>
        </w:rPr>
        <w:t>–</w:t>
      </w:r>
      <w:r w:rsidRPr="009275A4">
        <w:rPr>
          <w:b/>
        </w:rPr>
        <w:t xml:space="preserve"> </w:t>
      </w:r>
      <w:r>
        <w:rPr>
          <w:b/>
        </w:rPr>
        <w:t>31.</w:t>
      </w:r>
      <w:r w:rsidRPr="009275A4">
        <w:rPr>
          <w:b/>
        </w:rPr>
        <w:t>400</w:t>
      </w:r>
      <w:r>
        <w:t xml:space="preserve">, le </w:t>
      </w:r>
      <w:r w:rsidRPr="009275A4">
        <w:rPr>
          <w:b/>
        </w:rPr>
        <w:t>morti</w:t>
      </w:r>
      <w:r>
        <w:t xml:space="preserve"> dai </w:t>
      </w:r>
      <w:r w:rsidRPr="009275A4">
        <w:rPr>
          <w:b/>
        </w:rPr>
        <w:t>9.800 ai 14.300</w:t>
      </w:r>
      <w:r w:rsidRPr="00E25889">
        <w:t>,</w:t>
      </w:r>
      <w:r>
        <w:t xml:space="preserve"> le </w:t>
      </w:r>
      <w:r w:rsidRPr="009275A4">
        <w:rPr>
          <w:b/>
        </w:rPr>
        <w:t>visite mediche</w:t>
      </w:r>
      <w:r>
        <w:t xml:space="preserve"> da </w:t>
      </w:r>
      <w:r w:rsidRPr="009275A4">
        <w:rPr>
          <w:b/>
        </w:rPr>
        <w:t>678.500 a 767.800</w:t>
      </w:r>
      <w:r w:rsidRPr="00E25889">
        <w:t xml:space="preserve"> ed infine </w:t>
      </w:r>
      <w:r>
        <w:t xml:space="preserve">i </w:t>
      </w:r>
      <w:r w:rsidRPr="009275A4">
        <w:rPr>
          <w:b/>
        </w:rPr>
        <w:t>giorni di lavoro</w:t>
      </w:r>
      <w:r>
        <w:t xml:space="preserve"> persi da </w:t>
      </w:r>
      <w:r>
        <w:rPr>
          <w:b/>
        </w:rPr>
        <w:t xml:space="preserve">883.800 a </w:t>
      </w:r>
      <w:r w:rsidRPr="009275A4">
        <w:rPr>
          <w:b/>
        </w:rPr>
        <w:t>1.015.100</w:t>
      </w:r>
      <w:r w:rsidRPr="00E25889">
        <w:t>. I costi correlati all'influenza evitati grazie alla vaccinazione nei gruppi target</w:t>
      </w:r>
      <w:r>
        <w:t xml:space="preserve"> crescerebbero ulteriormente di </w:t>
      </w:r>
      <w:r w:rsidRPr="009275A4">
        <w:rPr>
          <w:b/>
        </w:rPr>
        <w:t>190 – 226 milioni di euro all'anno</w:t>
      </w:r>
      <w:r w:rsidRPr="00E25889">
        <w:t>.</w:t>
      </w:r>
    </w:p>
    <w:p w:rsidR="00B35235" w:rsidRPr="00B35235" w:rsidRDefault="00B35235" w:rsidP="00B35235">
      <w:pPr>
        <w:jc w:val="both"/>
      </w:pPr>
    </w:p>
    <w:p w:rsidR="00974845" w:rsidRDefault="00974845" w:rsidP="00974845">
      <w:pPr>
        <w:spacing w:after="0"/>
        <w:jc w:val="both"/>
        <w:rPr>
          <w:b/>
          <w:color w:val="0070C0"/>
        </w:rPr>
      </w:pPr>
      <w:bookmarkStart w:id="1" w:name="_Toc413767699"/>
      <w:r w:rsidRPr="00CA46E4">
        <w:rPr>
          <w:b/>
          <w:color w:val="0070C0"/>
        </w:rPr>
        <w:lastRenderedPageBreak/>
        <w:t>Vaccinazione influenzale e rischio cardiovascolare</w:t>
      </w:r>
      <w:bookmarkEnd w:id="1"/>
    </w:p>
    <w:p w:rsidR="00974845" w:rsidRPr="00CA46E4" w:rsidRDefault="00974845" w:rsidP="00974845">
      <w:pPr>
        <w:spacing w:after="0"/>
        <w:jc w:val="both"/>
        <w:rPr>
          <w:b/>
          <w:color w:val="0070C0"/>
          <w:sz w:val="6"/>
          <w:szCs w:val="6"/>
        </w:rPr>
      </w:pPr>
    </w:p>
    <w:p w:rsidR="00974845" w:rsidRDefault="00974845" w:rsidP="00974845">
      <w:pPr>
        <w:jc w:val="both"/>
      </w:pPr>
      <w:r w:rsidRPr="00E25889">
        <w:t>La vaccinazione antinfluenzale produce benefici più ampi in termi</w:t>
      </w:r>
      <w:r>
        <w:t>n</w:t>
      </w:r>
      <w:r w:rsidRPr="00E25889">
        <w:t>i di salute oltre alla prevenzione dell'influenza e alla riduzione della gravità della malattia e delle sue complicanze.</w:t>
      </w:r>
      <w:r>
        <w:t xml:space="preserve"> </w:t>
      </w:r>
      <w:r w:rsidRPr="00E25889">
        <w:t>Le evidenze scientifiche supportano i benefici indiretti della vaccinazione anti-influenzale nel ridurre il rischio di eventi cardiaci in pazienti con malattie cardio-vascolari; questo dato è stato recentemente confermato da una meta-analisi di 6 trials clinici</w:t>
      </w:r>
      <w:r>
        <w:rPr>
          <w:vertAlign w:val="superscript"/>
        </w:rPr>
        <w:t>18,19,20,21</w:t>
      </w:r>
      <w:r>
        <w:t>.</w:t>
      </w:r>
    </w:p>
    <w:p w:rsidR="00974845" w:rsidRPr="00CA46E4" w:rsidRDefault="00974845" w:rsidP="00974845">
      <w:pPr>
        <w:spacing w:after="0"/>
        <w:jc w:val="both"/>
        <w:rPr>
          <w:b/>
          <w:color w:val="0070C0"/>
          <w:sz w:val="6"/>
          <w:szCs w:val="6"/>
        </w:rPr>
      </w:pPr>
    </w:p>
    <w:p w:rsidR="00974845" w:rsidRDefault="00974845" w:rsidP="00974845">
      <w:pPr>
        <w:spacing w:after="0"/>
        <w:jc w:val="both"/>
        <w:rPr>
          <w:b/>
          <w:color w:val="0070C0"/>
        </w:rPr>
      </w:pPr>
      <w:r>
        <w:rPr>
          <w:b/>
          <w:color w:val="0070C0"/>
        </w:rPr>
        <w:t>A</w:t>
      </w:r>
      <w:r w:rsidRPr="00CA46E4">
        <w:rPr>
          <w:b/>
          <w:color w:val="0070C0"/>
        </w:rPr>
        <w:t>ntibiotico-resistenza e vaccinazioni</w:t>
      </w:r>
    </w:p>
    <w:p w:rsidR="00974845" w:rsidRPr="00CA46E4" w:rsidRDefault="00974845" w:rsidP="00974845">
      <w:pPr>
        <w:spacing w:after="0"/>
        <w:jc w:val="both"/>
        <w:rPr>
          <w:b/>
          <w:color w:val="0070C0"/>
          <w:sz w:val="6"/>
          <w:szCs w:val="6"/>
        </w:rPr>
      </w:pPr>
    </w:p>
    <w:p w:rsidR="00974845" w:rsidRPr="00CA46E4" w:rsidRDefault="00974845" w:rsidP="00974845">
      <w:pPr>
        <w:spacing w:after="0"/>
        <w:jc w:val="both"/>
      </w:pPr>
      <w:r w:rsidRPr="00E25889">
        <w:t>L'ECDC afferma</w:t>
      </w:r>
      <w:r>
        <w:rPr>
          <w:vertAlign w:val="superscript"/>
        </w:rPr>
        <w:t>22</w:t>
      </w:r>
      <w:r>
        <w:t xml:space="preserve"> </w:t>
      </w:r>
      <w:r w:rsidRPr="00E25889">
        <w:t xml:space="preserve">che </w:t>
      </w:r>
      <w:r w:rsidRPr="00CA46E4">
        <w:t xml:space="preserve">gli antibiotici non rappresentano la soluzione per le infezioni causate da virus come i normali raffreddori o l’influenza perché sono efficaci solo contro le infezioni batteriche.  L'Agenzia </w:t>
      </w:r>
      <w:r>
        <w:t>Italiana del F</w:t>
      </w:r>
      <w:r w:rsidRPr="00CA46E4">
        <w:t>armaco, l'Ist</w:t>
      </w:r>
      <w:r>
        <w:t xml:space="preserve">ituto Superiore di Sanità e il </w:t>
      </w:r>
      <w:r w:rsidRPr="00CA46E4">
        <w:t xml:space="preserve">Ministero della Salute hanno </w:t>
      </w:r>
      <w:r>
        <w:t>a tal proposito promosso una</w:t>
      </w:r>
      <w:r w:rsidRPr="00CA46E4">
        <w:t xml:space="preserve"> campagna di comunicazione “Antibiotici sì, ma con cautela”</w:t>
      </w:r>
      <w:r>
        <w:t xml:space="preserve"> per</w:t>
      </w:r>
      <w:r w:rsidRPr="00CA46E4">
        <w:t xml:space="preserve"> informare i cittadini dell’importanza di ricorrere agli antibiotici solo in caso di necessità e comunque sempre sotto stretta sorveglianza medica</w:t>
      </w:r>
      <w:r>
        <w:t>.</w:t>
      </w:r>
    </w:p>
    <w:p w:rsidR="00974845" w:rsidRDefault="00974845" w:rsidP="00974845">
      <w:pPr>
        <w:spacing w:after="0"/>
        <w:jc w:val="both"/>
      </w:pPr>
      <w:r w:rsidRPr="00CA46E4">
        <w:t>La prescrizione inappropriata di antibiotici e il loro ampio utilizzo rappresenta quindi l'elemento chiave nello sviluppo</w:t>
      </w:r>
      <w:r>
        <w:t xml:space="preserve"> della antibiotico-resistenza. </w:t>
      </w:r>
      <w:r w:rsidRPr="00CA46E4">
        <w:t>Tutte le strategie che possono ridurre l'uso di antibiotici</w:t>
      </w:r>
      <w:r>
        <w:t>, inclusa la pratica vaccinale,</w:t>
      </w:r>
      <w:r w:rsidRPr="00CA46E4">
        <w:t xml:space="preserve"> devono essere considerate come parte di una serie di misure a lungo termine per combattere quest</w:t>
      </w:r>
      <w:r>
        <w:t xml:space="preserve">o problema sanitario globale. </w:t>
      </w:r>
    </w:p>
    <w:p w:rsidR="00974845" w:rsidRDefault="00974845" w:rsidP="00974845">
      <w:pPr>
        <w:jc w:val="both"/>
      </w:pPr>
      <w:r w:rsidRPr="00E25889">
        <w:rPr>
          <w:bCs/>
        </w:rPr>
        <w:t>I vaccini, possono ridurre l'antibiotico-resistenz</w:t>
      </w:r>
      <w:r>
        <w:rPr>
          <w:bCs/>
        </w:rPr>
        <w:t xml:space="preserve">a attraverso diversi meccanismi. </w:t>
      </w:r>
      <w:r w:rsidRPr="00E25889">
        <w:t>Un esempio ci viene dato dall'influenza che spesso si associa ad un uso di antibiotici non aderente alle necessità terapeutiche, trattando come infe</w:t>
      </w:r>
      <w:r>
        <w:t xml:space="preserve">zione batterica dell'alto e/o </w:t>
      </w:r>
      <w:r w:rsidRPr="00E25889">
        <w:t>basso tratto respiratorio una patologia ad etiologia virale.</w:t>
      </w:r>
    </w:p>
    <w:p w:rsidR="00974845" w:rsidRDefault="00974845" w:rsidP="00974845">
      <w:pPr>
        <w:spacing w:after="0"/>
        <w:jc w:val="both"/>
        <w:rPr>
          <w:b/>
          <w:color w:val="0070C0"/>
        </w:rPr>
      </w:pPr>
      <w:bookmarkStart w:id="2" w:name="_Toc401217013"/>
      <w:bookmarkStart w:id="3" w:name="_Toc414271741"/>
      <w:bookmarkStart w:id="4" w:name="_Toc415039576"/>
      <w:r w:rsidRPr="00002C97">
        <w:rPr>
          <w:b/>
          <w:color w:val="0070C0"/>
        </w:rPr>
        <w:t>I costi dell'Influenza</w:t>
      </w:r>
      <w:bookmarkEnd w:id="2"/>
      <w:bookmarkEnd w:id="3"/>
      <w:bookmarkEnd w:id="4"/>
    </w:p>
    <w:p w:rsidR="00974845" w:rsidRPr="00974845" w:rsidRDefault="00974845" w:rsidP="00974845">
      <w:pPr>
        <w:spacing w:after="0"/>
        <w:jc w:val="both"/>
        <w:rPr>
          <w:sz w:val="10"/>
          <w:szCs w:val="10"/>
        </w:rPr>
      </w:pPr>
    </w:p>
    <w:p w:rsidR="00666D7C" w:rsidRDefault="00974845" w:rsidP="00974845">
      <w:pPr>
        <w:jc w:val="both"/>
        <w:rPr>
          <w:rFonts w:cs="Miller Text"/>
        </w:rPr>
      </w:pPr>
      <w:r>
        <w:rPr>
          <w:rFonts w:cs="Miller Text"/>
        </w:rPr>
        <w:t>E' stato già sottolineato come l</w:t>
      </w:r>
      <w:r w:rsidRPr="009A0FFA">
        <w:rPr>
          <w:rFonts w:cs="Miller Text"/>
        </w:rPr>
        <w:t>a vaccinazione antinfluenzale rappresent</w:t>
      </w:r>
      <w:r>
        <w:rPr>
          <w:rFonts w:cs="Miller Text"/>
        </w:rPr>
        <w:t>a</w:t>
      </w:r>
      <w:r w:rsidRPr="009A0FFA">
        <w:rPr>
          <w:rFonts w:cs="Miller Text"/>
        </w:rPr>
        <w:t xml:space="preserve"> la strategia di prevenzione con il miglior profilo di costo-efficacia.</w:t>
      </w:r>
      <w:r>
        <w:rPr>
          <w:rFonts w:cs="Miller Text"/>
        </w:rPr>
        <w:t xml:space="preserve"> Infatti, in aggiunta all'impatto sociale e sanitario dell'influenza, si devono rilevare i costi economici, che includono costi diretti (consumo di farmaci, ospedalizzazioni, ecc.), </w:t>
      </w:r>
      <w:r w:rsidR="00666D7C">
        <w:rPr>
          <w:rFonts w:cs="Miller Text"/>
        </w:rPr>
        <w:t>costi</w:t>
      </w:r>
      <w:r>
        <w:rPr>
          <w:rFonts w:cs="Miller Text"/>
        </w:rPr>
        <w:t xml:space="preserve"> indiretti (ad es.: assenteismo e perdita di produttività) e costi intangibili (sofferenza, dolore, riduzione dell</w:t>
      </w:r>
      <w:r w:rsidR="00666D7C">
        <w:rPr>
          <w:rFonts w:cs="Miller Text"/>
        </w:rPr>
        <w:t>a qualità della vita) (Tabella 4</w:t>
      </w:r>
      <w:r>
        <w:rPr>
          <w:rFonts w:cs="Miller Text"/>
        </w:rPr>
        <w:t>).</w:t>
      </w:r>
    </w:p>
    <w:p w:rsidR="00974845" w:rsidRPr="00DF2053" w:rsidRDefault="00974845" w:rsidP="00974845">
      <w:pPr>
        <w:jc w:val="center"/>
        <w:rPr>
          <w:rFonts w:cs="Miller Text"/>
          <w:i/>
          <w:sz w:val="20"/>
        </w:rPr>
      </w:pPr>
      <w:r w:rsidRPr="00DF2053">
        <w:rPr>
          <w:rFonts w:cs="Miller Text"/>
          <w:i/>
          <w:sz w:val="20"/>
        </w:rPr>
        <w:t xml:space="preserve">Tabella </w:t>
      </w:r>
      <w:r w:rsidR="00666D7C">
        <w:rPr>
          <w:rFonts w:cs="Miller Text"/>
          <w:i/>
          <w:sz w:val="20"/>
        </w:rPr>
        <w:t>4</w:t>
      </w:r>
      <w:r>
        <w:rPr>
          <w:rFonts w:cs="Miller Text"/>
          <w:i/>
          <w:sz w:val="20"/>
        </w:rPr>
        <w:t xml:space="preserve"> </w:t>
      </w:r>
      <w:r w:rsidRPr="00DF2053">
        <w:rPr>
          <w:rFonts w:cs="Miller Text"/>
          <w:i/>
          <w:sz w:val="20"/>
        </w:rPr>
        <w:t>– Costi diretti e indiretti legati all'influenza</w:t>
      </w:r>
    </w:p>
    <w:tbl>
      <w:tblPr>
        <w:tblW w:w="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80"/>
        <w:gridCol w:w="1559"/>
      </w:tblGrid>
      <w:tr w:rsidR="00974845" w:rsidRPr="00BF4494" w:rsidTr="006729A7">
        <w:trPr>
          <w:trHeight w:val="255"/>
          <w:jc w:val="center"/>
        </w:trPr>
        <w:tc>
          <w:tcPr>
            <w:tcW w:w="4380" w:type="dxa"/>
            <w:vAlign w:val="center"/>
          </w:tcPr>
          <w:p w:rsidR="00974845" w:rsidRPr="00666D7C" w:rsidRDefault="00666D7C" w:rsidP="006729A7">
            <w:pPr>
              <w:spacing w:after="0" w:line="240" w:lineRule="auto"/>
              <w:rPr>
                <w:b/>
                <w:bCs/>
                <w:color w:val="000000"/>
                <w:lang w:eastAsia="it-IT"/>
              </w:rPr>
            </w:pPr>
            <w:r w:rsidRPr="00666D7C">
              <w:rPr>
                <w:color w:val="000000"/>
                <w:lang w:eastAsia="it-IT"/>
              </w:rPr>
              <w:t>C</w:t>
            </w:r>
            <w:r w:rsidR="00974845" w:rsidRPr="00666D7C">
              <w:rPr>
                <w:color w:val="000000"/>
                <w:lang w:eastAsia="it-IT"/>
              </w:rPr>
              <w:t>osto medio giornaliero ospedalizzazione</w:t>
            </w:r>
          </w:p>
        </w:tc>
        <w:tc>
          <w:tcPr>
            <w:tcW w:w="1559" w:type="dxa"/>
            <w:vAlign w:val="center"/>
          </w:tcPr>
          <w:p w:rsidR="00974845" w:rsidRPr="00666D7C" w:rsidRDefault="00974845" w:rsidP="006729A7">
            <w:pPr>
              <w:spacing w:after="0" w:line="240" w:lineRule="auto"/>
              <w:rPr>
                <w:color w:val="000000"/>
                <w:lang w:eastAsia="it-IT"/>
              </w:rPr>
            </w:pPr>
            <w:r w:rsidRPr="00666D7C">
              <w:rPr>
                <w:color w:val="000000"/>
                <w:lang w:eastAsia="it-IT"/>
              </w:rPr>
              <w:t>€ 1.600,00</w:t>
            </w:r>
          </w:p>
        </w:tc>
      </w:tr>
      <w:tr w:rsidR="00974845" w:rsidRPr="00BF4494" w:rsidTr="006729A7">
        <w:trPr>
          <w:trHeight w:val="255"/>
          <w:jc w:val="center"/>
        </w:trPr>
        <w:tc>
          <w:tcPr>
            <w:tcW w:w="4380" w:type="dxa"/>
            <w:vAlign w:val="center"/>
          </w:tcPr>
          <w:p w:rsidR="00974845" w:rsidRPr="00666D7C" w:rsidRDefault="00666D7C" w:rsidP="006729A7">
            <w:pPr>
              <w:spacing w:after="0" w:line="240" w:lineRule="auto"/>
              <w:rPr>
                <w:color w:val="000000"/>
                <w:lang w:eastAsia="it-IT"/>
              </w:rPr>
            </w:pPr>
            <w:r w:rsidRPr="00666D7C">
              <w:rPr>
                <w:color w:val="000000"/>
                <w:lang w:eastAsia="it-IT"/>
              </w:rPr>
              <w:t>C</w:t>
            </w:r>
            <w:r w:rsidR="00974845" w:rsidRPr="00666D7C">
              <w:rPr>
                <w:color w:val="000000"/>
                <w:lang w:eastAsia="it-IT"/>
              </w:rPr>
              <w:t>osto medio di una visita medica</w:t>
            </w:r>
          </w:p>
        </w:tc>
        <w:tc>
          <w:tcPr>
            <w:tcW w:w="1559" w:type="dxa"/>
            <w:vAlign w:val="center"/>
          </w:tcPr>
          <w:p w:rsidR="00974845" w:rsidRPr="00666D7C" w:rsidRDefault="00974845" w:rsidP="006729A7">
            <w:pPr>
              <w:spacing w:after="0" w:line="240" w:lineRule="auto"/>
              <w:rPr>
                <w:color w:val="000000"/>
                <w:lang w:eastAsia="it-IT"/>
              </w:rPr>
            </w:pPr>
            <w:r w:rsidRPr="00666D7C">
              <w:rPr>
                <w:color w:val="000000"/>
                <w:lang w:eastAsia="it-IT"/>
              </w:rPr>
              <w:t>€ 20,00</w:t>
            </w:r>
          </w:p>
        </w:tc>
      </w:tr>
      <w:tr w:rsidR="00974845" w:rsidRPr="00BF4494" w:rsidTr="006729A7">
        <w:trPr>
          <w:trHeight w:val="255"/>
          <w:jc w:val="center"/>
        </w:trPr>
        <w:tc>
          <w:tcPr>
            <w:tcW w:w="4380" w:type="dxa"/>
            <w:vAlign w:val="center"/>
          </w:tcPr>
          <w:p w:rsidR="00974845" w:rsidRPr="00666D7C" w:rsidRDefault="00666D7C" w:rsidP="006729A7">
            <w:pPr>
              <w:spacing w:after="0" w:line="240" w:lineRule="auto"/>
              <w:rPr>
                <w:color w:val="000000"/>
                <w:lang w:eastAsia="it-IT"/>
              </w:rPr>
            </w:pPr>
            <w:r w:rsidRPr="00666D7C">
              <w:rPr>
                <w:color w:val="000000"/>
                <w:lang w:eastAsia="it-IT"/>
              </w:rPr>
              <w:t>C</w:t>
            </w:r>
            <w:r w:rsidR="00974845" w:rsidRPr="00666D7C">
              <w:rPr>
                <w:color w:val="000000"/>
                <w:lang w:eastAsia="it-IT"/>
              </w:rPr>
              <w:t>osto medio farmaci antibiotici</w:t>
            </w:r>
          </w:p>
        </w:tc>
        <w:tc>
          <w:tcPr>
            <w:tcW w:w="1559" w:type="dxa"/>
            <w:vAlign w:val="center"/>
          </w:tcPr>
          <w:p w:rsidR="00974845" w:rsidRPr="00666D7C" w:rsidRDefault="00974845" w:rsidP="006729A7">
            <w:pPr>
              <w:spacing w:after="0" w:line="240" w:lineRule="auto"/>
              <w:rPr>
                <w:color w:val="000000"/>
                <w:lang w:eastAsia="it-IT"/>
              </w:rPr>
            </w:pPr>
            <w:r w:rsidRPr="00666D7C">
              <w:rPr>
                <w:color w:val="000000"/>
                <w:lang w:eastAsia="it-IT"/>
              </w:rPr>
              <w:t>€ 30,00</w:t>
            </w:r>
          </w:p>
        </w:tc>
      </w:tr>
      <w:tr w:rsidR="00974845" w:rsidRPr="00BF4494" w:rsidTr="006729A7">
        <w:trPr>
          <w:trHeight w:val="290"/>
          <w:jc w:val="center"/>
        </w:trPr>
        <w:tc>
          <w:tcPr>
            <w:tcW w:w="4380" w:type="dxa"/>
            <w:vAlign w:val="center"/>
          </w:tcPr>
          <w:p w:rsidR="00974845" w:rsidRPr="00666D7C" w:rsidRDefault="00666D7C" w:rsidP="006729A7">
            <w:pPr>
              <w:spacing w:after="0" w:line="240" w:lineRule="auto"/>
              <w:rPr>
                <w:color w:val="000000"/>
                <w:lang w:eastAsia="it-IT"/>
              </w:rPr>
            </w:pPr>
            <w:r w:rsidRPr="00666D7C">
              <w:rPr>
                <w:color w:val="000000"/>
                <w:lang w:eastAsia="it-IT"/>
              </w:rPr>
              <w:t>C</w:t>
            </w:r>
            <w:r w:rsidR="00974845" w:rsidRPr="00666D7C">
              <w:rPr>
                <w:color w:val="000000"/>
                <w:lang w:eastAsia="it-IT"/>
              </w:rPr>
              <w:t>osto di 1 settimana di lavoro</w:t>
            </w:r>
          </w:p>
        </w:tc>
        <w:tc>
          <w:tcPr>
            <w:tcW w:w="1559" w:type="dxa"/>
            <w:vAlign w:val="center"/>
          </w:tcPr>
          <w:p w:rsidR="00974845" w:rsidRPr="00666D7C" w:rsidRDefault="00974845" w:rsidP="006729A7">
            <w:pPr>
              <w:spacing w:after="0" w:line="240" w:lineRule="auto"/>
              <w:rPr>
                <w:color w:val="000000"/>
                <w:lang w:eastAsia="it-IT"/>
              </w:rPr>
            </w:pPr>
            <w:r w:rsidRPr="00666D7C">
              <w:rPr>
                <w:color w:val="000000"/>
                <w:lang w:eastAsia="it-IT"/>
              </w:rPr>
              <w:t>€ 850,00</w:t>
            </w:r>
          </w:p>
        </w:tc>
      </w:tr>
    </w:tbl>
    <w:p w:rsidR="00974845" w:rsidRDefault="00974845" w:rsidP="00974845">
      <w:pPr>
        <w:jc w:val="both"/>
        <w:rPr>
          <w:rFonts w:cs="Miller Text"/>
        </w:rPr>
      </w:pPr>
    </w:p>
    <w:p w:rsidR="00974845" w:rsidRDefault="00974845" w:rsidP="00974845">
      <w:pPr>
        <w:jc w:val="both"/>
        <w:rPr>
          <w:rFonts w:cs="Miller Text"/>
        </w:rPr>
      </w:pPr>
      <w:r w:rsidRPr="00671D4E">
        <w:rPr>
          <w:rFonts w:cs="Miller Text"/>
        </w:rPr>
        <w:t>In un recente studio</w:t>
      </w:r>
      <w:r w:rsidR="00666D7C" w:rsidRPr="00666D7C">
        <w:rPr>
          <w:vertAlign w:val="superscript"/>
        </w:rPr>
        <w:t>23</w:t>
      </w:r>
      <w:r w:rsidRPr="00671D4E">
        <w:rPr>
          <w:rFonts w:cs="Miller Text"/>
        </w:rPr>
        <w:t xml:space="preserve"> è stato stimato l'impatto dell'influenza stagionale</w:t>
      </w:r>
      <w:r>
        <w:rPr>
          <w:rFonts w:cs="Miller Text"/>
        </w:rPr>
        <w:t xml:space="preserve"> sui soggetti di età maggiore o uguale a 65 anni in Italia, per un periodo che andava dal 1999 al 2008. In questa fascia di età i casi di influenza sono andati da un minimo di 27.766 casi (stagione 2005/06) ad un massimo di 441.689 (stagione 2004/05), con un </w:t>
      </w:r>
      <w:r w:rsidRPr="00D0529B">
        <w:rPr>
          <w:rFonts w:cs="Miller Text"/>
          <w:b/>
        </w:rPr>
        <w:t xml:space="preserve">costo </w:t>
      </w:r>
      <w:r w:rsidRPr="00666D7C">
        <w:rPr>
          <w:rFonts w:cs="Miller Text"/>
        </w:rPr>
        <w:t>che va</w:t>
      </w:r>
      <w:r w:rsidRPr="00D0529B">
        <w:rPr>
          <w:rFonts w:cs="Miller Text"/>
          <w:b/>
        </w:rPr>
        <w:t xml:space="preserve"> da circa 29 milioni a 467 milioni di euro</w:t>
      </w:r>
      <w:r>
        <w:rPr>
          <w:rFonts w:cs="Miller Text"/>
        </w:rPr>
        <w:t xml:space="preserve"> (Tabella </w:t>
      </w:r>
      <w:r w:rsidR="00666D7C">
        <w:rPr>
          <w:rFonts w:cs="Miller Text"/>
        </w:rPr>
        <w:t>5</w:t>
      </w:r>
      <w:r>
        <w:rPr>
          <w:rFonts w:cs="Miller Text"/>
        </w:rPr>
        <w:t>).</w:t>
      </w:r>
    </w:p>
    <w:p w:rsidR="00B35235" w:rsidRDefault="00B35235" w:rsidP="00974845">
      <w:pPr>
        <w:jc w:val="both"/>
        <w:rPr>
          <w:rFonts w:cs="Miller Text"/>
        </w:rPr>
      </w:pPr>
    </w:p>
    <w:p w:rsidR="00B35235" w:rsidRDefault="00B35235" w:rsidP="00974845">
      <w:pPr>
        <w:jc w:val="both"/>
        <w:rPr>
          <w:rFonts w:cs="Miller Text"/>
        </w:rPr>
      </w:pPr>
    </w:p>
    <w:p w:rsidR="00B35235" w:rsidRDefault="00B35235" w:rsidP="00974845">
      <w:pPr>
        <w:jc w:val="both"/>
        <w:rPr>
          <w:rFonts w:cs="Miller Text"/>
        </w:rPr>
      </w:pPr>
    </w:p>
    <w:p w:rsidR="00666D7C" w:rsidRPr="00DF2053" w:rsidRDefault="00666D7C" w:rsidP="00666D7C">
      <w:pPr>
        <w:jc w:val="center"/>
        <w:rPr>
          <w:i/>
          <w:sz w:val="20"/>
        </w:rPr>
      </w:pPr>
      <w:r w:rsidRPr="00DF2053">
        <w:rPr>
          <w:i/>
          <w:sz w:val="20"/>
        </w:rPr>
        <w:lastRenderedPageBreak/>
        <w:t xml:space="preserve">Tabella </w:t>
      </w:r>
      <w:r>
        <w:rPr>
          <w:i/>
          <w:sz w:val="20"/>
        </w:rPr>
        <w:t>5</w:t>
      </w:r>
      <w:r w:rsidRPr="00DF2053">
        <w:rPr>
          <w:i/>
          <w:sz w:val="20"/>
        </w:rPr>
        <w:t xml:space="preserve"> – Stima dei costi associati alle ILI in Italia in una stagione epidemica</w:t>
      </w:r>
    </w:p>
    <w:p w:rsidR="00666D7C" w:rsidRPr="00666D7C" w:rsidRDefault="00666D7C" w:rsidP="00666D7C">
      <w:pPr>
        <w:jc w:val="center"/>
      </w:pPr>
      <w:r>
        <w:rPr>
          <w:noProof/>
          <w:lang w:eastAsia="it-IT"/>
        </w:rPr>
        <w:drawing>
          <wp:inline distT="0" distB="0" distL="0" distR="0" wp14:anchorId="212B1A89" wp14:editId="0DA5C0F4">
            <wp:extent cx="4648200" cy="2410655"/>
            <wp:effectExtent l="0" t="0" r="0" b="0"/>
            <wp:docPr id="29"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1"/>
                    <pic:cNvPicPr>
                      <a:picLocks noChangeAspect="1" noChangeArrowheads="1"/>
                    </pic:cNvPicPr>
                  </pic:nvPicPr>
                  <pic:blipFill>
                    <a:blip r:embed="rId10">
                      <a:extLst>
                        <a:ext uri="{28A0092B-C50C-407E-A947-70E740481C1C}">
                          <a14:useLocalDpi xmlns:a14="http://schemas.microsoft.com/office/drawing/2010/main" val="0"/>
                        </a:ext>
                      </a:extLst>
                    </a:blip>
                    <a:srcRect l="11005" t="33040" r="8734" b="24512"/>
                    <a:stretch>
                      <a:fillRect/>
                    </a:stretch>
                  </pic:blipFill>
                  <pic:spPr bwMode="auto">
                    <a:xfrm>
                      <a:off x="0" y="0"/>
                      <a:ext cx="4657741" cy="2415603"/>
                    </a:xfrm>
                    <a:prstGeom prst="rect">
                      <a:avLst/>
                    </a:prstGeom>
                    <a:noFill/>
                    <a:ln>
                      <a:noFill/>
                    </a:ln>
                  </pic:spPr>
                </pic:pic>
              </a:graphicData>
            </a:graphic>
          </wp:inline>
        </w:drawing>
      </w:r>
    </w:p>
    <w:p w:rsidR="00666D7C" w:rsidRDefault="00666D7C" w:rsidP="00666D7C">
      <w:pPr>
        <w:spacing w:after="0"/>
        <w:contextualSpacing/>
        <w:jc w:val="both"/>
      </w:pPr>
      <w:r>
        <w:t xml:space="preserve">Rimanendo nell’ambito dei costi, un'altra evidenza scientifica rilevata sul territorio italiano, ha calcolato, su soggetti di età over 65 non vaccinati, un’incidenza delle ILI del 13,94%, con un costo totale (solo costi diretti) per la gestione di ogni caso di ILI di circa €1.270. Si è evidenziato, inoltre, che per ogni soggetto over 65 vaccinato si ha una riduzione di spesa di </w:t>
      </w:r>
      <w:r>
        <w:rPr>
          <w:b/>
        </w:rPr>
        <w:t>€135,11</w:t>
      </w:r>
      <w:r>
        <w:t xml:space="preserve"> (€65.44 - €167.23) della spesa sanitaria. Tale riduzione è principalmente attribuibile dalla diminuzione dei ricoveri ospedalieri nei soggetti vaccinati (</w:t>
      </w:r>
      <w:r w:rsidRPr="00666D7C">
        <w:rPr>
          <w:b/>
        </w:rPr>
        <w:t>-55%</w:t>
      </w:r>
      <w:r>
        <w:t>).</w:t>
      </w:r>
    </w:p>
    <w:p w:rsidR="00666D7C" w:rsidRDefault="00666D7C" w:rsidP="00666D7C">
      <w:pPr>
        <w:spacing w:after="0"/>
        <w:contextualSpacing/>
        <w:jc w:val="both"/>
      </w:pPr>
    </w:p>
    <w:p w:rsidR="00666D7C" w:rsidRPr="00002C97" w:rsidRDefault="00666D7C" w:rsidP="00666D7C">
      <w:pPr>
        <w:pStyle w:val="Titolo2"/>
        <w:numPr>
          <w:ilvl w:val="0"/>
          <w:numId w:val="0"/>
        </w:numPr>
        <w:spacing w:before="0"/>
        <w:contextualSpacing/>
        <w:rPr>
          <w:rFonts w:asciiTheme="minorHAnsi" w:hAnsiTheme="minorHAnsi"/>
          <w:sz w:val="22"/>
          <w:szCs w:val="22"/>
        </w:rPr>
      </w:pPr>
      <w:bookmarkStart w:id="5" w:name="_Toc414271742"/>
      <w:bookmarkStart w:id="6" w:name="_Toc415039577"/>
      <w:r w:rsidRPr="00002C97">
        <w:rPr>
          <w:rFonts w:asciiTheme="minorHAnsi" w:hAnsiTheme="minorHAnsi"/>
          <w:sz w:val="22"/>
          <w:szCs w:val="22"/>
        </w:rPr>
        <w:t>L’impatto dell’influenza sul sistema economico delle regioni</w:t>
      </w:r>
      <w:bookmarkEnd w:id="5"/>
      <w:bookmarkEnd w:id="6"/>
    </w:p>
    <w:p w:rsidR="00666D7C" w:rsidRPr="00666D7C" w:rsidRDefault="00666D7C" w:rsidP="00666D7C">
      <w:pPr>
        <w:spacing w:after="0"/>
        <w:contextualSpacing/>
        <w:rPr>
          <w:sz w:val="10"/>
          <w:szCs w:val="10"/>
        </w:rPr>
      </w:pPr>
    </w:p>
    <w:p w:rsidR="00666D7C" w:rsidRDefault="00666D7C" w:rsidP="00666D7C">
      <w:pPr>
        <w:spacing w:after="0"/>
        <w:contextualSpacing/>
        <w:jc w:val="both"/>
      </w:pPr>
      <w:r>
        <w:t xml:space="preserve">Una stima effettuata dalla Camera di Commercio di Milano su dati Istat e del Ministero della Salute evidenzia i costi dell'influenza ed i giorni di malattia correlati per le imprese lombarde in alcune province italiane da ottobre 2014 a gennaio 2015. Il costo stimato nelle imprese lombarde per 13 settimane dallo scorso ottobre all’11 gennaio 2015 supera i </w:t>
      </w:r>
      <w:r w:rsidRPr="00666D7C">
        <w:rPr>
          <w:b/>
        </w:rPr>
        <w:t>33 milioni di euro</w:t>
      </w:r>
      <w:r>
        <w:t xml:space="preserve"> (oltre 1/5 del totale italiano), comportando circa </w:t>
      </w:r>
      <w:r w:rsidRPr="00666D7C">
        <w:rPr>
          <w:b/>
        </w:rPr>
        <w:t>284 mila giorni</w:t>
      </w:r>
      <w:r>
        <w:t xml:space="preserve"> persi in malattia, una media di tre giorni di convalescenza a persona (escludendo il costo del week end). Ciò significa </w:t>
      </w:r>
      <w:r w:rsidRPr="00666D7C">
        <w:rPr>
          <w:b/>
        </w:rPr>
        <w:t>14 milioni di euro</w:t>
      </w:r>
      <w:r>
        <w:t xml:space="preserve"> in più rispetto al 2014 (</w:t>
      </w:r>
      <w:r w:rsidRPr="00666D7C">
        <w:rPr>
          <w:b/>
        </w:rPr>
        <w:t>+73%</w:t>
      </w:r>
      <w:r>
        <w:t>).</w:t>
      </w:r>
    </w:p>
    <w:p w:rsidR="00666D7C" w:rsidRDefault="00666D7C" w:rsidP="00666D7C">
      <w:pPr>
        <w:spacing w:after="0"/>
        <w:contextualSpacing/>
        <w:jc w:val="both"/>
      </w:pPr>
      <w:r w:rsidRPr="00D55EC3">
        <w:t xml:space="preserve">In tutto, secondo lo studio, in </w:t>
      </w:r>
      <w:r w:rsidRPr="00666D7C">
        <w:rPr>
          <w:b/>
        </w:rPr>
        <w:t>Italia</w:t>
      </w:r>
      <w:r w:rsidRPr="00D55EC3">
        <w:t xml:space="preserve"> vengono spesi </w:t>
      </w:r>
      <w:r w:rsidRPr="00666D7C">
        <w:rPr>
          <w:b/>
        </w:rPr>
        <w:t>153 milioni di euro</w:t>
      </w:r>
      <w:r w:rsidRPr="00D55EC3">
        <w:t xml:space="preserve"> a causa dell'influenza e </w:t>
      </w:r>
      <w:r w:rsidRPr="00666D7C">
        <w:rPr>
          <w:b/>
        </w:rPr>
        <w:t>1,5 milioni di giorni di malattia</w:t>
      </w:r>
      <w:r w:rsidRPr="00666D7C">
        <w:t xml:space="preserve"> (Tabella 6).</w:t>
      </w:r>
    </w:p>
    <w:p w:rsidR="00B35235" w:rsidRPr="00B35235" w:rsidRDefault="00B35235" w:rsidP="00B35235">
      <w:pPr>
        <w:spacing w:after="0"/>
        <w:contextualSpacing/>
        <w:jc w:val="center"/>
        <w:rPr>
          <w:sz w:val="10"/>
          <w:szCs w:val="10"/>
        </w:rPr>
      </w:pPr>
    </w:p>
    <w:p w:rsidR="00666D7C" w:rsidRDefault="00666D7C" w:rsidP="00B35235">
      <w:pPr>
        <w:spacing w:after="0" w:line="240" w:lineRule="auto"/>
        <w:contextualSpacing/>
        <w:jc w:val="center"/>
        <w:rPr>
          <w:i/>
          <w:sz w:val="20"/>
        </w:rPr>
      </w:pPr>
      <w:r w:rsidRPr="00666D7C">
        <w:rPr>
          <w:i/>
          <w:sz w:val="20"/>
        </w:rPr>
        <w:t>Tabella 10 - Costo influenza e giorni di assenza da ottobre 2014 a gennaio 20</w:t>
      </w:r>
      <w:r w:rsidR="00B35235">
        <w:rPr>
          <w:i/>
          <w:sz w:val="20"/>
        </w:rPr>
        <w:t xml:space="preserve">15 – alcune province italiane e </w:t>
      </w:r>
      <w:r w:rsidRPr="00666D7C">
        <w:rPr>
          <w:i/>
          <w:sz w:val="20"/>
        </w:rPr>
        <w:t>lombarde</w:t>
      </w:r>
      <w:r w:rsidR="00B35235">
        <w:rPr>
          <w:i/>
          <w:sz w:val="20"/>
        </w:rPr>
        <w:t xml:space="preserve">. </w:t>
      </w:r>
      <w:r w:rsidRPr="00666D7C">
        <w:rPr>
          <w:i/>
          <w:sz w:val="20"/>
        </w:rPr>
        <w:t>Stima della Camera di Commercio di Milano su dati Istat e Ministero della Salute</w:t>
      </w:r>
    </w:p>
    <w:p w:rsidR="00B35235" w:rsidRPr="00B35235" w:rsidRDefault="00B35235" w:rsidP="00B35235">
      <w:pPr>
        <w:spacing w:after="0" w:line="240" w:lineRule="auto"/>
        <w:contextualSpacing/>
        <w:jc w:val="center"/>
        <w:rPr>
          <w:i/>
          <w:sz w:val="10"/>
          <w:szCs w:val="10"/>
        </w:rPr>
      </w:pPr>
    </w:p>
    <w:p w:rsidR="009F3E47" w:rsidRDefault="00B35235" w:rsidP="00B35235">
      <w:pPr>
        <w:spacing w:after="0"/>
        <w:contextualSpacing/>
        <w:jc w:val="center"/>
        <w:rPr>
          <w:i/>
          <w:sz w:val="20"/>
        </w:rPr>
      </w:pPr>
      <w:r>
        <w:rPr>
          <w:noProof/>
          <w:lang w:eastAsia="it-IT"/>
        </w:rPr>
        <w:drawing>
          <wp:inline distT="0" distB="0" distL="0" distR="0" wp14:anchorId="145B5BB6" wp14:editId="0FDA1230">
            <wp:extent cx="3333750" cy="226266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4251" t="5850" r="7534" b="11764"/>
                    <a:stretch/>
                  </pic:blipFill>
                  <pic:spPr bwMode="auto">
                    <a:xfrm>
                      <a:off x="0" y="0"/>
                      <a:ext cx="3347487" cy="2271990"/>
                    </a:xfrm>
                    <a:prstGeom prst="rect">
                      <a:avLst/>
                    </a:prstGeom>
                    <a:noFill/>
                    <a:ln>
                      <a:noFill/>
                    </a:ln>
                    <a:extLst>
                      <a:ext uri="{53640926-AAD7-44D8-BBD7-CCE9431645EC}">
                        <a14:shadowObscured xmlns:a14="http://schemas.microsoft.com/office/drawing/2010/main"/>
                      </a:ext>
                    </a:extLst>
                  </pic:spPr>
                </pic:pic>
              </a:graphicData>
            </a:graphic>
          </wp:inline>
        </w:drawing>
      </w:r>
    </w:p>
    <w:p w:rsidR="00B35235" w:rsidRPr="00B35235" w:rsidRDefault="00B35235" w:rsidP="00B35235">
      <w:pPr>
        <w:spacing w:after="0"/>
        <w:contextualSpacing/>
        <w:jc w:val="center"/>
        <w:rPr>
          <w:i/>
          <w:sz w:val="20"/>
        </w:rPr>
      </w:pPr>
    </w:p>
    <w:p w:rsidR="009F3E47" w:rsidRPr="008F3AB9" w:rsidRDefault="009C5321" w:rsidP="009F3E47">
      <w:pPr>
        <w:spacing w:after="0" w:line="240" w:lineRule="auto"/>
        <w:jc w:val="both"/>
        <w:rPr>
          <w:b/>
          <w:sz w:val="18"/>
          <w:szCs w:val="18"/>
        </w:rPr>
      </w:pPr>
      <w:r w:rsidRPr="008F3AB9">
        <w:rPr>
          <w:b/>
          <w:sz w:val="18"/>
          <w:szCs w:val="18"/>
        </w:rPr>
        <w:t>Bibliografia:</w:t>
      </w:r>
    </w:p>
    <w:p w:rsidR="009F3E47" w:rsidRPr="008F3AB9" w:rsidRDefault="009F3E47" w:rsidP="009F3E47">
      <w:pPr>
        <w:spacing w:after="0" w:line="240" w:lineRule="auto"/>
        <w:jc w:val="both"/>
        <w:rPr>
          <w:sz w:val="18"/>
          <w:szCs w:val="18"/>
        </w:rPr>
      </w:pPr>
      <w:r w:rsidRPr="008F3AB9">
        <w:rPr>
          <w:sz w:val="18"/>
          <w:szCs w:val="18"/>
          <w:vertAlign w:val="superscript"/>
        </w:rPr>
        <w:t>1</w:t>
      </w:r>
      <w:r w:rsidRPr="008F3AB9">
        <w:rPr>
          <w:sz w:val="18"/>
          <w:szCs w:val="18"/>
        </w:rPr>
        <w:t xml:space="preserve"> </w:t>
      </w:r>
      <w:hyperlink r:id="rId12" w:history="1">
        <w:r w:rsidRPr="008F3AB9">
          <w:rPr>
            <w:color w:val="0000FF"/>
            <w:sz w:val="18"/>
            <w:szCs w:val="18"/>
            <w:u w:val="single"/>
          </w:rPr>
          <w:t>http://www.epicentro.iss.it/problemi/influenza/influenza.asp</w:t>
        </w:r>
      </w:hyperlink>
      <w:r w:rsidRPr="008F3AB9">
        <w:rPr>
          <w:sz w:val="18"/>
          <w:szCs w:val="18"/>
        </w:rPr>
        <w:t xml:space="preserve"> </w:t>
      </w:r>
    </w:p>
    <w:p w:rsidR="009F3E47" w:rsidRPr="008F3AB9" w:rsidRDefault="009F3E47" w:rsidP="009F3E47">
      <w:pPr>
        <w:spacing w:after="0" w:line="240" w:lineRule="auto"/>
        <w:jc w:val="both"/>
        <w:rPr>
          <w:sz w:val="18"/>
          <w:szCs w:val="18"/>
          <w:vertAlign w:val="superscript"/>
        </w:rPr>
      </w:pPr>
      <w:r w:rsidRPr="008F3AB9">
        <w:rPr>
          <w:sz w:val="18"/>
          <w:szCs w:val="18"/>
          <w:vertAlign w:val="superscript"/>
        </w:rPr>
        <w:t xml:space="preserve">2 </w:t>
      </w:r>
      <w:hyperlink r:id="rId13" w:history="1">
        <w:r w:rsidRPr="008F3AB9">
          <w:rPr>
            <w:color w:val="0000FF"/>
            <w:sz w:val="18"/>
            <w:szCs w:val="18"/>
            <w:u w:val="single"/>
          </w:rPr>
          <w:t>http://www.who.int/mediacentre/factsheets/fs211/en/</w:t>
        </w:r>
      </w:hyperlink>
      <w:r w:rsidRPr="008F3AB9">
        <w:rPr>
          <w:color w:val="0000FF"/>
          <w:sz w:val="18"/>
          <w:szCs w:val="18"/>
          <w:u w:val="single"/>
        </w:rPr>
        <w:t xml:space="preserve">  </w:t>
      </w:r>
      <w:r w:rsidRPr="008F3AB9">
        <w:rPr>
          <w:sz w:val="18"/>
          <w:szCs w:val="18"/>
          <w:vertAlign w:val="superscript"/>
        </w:rPr>
        <w:t xml:space="preserve"> </w:t>
      </w:r>
    </w:p>
    <w:p w:rsidR="009F3E47" w:rsidRPr="008F3AB9" w:rsidRDefault="009F3E47" w:rsidP="009F3E47">
      <w:pPr>
        <w:spacing w:after="0" w:line="240" w:lineRule="auto"/>
        <w:jc w:val="both"/>
        <w:rPr>
          <w:sz w:val="18"/>
          <w:szCs w:val="18"/>
        </w:rPr>
      </w:pPr>
      <w:r w:rsidRPr="008F3AB9">
        <w:rPr>
          <w:sz w:val="18"/>
          <w:szCs w:val="18"/>
          <w:vertAlign w:val="superscript"/>
        </w:rPr>
        <w:t>3</w:t>
      </w:r>
      <w:hyperlink r:id="rId14" w:history="1">
        <w:r w:rsidRPr="008F3AB9">
          <w:rPr>
            <w:color w:val="0000FF"/>
            <w:sz w:val="18"/>
            <w:szCs w:val="18"/>
            <w:u w:val="single"/>
          </w:rPr>
          <w:t>http://www.ecdc.europa.eu/en/activities/sciadvice/_layouts/forms/Review_DispForm.aspx?List=a3216f4c-f040-4f51-9f77-a96046dbfd72&amp;ID=394</w:t>
        </w:r>
      </w:hyperlink>
      <w:r w:rsidRPr="008F3AB9">
        <w:rPr>
          <w:sz w:val="18"/>
          <w:szCs w:val="18"/>
        </w:rPr>
        <w:t xml:space="preserve"> </w:t>
      </w:r>
      <w:r w:rsidRPr="008F3AB9">
        <w:rPr>
          <w:color w:val="0000FF"/>
          <w:sz w:val="18"/>
          <w:szCs w:val="18"/>
          <w:u w:val="single"/>
        </w:rPr>
        <w:t xml:space="preserve"> </w:t>
      </w:r>
    </w:p>
    <w:p w:rsidR="009F3E47" w:rsidRPr="008F3AB9" w:rsidRDefault="009F3E47" w:rsidP="009F3E47">
      <w:pPr>
        <w:spacing w:after="0" w:line="240" w:lineRule="auto"/>
        <w:jc w:val="both"/>
        <w:rPr>
          <w:sz w:val="18"/>
          <w:szCs w:val="18"/>
        </w:rPr>
      </w:pPr>
      <w:r w:rsidRPr="008F3AB9">
        <w:rPr>
          <w:sz w:val="18"/>
          <w:szCs w:val="18"/>
          <w:vertAlign w:val="superscript"/>
        </w:rPr>
        <w:t>4</w:t>
      </w:r>
      <w:r w:rsidR="00DD54F5" w:rsidRPr="008F3AB9">
        <w:rPr>
          <w:sz w:val="18"/>
          <w:szCs w:val="18"/>
        </w:rPr>
        <w:t>InfluNet</w:t>
      </w:r>
      <w:r w:rsidRPr="008F3AB9">
        <w:rPr>
          <w:sz w:val="18"/>
          <w:szCs w:val="18"/>
        </w:rPr>
        <w:t xml:space="preserve"> è la sorveglianza </w:t>
      </w:r>
      <w:r w:rsidR="00B631DC" w:rsidRPr="008F3AB9">
        <w:rPr>
          <w:sz w:val="18"/>
          <w:szCs w:val="18"/>
        </w:rPr>
        <w:t xml:space="preserve">sentinella </w:t>
      </w:r>
      <w:r w:rsidRPr="008F3AB9">
        <w:rPr>
          <w:sz w:val="18"/>
          <w:szCs w:val="18"/>
        </w:rPr>
        <w:t>della sindrome influenzale, coordinata dall’Istituto Superiore di Sanità (ISS), in collaborazione con il Centro Interuniversitario per la Ricerca sull’Influenza (CIRI) di Genova e il sostegno del Ministero della Salute. La rete si avvale del contributo dei medici di medicina genera</w:t>
      </w:r>
      <w:r w:rsidR="00B631DC" w:rsidRPr="008F3AB9">
        <w:rPr>
          <w:sz w:val="18"/>
          <w:szCs w:val="18"/>
        </w:rPr>
        <w:t>le e pediatri di libera scelta rappresentativi di tutte le Regioni italiane</w:t>
      </w:r>
      <w:r w:rsidRPr="008F3AB9">
        <w:rPr>
          <w:sz w:val="18"/>
          <w:szCs w:val="18"/>
        </w:rPr>
        <w:t xml:space="preserve">. </w:t>
      </w:r>
      <w:r w:rsidR="00B631DC" w:rsidRPr="008F3AB9">
        <w:rPr>
          <w:sz w:val="18"/>
          <w:szCs w:val="18"/>
        </w:rPr>
        <w:t xml:space="preserve">Ogni anno partecipano circa 1.000 medici e pediatri, per una copertura di almeno il 2% della popolazione. </w:t>
      </w:r>
      <w:r w:rsidRPr="008F3AB9">
        <w:rPr>
          <w:sz w:val="18"/>
          <w:szCs w:val="18"/>
        </w:rPr>
        <w:t>L’obiettivo è descrivere i casi di sindrome influenzale, stimarne l’incidenza settimanale durante la stagione invernale, in modo da determinare durata e intensità dell'epidemia.</w:t>
      </w:r>
    </w:p>
    <w:p w:rsidR="004F2429" w:rsidRPr="008F3AB9" w:rsidRDefault="004F2429" w:rsidP="009F3E47">
      <w:pPr>
        <w:spacing w:after="0" w:line="240" w:lineRule="auto"/>
        <w:jc w:val="both"/>
        <w:rPr>
          <w:sz w:val="18"/>
          <w:szCs w:val="18"/>
        </w:rPr>
      </w:pPr>
      <w:r w:rsidRPr="008F3AB9">
        <w:rPr>
          <w:sz w:val="18"/>
          <w:szCs w:val="18"/>
          <w:vertAlign w:val="superscript"/>
          <w:lang w:val="en-US"/>
        </w:rPr>
        <w:t>5</w:t>
      </w:r>
      <w:r w:rsidR="00045FB2" w:rsidRPr="008F3AB9">
        <w:rPr>
          <w:sz w:val="18"/>
          <w:szCs w:val="18"/>
          <w:lang w:val="en-US"/>
        </w:rPr>
        <w:t xml:space="preserve">FluNews: </w:t>
      </w:r>
      <w:hyperlink r:id="rId15" w:history="1">
        <w:r w:rsidR="00045FB2" w:rsidRPr="008F3AB9">
          <w:rPr>
            <w:rStyle w:val="Collegamentoipertestuale"/>
            <w:rFonts w:asciiTheme="minorHAnsi" w:hAnsiTheme="minorHAnsi" w:cstheme="minorBidi"/>
            <w:sz w:val="18"/>
            <w:szCs w:val="18"/>
            <w:lang w:val="en-US"/>
          </w:rPr>
          <w:t>http://www.epicentro.iss.it/problemi/influenza/FluNews.asp</w:t>
        </w:r>
      </w:hyperlink>
      <w:r w:rsidRPr="008F3AB9">
        <w:rPr>
          <w:sz w:val="18"/>
          <w:szCs w:val="18"/>
          <w:lang w:val="en-US"/>
        </w:rPr>
        <w:t xml:space="preserve">. </w:t>
      </w:r>
      <w:r w:rsidR="00B631DC" w:rsidRPr="008F3AB9">
        <w:rPr>
          <w:sz w:val="18"/>
          <w:szCs w:val="18"/>
        </w:rPr>
        <w:t>Aggiornamento alla 13</w:t>
      </w:r>
      <w:r w:rsidR="00B631DC" w:rsidRPr="008F3AB9">
        <w:rPr>
          <w:sz w:val="18"/>
          <w:szCs w:val="18"/>
          <w:vertAlign w:val="superscript"/>
        </w:rPr>
        <w:t>a</w:t>
      </w:r>
      <w:r w:rsidRPr="008F3AB9">
        <w:rPr>
          <w:sz w:val="18"/>
          <w:szCs w:val="18"/>
        </w:rPr>
        <w:t xml:space="preserve"> settimana del 2015 (</w:t>
      </w:r>
      <w:r w:rsidR="00B631DC" w:rsidRPr="008F3AB9">
        <w:rPr>
          <w:sz w:val="18"/>
          <w:szCs w:val="18"/>
        </w:rPr>
        <w:t>23-29</w:t>
      </w:r>
      <w:r w:rsidRPr="008F3AB9">
        <w:rPr>
          <w:sz w:val="18"/>
          <w:szCs w:val="18"/>
        </w:rPr>
        <w:t xml:space="preserve"> marzo). I dati presentati sono preliminari. L</w:t>
      </w:r>
      <w:r w:rsidR="00B631DC" w:rsidRPr="008F3AB9">
        <w:rPr>
          <w:sz w:val="18"/>
          <w:szCs w:val="18"/>
        </w:rPr>
        <w:t>e Regioni che inviano i dati (17</w:t>
      </w:r>
      <w:r w:rsidRPr="008F3AB9">
        <w:rPr>
          <w:sz w:val="18"/>
          <w:szCs w:val="18"/>
        </w:rPr>
        <w:t>/21) aggiornano continuamente le informazioni clinico-epidemiologiche sui casi gravi e i decessi; pertanto i dati possono subire variazioni da una settimana all’</w:t>
      </w:r>
      <w:r w:rsidR="00045FB2" w:rsidRPr="008F3AB9">
        <w:rPr>
          <w:sz w:val="18"/>
          <w:szCs w:val="18"/>
        </w:rPr>
        <w:t>altra.</w:t>
      </w:r>
    </w:p>
    <w:p w:rsidR="00045FB2" w:rsidRPr="008F3AB9" w:rsidRDefault="0091250B" w:rsidP="009F3E47">
      <w:pPr>
        <w:spacing w:after="0" w:line="240" w:lineRule="auto"/>
        <w:jc w:val="both"/>
        <w:rPr>
          <w:sz w:val="18"/>
          <w:szCs w:val="18"/>
        </w:rPr>
      </w:pPr>
      <w:r w:rsidRPr="008F3AB9">
        <w:rPr>
          <w:sz w:val="18"/>
          <w:szCs w:val="18"/>
          <w:vertAlign w:val="superscript"/>
        </w:rPr>
        <w:t>6</w:t>
      </w:r>
      <w:r w:rsidR="00045FB2" w:rsidRPr="008F3AB9">
        <w:rPr>
          <w:sz w:val="18"/>
          <w:szCs w:val="18"/>
        </w:rPr>
        <w:t>Ministero della Salute, monitoraggio dell’andamento delle forme gravi e complicanze di influenza confermata, stagione 2014-2015, 0000870-12/01/2015-DGPRE-COD_UO-P.</w:t>
      </w:r>
      <w:r w:rsidRPr="008F3AB9">
        <w:rPr>
          <w:sz w:val="18"/>
          <w:szCs w:val="18"/>
        </w:rPr>
        <w:t xml:space="preserve"> </w:t>
      </w:r>
      <w:hyperlink r:id="rId16" w:history="1">
        <w:r w:rsidRPr="008F3AB9">
          <w:rPr>
            <w:rStyle w:val="Collegamentoipertestuale"/>
            <w:rFonts w:asciiTheme="minorHAnsi" w:hAnsiTheme="minorHAnsi" w:cstheme="minorBidi"/>
            <w:sz w:val="18"/>
            <w:szCs w:val="18"/>
          </w:rPr>
          <w:t>http://www.salute.gov.it/portale/temi/p2_4.jsp?area=influenza</w:t>
        </w:r>
      </w:hyperlink>
      <w:r w:rsidRPr="008F3AB9">
        <w:rPr>
          <w:sz w:val="18"/>
          <w:szCs w:val="18"/>
        </w:rPr>
        <w:t xml:space="preserve"> </w:t>
      </w:r>
    </w:p>
    <w:p w:rsidR="0091250B" w:rsidRPr="008F3AB9" w:rsidRDefault="0091250B" w:rsidP="009F3E47">
      <w:pPr>
        <w:spacing w:after="0" w:line="240" w:lineRule="auto"/>
        <w:jc w:val="both"/>
        <w:rPr>
          <w:sz w:val="18"/>
          <w:szCs w:val="18"/>
        </w:rPr>
      </w:pPr>
      <w:r w:rsidRPr="008F3AB9">
        <w:rPr>
          <w:sz w:val="18"/>
          <w:szCs w:val="18"/>
          <w:vertAlign w:val="superscript"/>
        </w:rPr>
        <w:t xml:space="preserve">7 </w:t>
      </w:r>
      <w:hyperlink r:id="rId17" w:history="1">
        <w:r w:rsidRPr="008F3AB9">
          <w:rPr>
            <w:rStyle w:val="Collegamentoipertestuale"/>
            <w:rFonts w:asciiTheme="minorHAnsi" w:hAnsiTheme="minorHAnsi" w:cstheme="minorBidi"/>
            <w:sz w:val="18"/>
            <w:szCs w:val="18"/>
          </w:rPr>
          <w:t>http://www.euromomo.eu</w:t>
        </w:r>
      </w:hyperlink>
      <w:r w:rsidRPr="008F3AB9">
        <w:rPr>
          <w:sz w:val="18"/>
          <w:szCs w:val="18"/>
        </w:rPr>
        <w:t xml:space="preserve"> – Dati inviati da Belgio, Danimarca, Estonia, Finlandia, Francia, Galles, Inghilterra, Irlanda, Irlanda del Nord, Paesi Bassi, Portogallo, Scozia, Spagna, Svezia, Svizzera, Ungheria.</w:t>
      </w:r>
    </w:p>
    <w:p w:rsidR="009F3E47" w:rsidRPr="008F3AB9" w:rsidRDefault="00FB172A" w:rsidP="009F3E47">
      <w:pPr>
        <w:spacing w:after="0" w:line="240" w:lineRule="auto"/>
        <w:jc w:val="both"/>
        <w:rPr>
          <w:sz w:val="18"/>
          <w:szCs w:val="18"/>
          <w:vertAlign w:val="superscript"/>
        </w:rPr>
      </w:pPr>
      <w:r w:rsidRPr="008F3AB9">
        <w:rPr>
          <w:sz w:val="18"/>
          <w:szCs w:val="18"/>
          <w:vertAlign w:val="superscript"/>
        </w:rPr>
        <w:t>8</w:t>
      </w:r>
      <w:r w:rsidR="009F3E47" w:rsidRPr="008F3AB9">
        <w:rPr>
          <w:color w:val="0000FF"/>
          <w:sz w:val="18"/>
          <w:szCs w:val="18"/>
          <w:u w:val="single"/>
        </w:rPr>
        <w:t>http://www.euro.who.int/en/health-topics/communicable-diseases/influenza/vaccination/seasonal-vaccination-policies-and-coverage-in-the-european-region</w:t>
      </w:r>
    </w:p>
    <w:p w:rsidR="009F3E47" w:rsidRPr="008F3AB9" w:rsidRDefault="00FB172A" w:rsidP="009F3E47">
      <w:pPr>
        <w:spacing w:after="0" w:line="240" w:lineRule="auto"/>
        <w:jc w:val="both"/>
        <w:rPr>
          <w:sz w:val="18"/>
          <w:szCs w:val="18"/>
          <w:vertAlign w:val="superscript"/>
        </w:rPr>
      </w:pPr>
      <w:r w:rsidRPr="008F3AB9">
        <w:rPr>
          <w:sz w:val="18"/>
          <w:szCs w:val="18"/>
          <w:vertAlign w:val="superscript"/>
        </w:rPr>
        <w:t>9</w:t>
      </w:r>
      <w:r w:rsidR="009F3E47" w:rsidRPr="008F3AB9">
        <w:rPr>
          <w:color w:val="0000FF"/>
          <w:sz w:val="18"/>
          <w:szCs w:val="18"/>
          <w:u w:val="single"/>
        </w:rPr>
        <w:t>http://ecdc.europa.eu/en/press/news/_layouts/forms/News_DispForm.aspx?List=8db7286c-fe2d-476c-9133-18ff4cb1b568&amp;ID=1154</w:t>
      </w:r>
    </w:p>
    <w:p w:rsidR="009F3E47" w:rsidRPr="008F3AB9" w:rsidRDefault="00FB172A" w:rsidP="009F3E47">
      <w:pPr>
        <w:spacing w:after="0" w:line="240" w:lineRule="auto"/>
        <w:jc w:val="both"/>
        <w:rPr>
          <w:sz w:val="18"/>
          <w:szCs w:val="18"/>
          <w:vertAlign w:val="superscript"/>
        </w:rPr>
      </w:pPr>
      <w:r w:rsidRPr="008F3AB9">
        <w:rPr>
          <w:sz w:val="18"/>
          <w:szCs w:val="18"/>
          <w:vertAlign w:val="superscript"/>
        </w:rPr>
        <w:t>10</w:t>
      </w:r>
      <w:r w:rsidR="009F3E47" w:rsidRPr="008F3AB9">
        <w:rPr>
          <w:sz w:val="18"/>
          <w:szCs w:val="18"/>
          <w:vertAlign w:val="superscript"/>
        </w:rPr>
        <w:t xml:space="preserve"> </w:t>
      </w:r>
      <w:r w:rsidR="009F3E47" w:rsidRPr="008F3AB9">
        <w:rPr>
          <w:color w:val="0000FF"/>
          <w:sz w:val="18"/>
          <w:szCs w:val="18"/>
          <w:u w:val="single"/>
        </w:rPr>
        <w:t>http://www.salute.gov.it/imgs/C_17_pubblicazioni_1721_allegato.pdf</w:t>
      </w:r>
    </w:p>
    <w:p w:rsidR="009F3E47" w:rsidRPr="008F3AB9" w:rsidRDefault="00CF276D" w:rsidP="009F3E47">
      <w:pPr>
        <w:spacing w:after="0" w:line="240" w:lineRule="auto"/>
        <w:jc w:val="both"/>
        <w:rPr>
          <w:sz w:val="18"/>
          <w:szCs w:val="18"/>
        </w:rPr>
      </w:pPr>
      <w:r w:rsidRPr="008F3AB9">
        <w:rPr>
          <w:sz w:val="18"/>
          <w:szCs w:val="18"/>
          <w:vertAlign w:val="superscript"/>
        </w:rPr>
        <w:t>11</w:t>
      </w:r>
      <w:r w:rsidRPr="008F3AB9">
        <w:rPr>
          <w:sz w:val="18"/>
          <w:szCs w:val="18"/>
        </w:rPr>
        <w:t xml:space="preserve">Bonanni P., Ruggeri M., Santini M.G., </w:t>
      </w:r>
      <w:r w:rsidR="00943E95" w:rsidRPr="008F3AB9">
        <w:rPr>
          <w:sz w:val="18"/>
          <w:szCs w:val="18"/>
        </w:rPr>
        <w:t>Toscana Medica, novembre-</w:t>
      </w:r>
      <w:r w:rsidRPr="008F3AB9">
        <w:rPr>
          <w:sz w:val="18"/>
          <w:szCs w:val="18"/>
        </w:rPr>
        <w:t>dic</w:t>
      </w:r>
      <w:r w:rsidR="00943E95" w:rsidRPr="008F3AB9">
        <w:rPr>
          <w:sz w:val="18"/>
          <w:szCs w:val="18"/>
        </w:rPr>
        <w:t>embre</w:t>
      </w:r>
      <w:r w:rsidRPr="008F3AB9">
        <w:rPr>
          <w:sz w:val="18"/>
          <w:szCs w:val="18"/>
        </w:rPr>
        <w:t xml:space="preserve"> 2013. Consultabile online: </w:t>
      </w:r>
      <w:hyperlink r:id="rId18" w:history="1">
        <w:r w:rsidRPr="008F3AB9">
          <w:rPr>
            <w:rStyle w:val="Collegamentoipertestuale"/>
            <w:rFonts w:asciiTheme="minorHAnsi" w:hAnsiTheme="minorHAnsi" w:cstheme="minorBidi"/>
            <w:sz w:val="18"/>
            <w:szCs w:val="18"/>
          </w:rPr>
          <w:t>http://www.ordine-medici-firenze.it/index.php/toscanamedica/category/36-tm2013</w:t>
        </w:r>
      </w:hyperlink>
      <w:r w:rsidRPr="008F3AB9">
        <w:rPr>
          <w:sz w:val="18"/>
          <w:szCs w:val="18"/>
        </w:rPr>
        <w:t xml:space="preserve"> </w:t>
      </w:r>
    </w:p>
    <w:p w:rsidR="009F3E47" w:rsidRPr="008F3AB9" w:rsidRDefault="00CF276D" w:rsidP="009F3E47">
      <w:pPr>
        <w:spacing w:after="0" w:line="240" w:lineRule="auto"/>
        <w:jc w:val="both"/>
        <w:rPr>
          <w:sz w:val="18"/>
          <w:szCs w:val="18"/>
        </w:rPr>
      </w:pPr>
      <w:r w:rsidRPr="008F3AB9">
        <w:rPr>
          <w:sz w:val="18"/>
          <w:szCs w:val="18"/>
          <w:vertAlign w:val="superscript"/>
        </w:rPr>
        <w:t>12</w:t>
      </w:r>
      <w:r w:rsidRPr="008F3AB9">
        <w:rPr>
          <w:sz w:val="18"/>
          <w:szCs w:val="18"/>
        </w:rPr>
        <w:t xml:space="preserve">Sessa A., Lucioni C., D’Ambrosio G., </w:t>
      </w:r>
      <w:proofErr w:type="spellStart"/>
      <w:r w:rsidRPr="008F3AB9">
        <w:rPr>
          <w:sz w:val="18"/>
          <w:szCs w:val="18"/>
        </w:rPr>
        <w:t>Bettoncelli</w:t>
      </w:r>
      <w:proofErr w:type="spellEnd"/>
      <w:r w:rsidRPr="008F3AB9">
        <w:rPr>
          <w:sz w:val="18"/>
          <w:szCs w:val="18"/>
        </w:rPr>
        <w:t xml:space="preserve"> G, </w:t>
      </w:r>
      <w:proofErr w:type="spellStart"/>
      <w:r w:rsidRPr="008F3AB9">
        <w:rPr>
          <w:i/>
          <w:sz w:val="18"/>
          <w:szCs w:val="18"/>
        </w:rPr>
        <w:t>Economic</w:t>
      </w:r>
      <w:proofErr w:type="spellEnd"/>
      <w:r w:rsidRPr="008F3AB9">
        <w:rPr>
          <w:i/>
          <w:sz w:val="18"/>
          <w:szCs w:val="18"/>
        </w:rPr>
        <w:t xml:space="preserve"> </w:t>
      </w:r>
      <w:proofErr w:type="spellStart"/>
      <w:r w:rsidRPr="008F3AB9">
        <w:rPr>
          <w:i/>
          <w:sz w:val="18"/>
          <w:szCs w:val="18"/>
        </w:rPr>
        <w:t>evaluation</w:t>
      </w:r>
      <w:proofErr w:type="spellEnd"/>
      <w:r w:rsidRPr="008F3AB9">
        <w:rPr>
          <w:i/>
          <w:sz w:val="18"/>
          <w:szCs w:val="18"/>
        </w:rPr>
        <w:t xml:space="preserve"> of </w:t>
      </w:r>
      <w:proofErr w:type="spellStart"/>
      <w:r w:rsidRPr="008F3AB9">
        <w:rPr>
          <w:i/>
          <w:sz w:val="18"/>
          <w:szCs w:val="18"/>
        </w:rPr>
        <w:t>clinical</w:t>
      </w:r>
      <w:proofErr w:type="spellEnd"/>
      <w:r w:rsidRPr="008F3AB9">
        <w:rPr>
          <w:i/>
          <w:sz w:val="18"/>
          <w:szCs w:val="18"/>
        </w:rPr>
        <w:t xml:space="preserve"> influenza in </w:t>
      </w:r>
      <w:proofErr w:type="spellStart"/>
      <w:r w:rsidRPr="008F3AB9">
        <w:rPr>
          <w:i/>
          <w:sz w:val="18"/>
          <w:szCs w:val="18"/>
        </w:rPr>
        <w:t>Italy</w:t>
      </w:r>
      <w:proofErr w:type="spellEnd"/>
      <w:r w:rsidRPr="008F3AB9">
        <w:rPr>
          <w:sz w:val="18"/>
          <w:szCs w:val="18"/>
        </w:rPr>
        <w:t xml:space="preserve">, </w:t>
      </w:r>
      <w:proofErr w:type="spellStart"/>
      <w:r w:rsidRPr="008F3AB9">
        <w:rPr>
          <w:sz w:val="18"/>
          <w:szCs w:val="18"/>
        </w:rPr>
        <w:t>Int</w:t>
      </w:r>
      <w:proofErr w:type="spellEnd"/>
      <w:r w:rsidRPr="008F3AB9">
        <w:rPr>
          <w:sz w:val="18"/>
          <w:szCs w:val="18"/>
        </w:rPr>
        <w:t xml:space="preserve"> J </w:t>
      </w:r>
      <w:proofErr w:type="spellStart"/>
      <w:r w:rsidRPr="008F3AB9">
        <w:rPr>
          <w:sz w:val="18"/>
          <w:szCs w:val="18"/>
        </w:rPr>
        <w:t>Med</w:t>
      </w:r>
      <w:proofErr w:type="spellEnd"/>
      <w:r w:rsidRPr="008F3AB9">
        <w:rPr>
          <w:sz w:val="18"/>
          <w:szCs w:val="18"/>
        </w:rPr>
        <w:t xml:space="preserve"> (</w:t>
      </w:r>
      <w:proofErr w:type="spellStart"/>
      <w:r w:rsidRPr="008F3AB9">
        <w:rPr>
          <w:sz w:val="18"/>
          <w:szCs w:val="18"/>
        </w:rPr>
        <w:t>London</w:t>
      </w:r>
      <w:proofErr w:type="spellEnd"/>
      <w:r w:rsidRPr="008F3AB9">
        <w:rPr>
          <w:sz w:val="18"/>
          <w:szCs w:val="18"/>
        </w:rPr>
        <w:t xml:space="preserve">) </w:t>
      </w:r>
      <w:proofErr w:type="gramStart"/>
      <w:r w:rsidRPr="008F3AB9">
        <w:rPr>
          <w:sz w:val="18"/>
          <w:szCs w:val="18"/>
        </w:rPr>
        <w:t>2005;7:14</w:t>
      </w:r>
      <w:proofErr w:type="gramEnd"/>
      <w:r w:rsidRPr="008F3AB9">
        <w:rPr>
          <w:sz w:val="18"/>
          <w:szCs w:val="18"/>
        </w:rPr>
        <w:t>-20.</w:t>
      </w:r>
    </w:p>
    <w:p w:rsidR="009F3E47" w:rsidRPr="008F3AB9" w:rsidRDefault="009F3E47" w:rsidP="009F3E47">
      <w:pPr>
        <w:spacing w:after="0" w:line="240" w:lineRule="auto"/>
        <w:jc w:val="both"/>
        <w:rPr>
          <w:sz w:val="18"/>
          <w:szCs w:val="18"/>
        </w:rPr>
      </w:pPr>
      <w:r w:rsidRPr="008F3AB9">
        <w:rPr>
          <w:sz w:val="18"/>
          <w:szCs w:val="18"/>
          <w:vertAlign w:val="superscript"/>
        </w:rPr>
        <w:t>1</w:t>
      </w:r>
      <w:r w:rsidR="00943E95" w:rsidRPr="008F3AB9">
        <w:rPr>
          <w:sz w:val="18"/>
          <w:szCs w:val="18"/>
          <w:vertAlign w:val="superscript"/>
        </w:rPr>
        <w:t>3</w:t>
      </w:r>
      <w:r w:rsidRPr="008F3AB9">
        <w:rPr>
          <w:sz w:val="18"/>
          <w:szCs w:val="18"/>
          <w:vertAlign w:val="superscript"/>
        </w:rPr>
        <w:t xml:space="preserve"> </w:t>
      </w:r>
      <w:r w:rsidRPr="008F3AB9">
        <w:rPr>
          <w:sz w:val="18"/>
          <w:szCs w:val="18"/>
        </w:rPr>
        <w:t xml:space="preserve">La promozione della vaccinazione negli operatori sanitari: </w:t>
      </w:r>
      <w:hyperlink r:id="rId19" w:history="1">
        <w:r w:rsidRPr="008F3AB9">
          <w:rPr>
            <w:color w:val="0000FF"/>
            <w:sz w:val="18"/>
            <w:szCs w:val="18"/>
            <w:u w:val="single"/>
          </w:rPr>
          <w:t>www.hproimmune.eu</w:t>
        </w:r>
      </w:hyperlink>
      <w:r w:rsidRPr="008F3AB9">
        <w:rPr>
          <w:sz w:val="18"/>
          <w:szCs w:val="18"/>
        </w:rPr>
        <w:t xml:space="preserve">;   </w:t>
      </w:r>
    </w:p>
    <w:p w:rsidR="009F3E47" w:rsidRPr="008F3AB9" w:rsidRDefault="009F3E47" w:rsidP="009F3E47">
      <w:pPr>
        <w:spacing w:after="0" w:line="240" w:lineRule="auto"/>
        <w:jc w:val="both"/>
        <w:rPr>
          <w:sz w:val="18"/>
          <w:szCs w:val="18"/>
        </w:rPr>
      </w:pPr>
      <w:r w:rsidRPr="008F3AB9">
        <w:rPr>
          <w:sz w:val="18"/>
          <w:szCs w:val="18"/>
        </w:rPr>
        <w:t xml:space="preserve">   </w:t>
      </w:r>
      <w:hyperlink r:id="rId20" w:history="1">
        <w:r w:rsidRPr="008F3AB9">
          <w:rPr>
            <w:color w:val="0000FF"/>
            <w:sz w:val="18"/>
            <w:szCs w:val="18"/>
            <w:u w:val="single"/>
          </w:rPr>
          <w:t>http://www.epicentro.iss.it/temi/vaccinazioni/HProimmune2014.asp</w:t>
        </w:r>
      </w:hyperlink>
      <w:r w:rsidRPr="008F3AB9">
        <w:rPr>
          <w:sz w:val="18"/>
          <w:szCs w:val="18"/>
        </w:rPr>
        <w:t xml:space="preserve"> </w:t>
      </w:r>
    </w:p>
    <w:p w:rsidR="009F3E47" w:rsidRPr="008F3AB9" w:rsidRDefault="00707394" w:rsidP="009F3E47">
      <w:pPr>
        <w:spacing w:after="0" w:line="240" w:lineRule="auto"/>
        <w:jc w:val="both"/>
        <w:rPr>
          <w:sz w:val="18"/>
          <w:szCs w:val="18"/>
          <w:lang w:val="de-DE"/>
        </w:rPr>
      </w:pPr>
      <w:r w:rsidRPr="008F3AB9">
        <w:rPr>
          <w:sz w:val="18"/>
          <w:szCs w:val="18"/>
          <w:vertAlign w:val="superscript"/>
          <w:lang w:val="en-US"/>
        </w:rPr>
        <w:t>14</w:t>
      </w:r>
      <w:r w:rsidR="009F3E47" w:rsidRPr="008F3AB9">
        <w:rPr>
          <w:i/>
          <w:sz w:val="18"/>
          <w:szCs w:val="18"/>
          <w:lang w:val="en-US"/>
        </w:rPr>
        <w:t>Vaccines against influenza WHO position paper</w:t>
      </w:r>
      <w:r w:rsidR="009F3E47" w:rsidRPr="008F3AB9">
        <w:rPr>
          <w:sz w:val="18"/>
          <w:szCs w:val="18"/>
          <w:lang w:val="en-US"/>
        </w:rPr>
        <w:t xml:space="preserve">. </w:t>
      </w:r>
      <w:r w:rsidR="009F3E47" w:rsidRPr="008F3AB9">
        <w:rPr>
          <w:sz w:val="18"/>
          <w:szCs w:val="18"/>
          <w:lang w:val="de-DE"/>
        </w:rPr>
        <w:t>WER 2012, 87: 461-76</w:t>
      </w:r>
    </w:p>
    <w:p w:rsidR="009F3E47" w:rsidRPr="008F3AB9" w:rsidRDefault="00707394" w:rsidP="009F3E47">
      <w:pPr>
        <w:spacing w:after="0" w:line="240" w:lineRule="auto"/>
        <w:jc w:val="both"/>
        <w:rPr>
          <w:color w:val="0000FF"/>
          <w:sz w:val="18"/>
          <w:szCs w:val="18"/>
          <w:u w:val="single"/>
          <w:lang w:val="de-DE"/>
        </w:rPr>
      </w:pPr>
      <w:r w:rsidRPr="008F3AB9">
        <w:rPr>
          <w:sz w:val="18"/>
          <w:szCs w:val="18"/>
          <w:vertAlign w:val="superscript"/>
          <w:lang w:val="de-DE"/>
        </w:rPr>
        <w:t>15</w:t>
      </w:r>
      <w:r w:rsidR="009F3E47" w:rsidRPr="008F3AB9">
        <w:rPr>
          <w:sz w:val="18"/>
          <w:szCs w:val="18"/>
          <w:lang w:val="de-DE"/>
        </w:rPr>
        <w:t xml:space="preserve"> </w:t>
      </w:r>
      <w:hyperlink r:id="rId21" w:history="1">
        <w:r w:rsidR="009F3E47" w:rsidRPr="008F3AB9">
          <w:rPr>
            <w:rStyle w:val="Collegamentoipertestuale"/>
            <w:rFonts w:asciiTheme="minorHAnsi" w:hAnsiTheme="minorHAnsi"/>
            <w:sz w:val="18"/>
            <w:szCs w:val="18"/>
            <w:lang w:val="de-DE"/>
          </w:rPr>
          <w:t>http://www.salute.gov.it/portale/temi/p2_6.jsp?lingua=italiano&amp;id=670&amp;area=influenza&amp;menu=vaccinazione</w:t>
        </w:r>
      </w:hyperlink>
    </w:p>
    <w:p w:rsidR="00707394" w:rsidRPr="008F3AB9" w:rsidRDefault="00707394" w:rsidP="009F3E47">
      <w:pPr>
        <w:spacing w:after="0" w:line="240" w:lineRule="auto"/>
        <w:jc w:val="both"/>
        <w:rPr>
          <w:sz w:val="18"/>
          <w:szCs w:val="18"/>
          <w:lang w:val="en-US"/>
        </w:rPr>
      </w:pPr>
      <w:r w:rsidRPr="008F3AB9">
        <w:rPr>
          <w:sz w:val="18"/>
          <w:szCs w:val="18"/>
          <w:vertAlign w:val="superscript"/>
          <w:lang w:val="en-US"/>
        </w:rPr>
        <w:t>16</w:t>
      </w:r>
      <w:r w:rsidRPr="008F3AB9">
        <w:rPr>
          <w:sz w:val="18"/>
          <w:szCs w:val="18"/>
          <w:lang w:val="en-US"/>
        </w:rPr>
        <w:t xml:space="preserve">MMWR. December 13, 2013. Vol. 62, no.49. </w:t>
      </w:r>
    </w:p>
    <w:p w:rsidR="00E775F3" w:rsidRPr="008F3AB9" w:rsidRDefault="00E775F3" w:rsidP="009F3E47">
      <w:pPr>
        <w:spacing w:after="0" w:line="240" w:lineRule="auto"/>
        <w:jc w:val="both"/>
        <w:rPr>
          <w:sz w:val="18"/>
          <w:szCs w:val="18"/>
          <w:lang w:val="en-US"/>
        </w:rPr>
      </w:pPr>
      <w:r w:rsidRPr="008F3AB9">
        <w:rPr>
          <w:sz w:val="18"/>
          <w:szCs w:val="18"/>
          <w:vertAlign w:val="superscript"/>
          <w:lang w:val="en-US"/>
        </w:rPr>
        <w:t>17</w:t>
      </w:r>
      <w:r w:rsidR="009F3E47" w:rsidRPr="008F3AB9">
        <w:rPr>
          <w:sz w:val="18"/>
          <w:szCs w:val="18"/>
          <w:lang w:val="en-US"/>
        </w:rPr>
        <w:t xml:space="preserve">Preaud et al.: </w:t>
      </w:r>
      <w:r w:rsidR="009F3E47" w:rsidRPr="008F3AB9">
        <w:rPr>
          <w:i/>
          <w:sz w:val="18"/>
          <w:szCs w:val="18"/>
          <w:lang w:val="en-US"/>
        </w:rPr>
        <w:t>Annual public health and economic benefits of seasonal influenza vaccination: a European estimate</w:t>
      </w:r>
      <w:r w:rsidR="009F3E47" w:rsidRPr="008F3AB9">
        <w:rPr>
          <w:sz w:val="18"/>
          <w:szCs w:val="18"/>
          <w:lang w:val="en-US"/>
        </w:rPr>
        <w:t>. BMC Public Health 2014 14:813</w:t>
      </w:r>
      <w:r w:rsidRPr="008F3AB9">
        <w:rPr>
          <w:sz w:val="18"/>
          <w:szCs w:val="18"/>
          <w:lang w:val="en-US"/>
        </w:rPr>
        <w:t>.</w:t>
      </w:r>
    </w:p>
    <w:p w:rsidR="009F3E47" w:rsidRPr="008F3AB9" w:rsidRDefault="00974845" w:rsidP="009F3E47">
      <w:pPr>
        <w:spacing w:after="0" w:line="240" w:lineRule="auto"/>
        <w:jc w:val="both"/>
        <w:rPr>
          <w:sz w:val="18"/>
          <w:szCs w:val="18"/>
          <w:lang w:val="en-US"/>
        </w:rPr>
      </w:pPr>
      <w:r w:rsidRPr="008F3AB9">
        <w:rPr>
          <w:bCs/>
          <w:sz w:val="18"/>
          <w:szCs w:val="18"/>
          <w:vertAlign w:val="superscript"/>
          <w:lang w:val="en-US"/>
        </w:rPr>
        <w:t>18</w:t>
      </w:r>
      <w:r w:rsidR="009F3E47" w:rsidRPr="008F3AB9">
        <w:rPr>
          <w:sz w:val="18"/>
          <w:szCs w:val="18"/>
          <w:lang w:val="en-US"/>
        </w:rPr>
        <w:t xml:space="preserve">Raina MC, Heywood AE, </w:t>
      </w:r>
      <w:proofErr w:type="spellStart"/>
      <w:r w:rsidR="009F3E47" w:rsidRPr="008F3AB9">
        <w:rPr>
          <w:sz w:val="18"/>
          <w:szCs w:val="18"/>
          <w:lang w:val="en-US"/>
        </w:rPr>
        <w:t>Kovoor</w:t>
      </w:r>
      <w:proofErr w:type="spellEnd"/>
      <w:r w:rsidR="009F3E47" w:rsidRPr="008F3AB9">
        <w:rPr>
          <w:sz w:val="18"/>
          <w:szCs w:val="18"/>
          <w:lang w:val="en-US"/>
        </w:rPr>
        <w:t xml:space="preserve"> P, </w:t>
      </w:r>
      <w:proofErr w:type="spellStart"/>
      <w:r w:rsidR="009F3E47" w:rsidRPr="008F3AB9">
        <w:rPr>
          <w:sz w:val="18"/>
          <w:szCs w:val="18"/>
          <w:lang w:val="en-US"/>
        </w:rPr>
        <w:t>Ridda</w:t>
      </w:r>
      <w:proofErr w:type="spellEnd"/>
      <w:r w:rsidR="009F3E47" w:rsidRPr="008F3AB9">
        <w:rPr>
          <w:sz w:val="18"/>
          <w:szCs w:val="18"/>
          <w:lang w:val="en-US"/>
        </w:rPr>
        <w:t xml:space="preserve"> I, Seale H, Tan T et al. </w:t>
      </w:r>
      <w:proofErr w:type="spellStart"/>
      <w:r w:rsidR="009F3E47" w:rsidRPr="008F3AB9">
        <w:rPr>
          <w:i/>
          <w:sz w:val="18"/>
          <w:szCs w:val="18"/>
          <w:lang w:val="en-US"/>
        </w:rPr>
        <w:t>Ischaemic</w:t>
      </w:r>
      <w:proofErr w:type="spellEnd"/>
      <w:r w:rsidR="009F3E47" w:rsidRPr="008F3AB9">
        <w:rPr>
          <w:i/>
          <w:sz w:val="18"/>
          <w:szCs w:val="18"/>
          <w:lang w:val="en-US"/>
        </w:rPr>
        <w:t xml:space="preserve"> heart disease, influenza and influenza vaccination: a prospective case control study.</w:t>
      </w:r>
      <w:r w:rsidR="009F3E47" w:rsidRPr="008F3AB9">
        <w:rPr>
          <w:sz w:val="18"/>
          <w:szCs w:val="18"/>
          <w:lang w:val="en-US"/>
        </w:rPr>
        <w:t xml:space="preserve"> Heart 2013.</w:t>
      </w:r>
    </w:p>
    <w:p w:rsidR="009F3E47" w:rsidRPr="008F3AB9" w:rsidRDefault="00974845" w:rsidP="009F3E47">
      <w:pPr>
        <w:spacing w:after="0" w:line="240" w:lineRule="auto"/>
        <w:jc w:val="both"/>
        <w:rPr>
          <w:sz w:val="18"/>
          <w:szCs w:val="18"/>
          <w:lang w:val="en-US"/>
        </w:rPr>
      </w:pPr>
      <w:r w:rsidRPr="008F3AB9">
        <w:rPr>
          <w:sz w:val="18"/>
          <w:szCs w:val="18"/>
          <w:vertAlign w:val="superscript"/>
          <w:lang w:val="en-US"/>
        </w:rPr>
        <w:t>19</w:t>
      </w:r>
      <w:r w:rsidR="009F3E47" w:rsidRPr="008F3AB9">
        <w:rPr>
          <w:sz w:val="18"/>
          <w:szCs w:val="18"/>
          <w:lang w:val="en-US"/>
        </w:rPr>
        <w:t xml:space="preserve">Warren-Gash C, </w:t>
      </w:r>
      <w:proofErr w:type="spellStart"/>
      <w:r w:rsidR="009F3E47" w:rsidRPr="008F3AB9">
        <w:rPr>
          <w:sz w:val="18"/>
          <w:szCs w:val="18"/>
          <w:lang w:val="en-US"/>
        </w:rPr>
        <w:t>Smeeth</w:t>
      </w:r>
      <w:proofErr w:type="spellEnd"/>
      <w:r w:rsidR="009F3E47" w:rsidRPr="008F3AB9">
        <w:rPr>
          <w:sz w:val="18"/>
          <w:szCs w:val="18"/>
          <w:lang w:val="en-US"/>
        </w:rPr>
        <w:t xml:space="preserve"> L, Hayward AC. I</w:t>
      </w:r>
      <w:r w:rsidR="009F3E47" w:rsidRPr="008F3AB9">
        <w:rPr>
          <w:i/>
          <w:sz w:val="18"/>
          <w:szCs w:val="18"/>
          <w:lang w:val="en-US"/>
        </w:rPr>
        <w:t>nfluenza as a trigger for acute myocardial infarction or death from cardiovascular disease: a systematic review</w:t>
      </w:r>
      <w:r w:rsidR="009F3E47" w:rsidRPr="008F3AB9">
        <w:rPr>
          <w:sz w:val="18"/>
          <w:szCs w:val="18"/>
          <w:lang w:val="en-US"/>
        </w:rPr>
        <w:t xml:space="preserve">. Lancet Infect Dis 2009; </w:t>
      </w:r>
      <w:proofErr w:type="gramStart"/>
      <w:r w:rsidR="009F3E47" w:rsidRPr="008F3AB9">
        <w:rPr>
          <w:sz w:val="18"/>
          <w:szCs w:val="18"/>
          <w:lang w:val="en-US"/>
        </w:rPr>
        <w:t>9(</w:t>
      </w:r>
      <w:proofErr w:type="gramEnd"/>
      <w:r w:rsidR="009F3E47" w:rsidRPr="008F3AB9">
        <w:rPr>
          <w:sz w:val="18"/>
          <w:szCs w:val="18"/>
          <w:lang w:val="en-US"/>
        </w:rPr>
        <w:t>10):601-610.</w:t>
      </w:r>
    </w:p>
    <w:p w:rsidR="009F3E47" w:rsidRPr="008F3AB9" w:rsidRDefault="00974845" w:rsidP="009F3E47">
      <w:pPr>
        <w:spacing w:after="0" w:line="240" w:lineRule="auto"/>
        <w:jc w:val="both"/>
        <w:rPr>
          <w:sz w:val="18"/>
          <w:szCs w:val="18"/>
          <w:lang w:val="en-US"/>
        </w:rPr>
      </w:pPr>
      <w:r w:rsidRPr="008F3AB9">
        <w:rPr>
          <w:sz w:val="18"/>
          <w:szCs w:val="18"/>
          <w:vertAlign w:val="superscript"/>
          <w:lang w:val="en-US"/>
        </w:rPr>
        <w:t>20</w:t>
      </w:r>
      <w:r w:rsidR="009F3E47" w:rsidRPr="008F3AB9">
        <w:rPr>
          <w:sz w:val="18"/>
          <w:szCs w:val="18"/>
          <w:lang w:val="en-US"/>
        </w:rPr>
        <w:t xml:space="preserve">Keller T, </w:t>
      </w:r>
      <w:proofErr w:type="spellStart"/>
      <w:r w:rsidR="009F3E47" w:rsidRPr="008F3AB9">
        <w:rPr>
          <w:sz w:val="18"/>
          <w:szCs w:val="18"/>
          <w:lang w:val="en-US"/>
        </w:rPr>
        <w:t>Weeda</w:t>
      </w:r>
      <w:proofErr w:type="spellEnd"/>
      <w:r w:rsidR="009F3E47" w:rsidRPr="008F3AB9">
        <w:rPr>
          <w:sz w:val="18"/>
          <w:szCs w:val="18"/>
          <w:lang w:val="en-US"/>
        </w:rPr>
        <w:t xml:space="preserve"> VB, van </w:t>
      </w:r>
      <w:proofErr w:type="spellStart"/>
      <w:r w:rsidR="009F3E47" w:rsidRPr="008F3AB9">
        <w:rPr>
          <w:sz w:val="18"/>
          <w:szCs w:val="18"/>
          <w:lang w:val="en-US"/>
        </w:rPr>
        <w:t>Dongen</w:t>
      </w:r>
      <w:proofErr w:type="spellEnd"/>
      <w:r w:rsidR="009F3E47" w:rsidRPr="008F3AB9">
        <w:rPr>
          <w:sz w:val="18"/>
          <w:szCs w:val="18"/>
          <w:lang w:val="en-US"/>
        </w:rPr>
        <w:t xml:space="preserve"> CJ, Levi M. </w:t>
      </w:r>
      <w:r w:rsidR="009F3E47" w:rsidRPr="008F3AB9">
        <w:rPr>
          <w:i/>
          <w:sz w:val="18"/>
          <w:szCs w:val="18"/>
          <w:lang w:val="en-US"/>
        </w:rPr>
        <w:t>Influenza vaccines for preventing coronary heart disease</w:t>
      </w:r>
      <w:r w:rsidR="009F3E47" w:rsidRPr="008F3AB9">
        <w:rPr>
          <w:sz w:val="18"/>
          <w:szCs w:val="18"/>
          <w:lang w:val="en-US"/>
        </w:rPr>
        <w:t xml:space="preserve">. Cochrane Database </w:t>
      </w:r>
      <w:proofErr w:type="spellStart"/>
      <w:r w:rsidR="009F3E47" w:rsidRPr="008F3AB9">
        <w:rPr>
          <w:sz w:val="18"/>
          <w:szCs w:val="18"/>
          <w:lang w:val="en-US"/>
        </w:rPr>
        <w:t>Syst</w:t>
      </w:r>
      <w:proofErr w:type="spellEnd"/>
      <w:r w:rsidR="009F3E47" w:rsidRPr="008F3AB9">
        <w:rPr>
          <w:sz w:val="18"/>
          <w:szCs w:val="18"/>
          <w:lang w:val="en-US"/>
        </w:rPr>
        <w:t xml:space="preserve"> Rev </w:t>
      </w:r>
      <w:proofErr w:type="gramStart"/>
      <w:r w:rsidR="009F3E47" w:rsidRPr="008F3AB9">
        <w:rPr>
          <w:sz w:val="18"/>
          <w:szCs w:val="18"/>
          <w:lang w:val="en-US"/>
        </w:rPr>
        <w:t>2008;</w:t>
      </w:r>
      <w:proofErr w:type="gramEnd"/>
      <w:r w:rsidR="009F3E47" w:rsidRPr="008F3AB9">
        <w:rPr>
          <w:sz w:val="18"/>
          <w:szCs w:val="18"/>
          <w:lang w:val="en-US"/>
        </w:rPr>
        <w:t>(3):CD005050.</w:t>
      </w:r>
    </w:p>
    <w:p w:rsidR="00974845" w:rsidRPr="008F3AB9" w:rsidRDefault="00974845" w:rsidP="009F3E47">
      <w:pPr>
        <w:spacing w:after="0" w:line="240" w:lineRule="auto"/>
        <w:jc w:val="both"/>
        <w:rPr>
          <w:sz w:val="18"/>
          <w:szCs w:val="18"/>
          <w:lang w:val="en-US"/>
        </w:rPr>
      </w:pPr>
      <w:r w:rsidRPr="008F3AB9">
        <w:rPr>
          <w:sz w:val="18"/>
          <w:szCs w:val="18"/>
          <w:vertAlign w:val="superscript"/>
          <w:lang w:val="en-US"/>
        </w:rPr>
        <w:t>21</w:t>
      </w:r>
      <w:r w:rsidR="009F3E47" w:rsidRPr="008F3AB9">
        <w:rPr>
          <w:sz w:val="18"/>
          <w:szCs w:val="18"/>
          <w:lang w:val="en-US"/>
        </w:rPr>
        <w:t xml:space="preserve">Udell J, </w:t>
      </w:r>
      <w:proofErr w:type="spellStart"/>
      <w:r w:rsidR="009F3E47" w:rsidRPr="008F3AB9">
        <w:rPr>
          <w:sz w:val="18"/>
          <w:szCs w:val="18"/>
          <w:lang w:val="en-US"/>
        </w:rPr>
        <w:t>Zawi</w:t>
      </w:r>
      <w:proofErr w:type="spellEnd"/>
      <w:r w:rsidR="009F3E47" w:rsidRPr="008F3AB9">
        <w:rPr>
          <w:sz w:val="18"/>
          <w:szCs w:val="18"/>
          <w:lang w:val="en-US"/>
        </w:rPr>
        <w:t xml:space="preserve"> R, Bhatt D. </w:t>
      </w:r>
      <w:r w:rsidR="009F3E47" w:rsidRPr="008F3AB9">
        <w:rPr>
          <w:i/>
          <w:sz w:val="18"/>
          <w:szCs w:val="18"/>
          <w:lang w:val="en-US"/>
        </w:rPr>
        <w:t xml:space="preserve">Association </w:t>
      </w:r>
      <w:proofErr w:type="gramStart"/>
      <w:r w:rsidR="009F3E47" w:rsidRPr="008F3AB9">
        <w:rPr>
          <w:i/>
          <w:sz w:val="18"/>
          <w:szCs w:val="18"/>
          <w:lang w:val="en-US"/>
        </w:rPr>
        <w:t>Between</w:t>
      </w:r>
      <w:proofErr w:type="gramEnd"/>
      <w:r w:rsidR="009F3E47" w:rsidRPr="008F3AB9">
        <w:rPr>
          <w:i/>
          <w:sz w:val="18"/>
          <w:szCs w:val="18"/>
          <w:lang w:val="en-US"/>
        </w:rPr>
        <w:t xml:space="preserve"> Influenza Vaccination and Cardiovascular Outcomes in High-Risk Patients.</w:t>
      </w:r>
      <w:r w:rsidR="009F3E47" w:rsidRPr="008F3AB9">
        <w:rPr>
          <w:sz w:val="18"/>
          <w:szCs w:val="18"/>
          <w:lang w:val="en-US"/>
        </w:rPr>
        <w:t xml:space="preserve"> </w:t>
      </w:r>
      <w:r w:rsidR="009F3E47" w:rsidRPr="008F3AB9">
        <w:rPr>
          <w:i/>
          <w:sz w:val="18"/>
          <w:szCs w:val="18"/>
          <w:lang w:val="en-US"/>
        </w:rPr>
        <w:t>A Meta-analysis</w:t>
      </w:r>
      <w:r w:rsidR="009F3E47" w:rsidRPr="008F3AB9">
        <w:rPr>
          <w:sz w:val="18"/>
          <w:szCs w:val="18"/>
          <w:lang w:val="en-US"/>
        </w:rPr>
        <w:t>. JAMA. In press 2013.</w:t>
      </w:r>
    </w:p>
    <w:p w:rsidR="009F3E47" w:rsidRPr="008F3AB9" w:rsidRDefault="00974845" w:rsidP="009F3E47">
      <w:pPr>
        <w:spacing w:after="0" w:line="240" w:lineRule="auto"/>
        <w:jc w:val="both"/>
        <w:rPr>
          <w:sz w:val="18"/>
          <w:szCs w:val="18"/>
          <w:lang w:val="en-US"/>
        </w:rPr>
      </w:pPr>
      <w:r w:rsidRPr="008F3AB9">
        <w:rPr>
          <w:sz w:val="18"/>
          <w:szCs w:val="18"/>
          <w:vertAlign w:val="superscript"/>
          <w:lang w:val="en-US"/>
        </w:rPr>
        <w:t>22</w:t>
      </w:r>
      <w:hyperlink r:id="rId22" w:history="1">
        <w:r w:rsidR="009F3E47" w:rsidRPr="008F3AB9">
          <w:rPr>
            <w:rStyle w:val="Collegamentoipertestuale"/>
            <w:rFonts w:asciiTheme="minorHAnsi" w:hAnsiTheme="minorHAnsi"/>
            <w:sz w:val="18"/>
            <w:szCs w:val="18"/>
            <w:lang w:val="en-US"/>
          </w:rPr>
          <w:t>http://ecdc.europa.eu/it/eaad/antibiotics/Pages/messagesForPublic.aspx</w:t>
        </w:r>
      </w:hyperlink>
      <w:r w:rsidR="009F3E47" w:rsidRPr="008F3AB9">
        <w:rPr>
          <w:sz w:val="18"/>
          <w:szCs w:val="18"/>
          <w:lang w:val="en-US"/>
        </w:rPr>
        <w:t xml:space="preserve"> </w:t>
      </w:r>
    </w:p>
    <w:p w:rsidR="00666D7C" w:rsidRPr="008F3AB9" w:rsidRDefault="00666D7C" w:rsidP="009F3E47">
      <w:pPr>
        <w:spacing w:after="0" w:line="240" w:lineRule="auto"/>
        <w:jc w:val="both"/>
        <w:rPr>
          <w:sz w:val="18"/>
          <w:szCs w:val="18"/>
          <w:lang w:val="en-US"/>
        </w:rPr>
      </w:pPr>
      <w:r w:rsidRPr="008F3AB9">
        <w:rPr>
          <w:sz w:val="18"/>
          <w:szCs w:val="18"/>
          <w:vertAlign w:val="superscript"/>
          <w:lang w:val="en-US"/>
        </w:rPr>
        <w:t>23</w:t>
      </w:r>
      <w:r w:rsidRPr="008F3AB9">
        <w:rPr>
          <w:sz w:val="18"/>
          <w:szCs w:val="18"/>
          <w:lang w:val="en-US"/>
        </w:rPr>
        <w:t xml:space="preserve">Lai et al. - </w:t>
      </w:r>
      <w:r w:rsidRPr="008F3AB9">
        <w:rPr>
          <w:i/>
          <w:sz w:val="18"/>
          <w:szCs w:val="18"/>
          <w:lang w:val="en-US"/>
        </w:rPr>
        <w:t>Burden of the 1999–2008 seasonal influenza epidemics in Italy</w:t>
      </w:r>
      <w:r w:rsidRPr="008F3AB9">
        <w:rPr>
          <w:sz w:val="18"/>
          <w:szCs w:val="18"/>
          <w:lang w:val="en-US"/>
        </w:rPr>
        <w:t xml:space="preserve"> - Human Vaccines 7: </w:t>
      </w:r>
      <w:proofErr w:type="gramStart"/>
      <w:r w:rsidRPr="008F3AB9">
        <w:rPr>
          <w:sz w:val="18"/>
          <w:szCs w:val="18"/>
          <w:lang w:val="en-US"/>
        </w:rPr>
        <w:t>Supplement,</w:t>
      </w:r>
      <w:proofErr w:type="gramEnd"/>
      <w:r w:rsidRPr="008F3AB9">
        <w:rPr>
          <w:sz w:val="18"/>
          <w:szCs w:val="18"/>
          <w:lang w:val="en-US"/>
        </w:rPr>
        <w:t xml:space="preserve"> 217-225; January/February 2011; © 2011 </w:t>
      </w:r>
      <w:proofErr w:type="spellStart"/>
      <w:r w:rsidRPr="008F3AB9">
        <w:rPr>
          <w:sz w:val="18"/>
          <w:szCs w:val="18"/>
          <w:lang w:val="en-US"/>
        </w:rPr>
        <w:t>Landes</w:t>
      </w:r>
      <w:proofErr w:type="spellEnd"/>
      <w:r w:rsidRPr="008F3AB9">
        <w:rPr>
          <w:sz w:val="18"/>
          <w:szCs w:val="18"/>
          <w:lang w:val="en-US"/>
        </w:rPr>
        <w:t xml:space="preserve"> Bioscience.</w:t>
      </w:r>
    </w:p>
    <w:p w:rsidR="009F3E47" w:rsidRPr="008F3AB9" w:rsidRDefault="009F3E47" w:rsidP="009F3E47">
      <w:pPr>
        <w:rPr>
          <w:sz w:val="18"/>
          <w:szCs w:val="18"/>
          <w:lang w:val="en-US"/>
        </w:rPr>
      </w:pPr>
    </w:p>
    <w:p w:rsidR="001D168F" w:rsidRPr="008F3AB9" w:rsidRDefault="001D168F" w:rsidP="00204143">
      <w:pPr>
        <w:rPr>
          <w:sz w:val="18"/>
          <w:szCs w:val="18"/>
          <w:lang w:val="en-US"/>
        </w:rPr>
      </w:pPr>
      <w:bookmarkStart w:id="7" w:name="_GoBack"/>
      <w:bookmarkEnd w:id="7"/>
    </w:p>
    <w:sectPr w:rsidR="001D168F" w:rsidRPr="008F3AB9" w:rsidSect="00B35235">
      <w:headerReference w:type="default" r:id="rId23"/>
      <w:pgSz w:w="11906" w:h="16838"/>
      <w:pgMar w:top="1134" w:right="1304"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A6A" w:rsidRDefault="00A27A6A" w:rsidP="00204143">
      <w:pPr>
        <w:spacing w:after="0" w:line="240" w:lineRule="auto"/>
      </w:pPr>
      <w:r>
        <w:separator/>
      </w:r>
    </w:p>
  </w:endnote>
  <w:endnote w:type="continuationSeparator" w:id="0">
    <w:p w:rsidR="00A27A6A" w:rsidRDefault="00A27A6A" w:rsidP="0020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ller Text">
    <w:altName w:val="Miller Tex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A6A" w:rsidRDefault="00A27A6A" w:rsidP="00204143">
      <w:pPr>
        <w:spacing w:after="0" w:line="240" w:lineRule="auto"/>
      </w:pPr>
      <w:r>
        <w:separator/>
      </w:r>
    </w:p>
  </w:footnote>
  <w:footnote w:type="continuationSeparator" w:id="0">
    <w:p w:rsidR="00A27A6A" w:rsidRDefault="00A27A6A" w:rsidP="0020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43" w:rsidRDefault="00204143">
    <w:pPr>
      <w:pStyle w:val="Intestazione"/>
    </w:pPr>
    <w:r w:rsidRPr="00204143">
      <w:rPr>
        <w:noProof/>
        <w:lang w:eastAsia="it-IT"/>
      </w:rPr>
      <w:drawing>
        <wp:inline distT="0" distB="0" distL="0" distR="0">
          <wp:extent cx="2247900" cy="471334"/>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71334"/>
                  </a:xfrm>
                  <a:prstGeom prst="rect">
                    <a:avLst/>
                  </a:prstGeom>
                  <a:noFill/>
                  <a:ln>
                    <a:noFill/>
                  </a:ln>
                </pic:spPr>
              </pic:pic>
            </a:graphicData>
          </a:graphic>
        </wp:inline>
      </w:drawing>
    </w:r>
  </w:p>
  <w:p w:rsidR="00204143" w:rsidRDefault="0020414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E240E"/>
    <w:multiLevelType w:val="hybridMultilevel"/>
    <w:tmpl w:val="E9DAE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8675A4"/>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nsid w:val="33F61876"/>
    <w:multiLevelType w:val="hybridMultilevel"/>
    <w:tmpl w:val="36FCC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2F28AA"/>
    <w:multiLevelType w:val="hybridMultilevel"/>
    <w:tmpl w:val="425C212C"/>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
    <w:nsid w:val="667035BD"/>
    <w:multiLevelType w:val="hybridMultilevel"/>
    <w:tmpl w:val="BEFC5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43"/>
    <w:rsid w:val="00045FB2"/>
    <w:rsid w:val="001D168F"/>
    <w:rsid w:val="00204143"/>
    <w:rsid w:val="002D223A"/>
    <w:rsid w:val="004F2429"/>
    <w:rsid w:val="005C6BCF"/>
    <w:rsid w:val="00666D7C"/>
    <w:rsid w:val="00707394"/>
    <w:rsid w:val="00821CE1"/>
    <w:rsid w:val="008B349D"/>
    <w:rsid w:val="008F3AB9"/>
    <w:rsid w:val="0091250B"/>
    <w:rsid w:val="00943E95"/>
    <w:rsid w:val="00974664"/>
    <w:rsid w:val="00974845"/>
    <w:rsid w:val="009C5321"/>
    <w:rsid w:val="009F3E47"/>
    <w:rsid w:val="00A27A6A"/>
    <w:rsid w:val="00B35235"/>
    <w:rsid w:val="00B416FA"/>
    <w:rsid w:val="00B631DC"/>
    <w:rsid w:val="00C9443D"/>
    <w:rsid w:val="00CF276D"/>
    <w:rsid w:val="00DD54F5"/>
    <w:rsid w:val="00E532A3"/>
    <w:rsid w:val="00E775F3"/>
    <w:rsid w:val="00FB1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24BD5-C778-4474-881F-41D34387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4143"/>
  </w:style>
  <w:style w:type="paragraph" w:styleId="Titolo1">
    <w:name w:val="heading 1"/>
    <w:basedOn w:val="Normale"/>
    <w:next w:val="Normale"/>
    <w:link w:val="Titolo1Carattere"/>
    <w:uiPriority w:val="99"/>
    <w:qFormat/>
    <w:rsid w:val="00666D7C"/>
    <w:pPr>
      <w:keepNext/>
      <w:keepLines/>
      <w:numPr>
        <w:numId w:val="5"/>
      </w:numPr>
      <w:spacing w:before="480" w:after="0"/>
      <w:outlineLvl w:val="0"/>
    </w:pPr>
    <w:rPr>
      <w:rFonts w:ascii="Cambria" w:eastAsia="Times New Roman" w:hAnsi="Cambria" w:cs="Times New Roman"/>
      <w:b/>
      <w:bCs/>
      <w:color w:val="365F91"/>
      <w:sz w:val="28"/>
      <w:szCs w:val="28"/>
    </w:rPr>
  </w:style>
  <w:style w:type="paragraph" w:styleId="Titolo2">
    <w:name w:val="heading 2"/>
    <w:basedOn w:val="Normale"/>
    <w:next w:val="Normale"/>
    <w:link w:val="Titolo2Carattere"/>
    <w:uiPriority w:val="99"/>
    <w:qFormat/>
    <w:rsid w:val="00666D7C"/>
    <w:pPr>
      <w:keepNext/>
      <w:keepLines/>
      <w:numPr>
        <w:ilvl w:val="1"/>
        <w:numId w:val="5"/>
      </w:numPr>
      <w:spacing w:before="200" w:after="0"/>
      <w:outlineLvl w:val="1"/>
    </w:pPr>
    <w:rPr>
      <w:rFonts w:ascii="Cambria" w:eastAsia="Times New Roman" w:hAnsi="Cambria" w:cs="Times New Roman"/>
      <w:b/>
      <w:bCs/>
      <w:color w:val="4F81BD"/>
      <w:sz w:val="26"/>
      <w:szCs w:val="26"/>
    </w:rPr>
  </w:style>
  <w:style w:type="paragraph" w:styleId="Titolo3">
    <w:name w:val="heading 3"/>
    <w:basedOn w:val="Normale"/>
    <w:next w:val="Normale"/>
    <w:link w:val="Titolo3Carattere"/>
    <w:uiPriority w:val="99"/>
    <w:qFormat/>
    <w:rsid w:val="00666D7C"/>
    <w:pPr>
      <w:keepNext/>
      <w:keepLines/>
      <w:numPr>
        <w:ilvl w:val="2"/>
        <w:numId w:val="5"/>
      </w:numPr>
      <w:spacing w:before="200" w:after="0"/>
      <w:outlineLvl w:val="2"/>
    </w:pPr>
    <w:rPr>
      <w:rFonts w:ascii="Cambria" w:eastAsia="Times New Roman" w:hAnsi="Cambria" w:cs="Times New Roman"/>
      <w:b/>
      <w:bCs/>
      <w:color w:val="4F81BD"/>
    </w:rPr>
  </w:style>
  <w:style w:type="paragraph" w:styleId="Titolo4">
    <w:name w:val="heading 4"/>
    <w:basedOn w:val="Normale"/>
    <w:next w:val="Normale"/>
    <w:link w:val="Titolo4Carattere"/>
    <w:uiPriority w:val="99"/>
    <w:qFormat/>
    <w:rsid w:val="00666D7C"/>
    <w:pPr>
      <w:keepNext/>
      <w:keepLines/>
      <w:numPr>
        <w:ilvl w:val="3"/>
        <w:numId w:val="5"/>
      </w:numPr>
      <w:spacing w:before="200" w:after="0"/>
      <w:outlineLvl w:val="3"/>
    </w:pPr>
    <w:rPr>
      <w:rFonts w:ascii="Cambria" w:eastAsia="Times New Roman" w:hAnsi="Cambria" w:cs="Times New Roman"/>
      <w:b/>
      <w:bCs/>
      <w:i/>
      <w:iCs/>
      <w:color w:val="4F81BD"/>
    </w:rPr>
  </w:style>
  <w:style w:type="paragraph" w:styleId="Titolo5">
    <w:name w:val="heading 5"/>
    <w:basedOn w:val="Normale"/>
    <w:next w:val="Normale"/>
    <w:link w:val="Titolo5Carattere"/>
    <w:uiPriority w:val="99"/>
    <w:qFormat/>
    <w:rsid w:val="00666D7C"/>
    <w:pPr>
      <w:keepNext/>
      <w:keepLines/>
      <w:numPr>
        <w:ilvl w:val="4"/>
        <w:numId w:val="5"/>
      </w:numPr>
      <w:spacing w:before="200" w:after="0"/>
      <w:outlineLvl w:val="4"/>
    </w:pPr>
    <w:rPr>
      <w:rFonts w:ascii="Cambria" w:eastAsia="Times New Roman" w:hAnsi="Cambria" w:cs="Times New Roman"/>
      <w:color w:val="243F60"/>
    </w:rPr>
  </w:style>
  <w:style w:type="paragraph" w:styleId="Titolo6">
    <w:name w:val="heading 6"/>
    <w:basedOn w:val="Normale"/>
    <w:next w:val="Normale"/>
    <w:link w:val="Titolo6Carattere"/>
    <w:uiPriority w:val="99"/>
    <w:qFormat/>
    <w:rsid w:val="00666D7C"/>
    <w:pPr>
      <w:keepNext/>
      <w:keepLines/>
      <w:numPr>
        <w:ilvl w:val="5"/>
        <w:numId w:val="5"/>
      </w:numPr>
      <w:spacing w:before="200" w:after="0"/>
      <w:outlineLvl w:val="5"/>
    </w:pPr>
    <w:rPr>
      <w:rFonts w:ascii="Cambria" w:eastAsia="Times New Roman" w:hAnsi="Cambria" w:cs="Times New Roman"/>
      <w:i/>
      <w:iCs/>
      <w:color w:val="243F60"/>
    </w:rPr>
  </w:style>
  <w:style w:type="paragraph" w:styleId="Titolo7">
    <w:name w:val="heading 7"/>
    <w:basedOn w:val="Normale"/>
    <w:next w:val="Normale"/>
    <w:link w:val="Titolo7Carattere"/>
    <w:uiPriority w:val="99"/>
    <w:qFormat/>
    <w:rsid w:val="00666D7C"/>
    <w:pPr>
      <w:keepNext/>
      <w:keepLines/>
      <w:numPr>
        <w:ilvl w:val="6"/>
        <w:numId w:val="5"/>
      </w:numPr>
      <w:spacing w:before="200" w:after="0"/>
      <w:outlineLvl w:val="6"/>
    </w:pPr>
    <w:rPr>
      <w:rFonts w:ascii="Cambria" w:eastAsia="Times New Roman" w:hAnsi="Cambria" w:cs="Times New Roman"/>
      <w:i/>
      <w:iCs/>
      <w:color w:val="404040"/>
    </w:rPr>
  </w:style>
  <w:style w:type="paragraph" w:styleId="Titolo8">
    <w:name w:val="heading 8"/>
    <w:basedOn w:val="Normale"/>
    <w:next w:val="Normale"/>
    <w:link w:val="Titolo8Carattere"/>
    <w:uiPriority w:val="99"/>
    <w:qFormat/>
    <w:rsid w:val="00666D7C"/>
    <w:pPr>
      <w:keepNext/>
      <w:keepLines/>
      <w:numPr>
        <w:ilvl w:val="7"/>
        <w:numId w:val="5"/>
      </w:numPr>
      <w:spacing w:before="200" w:after="0"/>
      <w:outlineLvl w:val="7"/>
    </w:pPr>
    <w:rPr>
      <w:rFonts w:ascii="Cambria" w:eastAsia="Times New Roman" w:hAnsi="Cambria" w:cs="Times New Roman"/>
      <w:color w:val="404040"/>
      <w:sz w:val="20"/>
      <w:szCs w:val="20"/>
    </w:rPr>
  </w:style>
  <w:style w:type="paragraph" w:styleId="Titolo9">
    <w:name w:val="heading 9"/>
    <w:basedOn w:val="Normale"/>
    <w:next w:val="Normale"/>
    <w:link w:val="Titolo9Carattere"/>
    <w:uiPriority w:val="99"/>
    <w:qFormat/>
    <w:rsid w:val="00666D7C"/>
    <w:pPr>
      <w:keepNext/>
      <w:keepLines/>
      <w:numPr>
        <w:ilvl w:val="8"/>
        <w:numId w:val="5"/>
      </w:numPr>
      <w:spacing w:before="200" w:after="0"/>
      <w:outlineLvl w:val="8"/>
    </w:pPr>
    <w:rPr>
      <w:rFonts w:ascii="Cambria" w:eastAsia="Times New Roman" w:hAnsi="Cambria"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041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04143"/>
  </w:style>
  <w:style w:type="paragraph" w:styleId="Pidipagina">
    <w:name w:val="footer"/>
    <w:basedOn w:val="Normale"/>
    <w:link w:val="PidipaginaCarattere"/>
    <w:uiPriority w:val="99"/>
    <w:semiHidden/>
    <w:unhideWhenUsed/>
    <w:rsid w:val="002041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04143"/>
  </w:style>
  <w:style w:type="paragraph" w:styleId="Testofumetto">
    <w:name w:val="Balloon Text"/>
    <w:basedOn w:val="Normale"/>
    <w:link w:val="TestofumettoCarattere"/>
    <w:uiPriority w:val="99"/>
    <w:semiHidden/>
    <w:unhideWhenUsed/>
    <w:rsid w:val="002041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4143"/>
    <w:rPr>
      <w:rFonts w:ascii="Tahoma" w:hAnsi="Tahoma" w:cs="Tahoma"/>
      <w:sz w:val="16"/>
      <w:szCs w:val="16"/>
    </w:rPr>
  </w:style>
  <w:style w:type="character" w:styleId="Collegamentoipertestuale">
    <w:name w:val="Hyperlink"/>
    <w:basedOn w:val="Carpredefinitoparagrafo"/>
    <w:uiPriority w:val="99"/>
    <w:unhideWhenUsed/>
    <w:rsid w:val="009F3E47"/>
    <w:rPr>
      <w:rFonts w:ascii="Times New Roman" w:hAnsi="Times New Roman" w:cs="Times New Roman" w:hint="default"/>
      <w:color w:val="0000FF"/>
      <w:sz w:val="20"/>
      <w:szCs w:val="20"/>
      <w:u w:val="single"/>
    </w:rPr>
  </w:style>
  <w:style w:type="paragraph" w:styleId="Paragrafoelenco">
    <w:name w:val="List Paragraph"/>
    <w:basedOn w:val="Normale"/>
    <w:uiPriority w:val="34"/>
    <w:qFormat/>
    <w:rsid w:val="00FB172A"/>
    <w:pPr>
      <w:ind w:left="720"/>
      <w:contextualSpacing/>
    </w:pPr>
  </w:style>
  <w:style w:type="paragraph" w:styleId="Testonotaapidipagina">
    <w:name w:val="footnote text"/>
    <w:basedOn w:val="Normale"/>
    <w:link w:val="TestonotaapidipaginaCarattere"/>
    <w:uiPriority w:val="99"/>
    <w:unhideWhenUsed/>
    <w:rsid w:val="00974845"/>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974845"/>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974845"/>
    <w:rPr>
      <w:rFonts w:ascii="Times New Roman" w:hAnsi="Times New Roman" w:cs="Times New Roman" w:hint="default"/>
      <w:vertAlign w:val="superscript"/>
    </w:rPr>
  </w:style>
  <w:style w:type="character" w:customStyle="1" w:styleId="Titolo1Carattere">
    <w:name w:val="Titolo 1 Carattere"/>
    <w:basedOn w:val="Carpredefinitoparagrafo"/>
    <w:link w:val="Titolo1"/>
    <w:uiPriority w:val="99"/>
    <w:rsid w:val="00666D7C"/>
    <w:rPr>
      <w:rFonts w:ascii="Cambria" w:eastAsia="Times New Roman" w:hAnsi="Cambria" w:cs="Times New Roman"/>
      <w:b/>
      <w:bCs/>
      <w:color w:val="365F91"/>
      <w:sz w:val="28"/>
      <w:szCs w:val="28"/>
    </w:rPr>
  </w:style>
  <w:style w:type="character" w:customStyle="1" w:styleId="Titolo2Carattere">
    <w:name w:val="Titolo 2 Carattere"/>
    <w:basedOn w:val="Carpredefinitoparagrafo"/>
    <w:link w:val="Titolo2"/>
    <w:uiPriority w:val="99"/>
    <w:rsid w:val="00666D7C"/>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666D7C"/>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9"/>
    <w:rsid w:val="00666D7C"/>
    <w:rPr>
      <w:rFonts w:ascii="Cambria" w:eastAsia="Times New Roman" w:hAnsi="Cambria" w:cs="Times New Roman"/>
      <w:b/>
      <w:bCs/>
      <w:i/>
      <w:iCs/>
      <w:color w:val="4F81BD"/>
    </w:rPr>
  </w:style>
  <w:style w:type="character" w:customStyle="1" w:styleId="Titolo5Carattere">
    <w:name w:val="Titolo 5 Carattere"/>
    <w:basedOn w:val="Carpredefinitoparagrafo"/>
    <w:link w:val="Titolo5"/>
    <w:uiPriority w:val="99"/>
    <w:rsid w:val="00666D7C"/>
    <w:rPr>
      <w:rFonts w:ascii="Cambria" w:eastAsia="Times New Roman" w:hAnsi="Cambria" w:cs="Times New Roman"/>
      <w:color w:val="243F60"/>
    </w:rPr>
  </w:style>
  <w:style w:type="character" w:customStyle="1" w:styleId="Titolo6Carattere">
    <w:name w:val="Titolo 6 Carattere"/>
    <w:basedOn w:val="Carpredefinitoparagrafo"/>
    <w:link w:val="Titolo6"/>
    <w:uiPriority w:val="99"/>
    <w:rsid w:val="00666D7C"/>
    <w:rPr>
      <w:rFonts w:ascii="Cambria" w:eastAsia="Times New Roman" w:hAnsi="Cambria" w:cs="Times New Roman"/>
      <w:i/>
      <w:iCs/>
      <w:color w:val="243F60"/>
    </w:rPr>
  </w:style>
  <w:style w:type="character" w:customStyle="1" w:styleId="Titolo7Carattere">
    <w:name w:val="Titolo 7 Carattere"/>
    <w:basedOn w:val="Carpredefinitoparagrafo"/>
    <w:link w:val="Titolo7"/>
    <w:uiPriority w:val="99"/>
    <w:rsid w:val="00666D7C"/>
    <w:rPr>
      <w:rFonts w:ascii="Cambria" w:eastAsia="Times New Roman" w:hAnsi="Cambria" w:cs="Times New Roman"/>
      <w:i/>
      <w:iCs/>
      <w:color w:val="404040"/>
    </w:rPr>
  </w:style>
  <w:style w:type="character" w:customStyle="1" w:styleId="Titolo8Carattere">
    <w:name w:val="Titolo 8 Carattere"/>
    <w:basedOn w:val="Carpredefinitoparagrafo"/>
    <w:link w:val="Titolo8"/>
    <w:uiPriority w:val="99"/>
    <w:rsid w:val="00666D7C"/>
    <w:rPr>
      <w:rFonts w:ascii="Cambria" w:eastAsia="Times New Roman" w:hAnsi="Cambria" w:cs="Times New Roman"/>
      <w:color w:val="404040"/>
      <w:sz w:val="20"/>
      <w:szCs w:val="20"/>
    </w:rPr>
  </w:style>
  <w:style w:type="character" w:customStyle="1" w:styleId="Titolo9Carattere">
    <w:name w:val="Titolo 9 Carattere"/>
    <w:basedOn w:val="Carpredefinitoparagrafo"/>
    <w:link w:val="Titolo9"/>
    <w:uiPriority w:val="99"/>
    <w:rsid w:val="00666D7C"/>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896591">
      <w:bodyDiv w:val="1"/>
      <w:marLeft w:val="0"/>
      <w:marRight w:val="0"/>
      <w:marTop w:val="0"/>
      <w:marBottom w:val="0"/>
      <w:divBdr>
        <w:top w:val="none" w:sz="0" w:space="0" w:color="auto"/>
        <w:left w:val="none" w:sz="0" w:space="0" w:color="auto"/>
        <w:bottom w:val="none" w:sz="0" w:space="0" w:color="auto"/>
        <w:right w:val="none" w:sz="0" w:space="0" w:color="auto"/>
      </w:divBdr>
      <w:divsChild>
        <w:div w:id="1619681484">
          <w:marLeft w:val="0"/>
          <w:marRight w:val="0"/>
          <w:marTop w:val="0"/>
          <w:marBottom w:val="0"/>
          <w:divBdr>
            <w:top w:val="none" w:sz="0" w:space="0" w:color="auto"/>
            <w:left w:val="none" w:sz="0" w:space="0" w:color="auto"/>
            <w:bottom w:val="none" w:sz="0" w:space="0" w:color="auto"/>
            <w:right w:val="none" w:sz="0" w:space="0" w:color="auto"/>
          </w:divBdr>
        </w:div>
        <w:div w:id="234436096">
          <w:marLeft w:val="0"/>
          <w:marRight w:val="0"/>
          <w:marTop w:val="0"/>
          <w:marBottom w:val="0"/>
          <w:divBdr>
            <w:top w:val="none" w:sz="0" w:space="0" w:color="auto"/>
            <w:left w:val="none" w:sz="0" w:space="0" w:color="auto"/>
            <w:bottom w:val="none" w:sz="0" w:space="0" w:color="auto"/>
            <w:right w:val="none" w:sz="0" w:space="0" w:color="auto"/>
          </w:divBdr>
        </w:div>
        <w:div w:id="840580952">
          <w:marLeft w:val="0"/>
          <w:marRight w:val="0"/>
          <w:marTop w:val="0"/>
          <w:marBottom w:val="0"/>
          <w:divBdr>
            <w:top w:val="none" w:sz="0" w:space="0" w:color="auto"/>
            <w:left w:val="none" w:sz="0" w:space="0" w:color="auto"/>
            <w:bottom w:val="none" w:sz="0" w:space="0" w:color="auto"/>
            <w:right w:val="none" w:sz="0" w:space="0" w:color="auto"/>
          </w:divBdr>
        </w:div>
        <w:div w:id="753160521">
          <w:marLeft w:val="0"/>
          <w:marRight w:val="0"/>
          <w:marTop w:val="0"/>
          <w:marBottom w:val="0"/>
          <w:divBdr>
            <w:top w:val="none" w:sz="0" w:space="0" w:color="auto"/>
            <w:left w:val="none" w:sz="0" w:space="0" w:color="auto"/>
            <w:bottom w:val="none" w:sz="0" w:space="0" w:color="auto"/>
            <w:right w:val="none" w:sz="0" w:space="0" w:color="auto"/>
          </w:divBdr>
        </w:div>
        <w:div w:id="24841609">
          <w:marLeft w:val="0"/>
          <w:marRight w:val="0"/>
          <w:marTop w:val="0"/>
          <w:marBottom w:val="0"/>
          <w:divBdr>
            <w:top w:val="none" w:sz="0" w:space="0" w:color="auto"/>
            <w:left w:val="none" w:sz="0" w:space="0" w:color="auto"/>
            <w:bottom w:val="none" w:sz="0" w:space="0" w:color="auto"/>
            <w:right w:val="none" w:sz="0" w:space="0" w:color="auto"/>
          </w:divBdr>
        </w:div>
        <w:div w:id="975373902">
          <w:marLeft w:val="0"/>
          <w:marRight w:val="0"/>
          <w:marTop w:val="0"/>
          <w:marBottom w:val="0"/>
          <w:divBdr>
            <w:top w:val="none" w:sz="0" w:space="0" w:color="auto"/>
            <w:left w:val="none" w:sz="0" w:space="0" w:color="auto"/>
            <w:bottom w:val="none" w:sz="0" w:space="0" w:color="auto"/>
            <w:right w:val="none" w:sz="0" w:space="0" w:color="auto"/>
          </w:divBdr>
        </w:div>
        <w:div w:id="1857190865">
          <w:marLeft w:val="0"/>
          <w:marRight w:val="0"/>
          <w:marTop w:val="0"/>
          <w:marBottom w:val="0"/>
          <w:divBdr>
            <w:top w:val="none" w:sz="0" w:space="0" w:color="auto"/>
            <w:left w:val="none" w:sz="0" w:space="0" w:color="auto"/>
            <w:bottom w:val="none" w:sz="0" w:space="0" w:color="auto"/>
            <w:right w:val="none" w:sz="0" w:space="0" w:color="auto"/>
          </w:divBdr>
        </w:div>
        <w:div w:id="62574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ho.int/mediacentre/factsheets/fs211/en/" TargetMode="External"/><Relationship Id="rId18" Type="http://schemas.openxmlformats.org/officeDocument/2006/relationships/hyperlink" Target="http://www.ordine-medici-firenze.it/index.php/toscanamedica/category/36-tm2013" TargetMode="External"/><Relationship Id="rId3" Type="http://schemas.openxmlformats.org/officeDocument/2006/relationships/settings" Target="settings.xml"/><Relationship Id="rId21" Type="http://schemas.openxmlformats.org/officeDocument/2006/relationships/hyperlink" Target="http://www.salute.gov.it/portale/temi/p2_6.jsp?lingua=italiano&amp;id=670&amp;area=influenza&amp;menu=vaccinazione" TargetMode="External"/><Relationship Id="rId7" Type="http://schemas.openxmlformats.org/officeDocument/2006/relationships/image" Target="media/image1.png"/><Relationship Id="rId12" Type="http://schemas.openxmlformats.org/officeDocument/2006/relationships/hyperlink" Target="http://www.epicentro.iss.it/problemi/influenza/influenza.asp" TargetMode="External"/><Relationship Id="rId17" Type="http://schemas.openxmlformats.org/officeDocument/2006/relationships/hyperlink" Target="http://www.euromomo.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lute.gov.it/portale/temi/p2_4.jsp?area=influenza" TargetMode="External"/><Relationship Id="rId20" Type="http://schemas.openxmlformats.org/officeDocument/2006/relationships/hyperlink" Target="http://www.epicentro.iss.it/temi/vaccinazioni/HProimmune2014.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picentro.iss.it/problemi/influenza/FluNews.asp"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hproimmune.e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cdc.europa.eu/en/activities/sciadvice/_layouts/forms/Review_DispForm.aspx?List=a3216f4c-f040-4f51-9f77-a96046dbfd72&amp;ID=394" TargetMode="External"/><Relationship Id="rId22" Type="http://schemas.openxmlformats.org/officeDocument/2006/relationships/hyperlink" Target="http://ecdc.europa.eu/it/eaad/antibiotics/Pages/messagesForPublic.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3738</Words>
  <Characters>21310</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 Del Giudice</cp:lastModifiedBy>
  <cp:revision>2</cp:revision>
  <dcterms:created xsi:type="dcterms:W3CDTF">2015-04-10T12:59:00Z</dcterms:created>
  <dcterms:modified xsi:type="dcterms:W3CDTF">2015-04-10T12:59:00Z</dcterms:modified>
</cp:coreProperties>
</file>