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740B1D" w:rsidRPr="00EF5D1F" w:rsidRDefault="00EF5D1F" w:rsidP="00EF5D1F">
      <w:pPr>
        <w:pStyle w:val="PreformattatoHTML"/>
        <w:jc w:val="center"/>
        <w:rPr>
          <w:rFonts w:ascii="Arial" w:hAnsi="Arial" w:cs="Arial"/>
          <w:b/>
          <w:sz w:val="32"/>
          <w:szCs w:val="32"/>
        </w:rPr>
      </w:pPr>
      <w:r w:rsidRPr="00EF5D1F">
        <w:rPr>
          <w:rFonts w:ascii="Arial" w:hAnsi="Arial" w:cs="Arial"/>
          <w:b/>
          <w:sz w:val="32"/>
          <w:szCs w:val="32"/>
        </w:rPr>
        <w:t>Con l’arrivo degli anticorpi monoclonali biosimilari si apre una nuova fase</w:t>
      </w:r>
      <w:r>
        <w:rPr>
          <w:rFonts w:ascii="Arial" w:hAnsi="Arial" w:cs="Arial"/>
          <w:b/>
          <w:sz w:val="32"/>
          <w:szCs w:val="32"/>
        </w:rPr>
        <w:t xml:space="preserve"> </w:t>
      </w:r>
      <w:bookmarkStart w:id="0" w:name="_GoBack"/>
      <w:bookmarkEnd w:id="0"/>
      <w:r w:rsidRPr="00EF5D1F">
        <w:rPr>
          <w:rFonts w:ascii="Arial" w:hAnsi="Arial" w:cs="Arial"/>
          <w:b/>
          <w:sz w:val="32"/>
          <w:szCs w:val="32"/>
        </w:rPr>
        <w:t>della terapia farmacologica in Italia</w:t>
      </w:r>
    </w:p>
    <w:p w:rsidR="000743E2" w:rsidRDefault="000743E2" w:rsidP="00DF648B">
      <w:pPr>
        <w:pStyle w:val="PreformattatoHTML"/>
        <w:jc w:val="both"/>
        <w:rPr>
          <w:rFonts w:ascii="Arial" w:hAnsi="Arial" w:cs="Arial"/>
          <w:b/>
          <w:sz w:val="22"/>
          <w:szCs w:val="22"/>
        </w:rPr>
      </w:pPr>
    </w:p>
    <w:p w:rsidR="00EF5D1F" w:rsidRDefault="00EF5D1F" w:rsidP="00740B1D">
      <w:pPr>
        <w:pStyle w:val="PreformattatoHTML"/>
        <w:jc w:val="both"/>
        <w:rPr>
          <w:rFonts w:ascii="Arial" w:hAnsi="Arial" w:cs="Arial"/>
          <w:b/>
          <w:sz w:val="22"/>
          <w:szCs w:val="22"/>
        </w:rPr>
      </w:pPr>
    </w:p>
    <w:p w:rsidR="00EF5D1F" w:rsidRPr="00EF5D1F" w:rsidRDefault="007D75BE" w:rsidP="00EF5D1F">
      <w:pPr>
        <w:pStyle w:val="PreformattatoHTML"/>
        <w:jc w:val="both"/>
        <w:rPr>
          <w:rFonts w:ascii="Arial" w:hAnsi="Arial" w:cs="Arial"/>
          <w:sz w:val="22"/>
          <w:szCs w:val="22"/>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EF5D1F">
        <w:rPr>
          <w:rFonts w:ascii="Arial" w:hAnsi="Arial" w:cs="Arial"/>
          <w:b/>
          <w:sz w:val="22"/>
          <w:szCs w:val="22"/>
        </w:rPr>
        <w:t>16 febbraio</w:t>
      </w:r>
      <w:r w:rsidR="00DF648B">
        <w:rPr>
          <w:rFonts w:ascii="Arial" w:hAnsi="Arial" w:cs="Arial"/>
          <w:b/>
          <w:sz w:val="22"/>
          <w:szCs w:val="22"/>
        </w:rPr>
        <w:t xml:space="preserve"> 2015</w:t>
      </w:r>
      <w:r w:rsidRPr="007D75BE">
        <w:rPr>
          <w:rFonts w:ascii="Arial" w:hAnsi="Arial" w:cs="Arial"/>
          <w:b/>
          <w:sz w:val="22"/>
          <w:szCs w:val="22"/>
        </w:rPr>
        <w:t xml:space="preserve"> -</w:t>
      </w:r>
      <w:r>
        <w:t xml:space="preserve"> </w:t>
      </w:r>
      <w:r w:rsidR="00EF5D1F" w:rsidRPr="00EF5D1F">
        <w:rPr>
          <w:rFonts w:ascii="Arial" w:hAnsi="Arial" w:cs="Arial"/>
          <w:sz w:val="22"/>
          <w:szCs w:val="22"/>
        </w:rPr>
        <w:t xml:space="preserve">“Oggi si apre una nuova fase della terapia farmacologica in Italia, la fase in cui la punta di diamante della ricerca farmacologica e biotecnologica, i cosiddetti farmaci intelligenti, smettono di essere una risorsa da razionare e diventano un’opzione terapeutica praticabile per tutti i pazienti che possono trarne beneficio”. Questo il commento di </w:t>
      </w:r>
      <w:r w:rsidR="00EF5D1F" w:rsidRPr="00191BE1">
        <w:rPr>
          <w:rFonts w:ascii="Arial" w:hAnsi="Arial" w:cs="Arial"/>
          <w:b/>
          <w:sz w:val="22"/>
          <w:szCs w:val="22"/>
        </w:rPr>
        <w:t>Francesco Colantuoni, coordinatore di IBG, Italian Biosimilar Group (grupp</w:t>
      </w:r>
      <w:r w:rsidR="00191BE1" w:rsidRPr="00191BE1">
        <w:rPr>
          <w:rFonts w:ascii="Arial" w:hAnsi="Arial" w:cs="Arial"/>
          <w:b/>
          <w:sz w:val="22"/>
          <w:szCs w:val="22"/>
        </w:rPr>
        <w:t>o appartenente ad AssoGenerici)</w:t>
      </w:r>
      <w:r w:rsidR="00EF5D1F" w:rsidRPr="00EF5D1F">
        <w:rPr>
          <w:rFonts w:ascii="Arial" w:hAnsi="Arial" w:cs="Arial"/>
          <w:sz w:val="22"/>
          <w:szCs w:val="22"/>
        </w:rPr>
        <w:t xml:space="preserve">, all’entrata in commercio in Italia del primo anticorpo monoclonale biosimilare. Da oggi sono infatti disponibili </w:t>
      </w:r>
      <w:proofErr w:type="spellStart"/>
      <w:r w:rsidR="00EF5D1F" w:rsidRPr="00EF5D1F">
        <w:rPr>
          <w:rFonts w:ascii="Arial" w:hAnsi="Arial" w:cs="Arial"/>
          <w:sz w:val="22"/>
          <w:szCs w:val="22"/>
        </w:rPr>
        <w:t>Inflectra</w:t>
      </w:r>
      <w:proofErr w:type="spellEnd"/>
      <w:r w:rsidR="00EF5D1F" w:rsidRPr="00EF5D1F">
        <w:rPr>
          <w:rFonts w:ascii="Arial" w:hAnsi="Arial" w:cs="Arial"/>
          <w:sz w:val="22"/>
          <w:szCs w:val="22"/>
        </w:rPr>
        <w:t xml:space="preserve"> e </w:t>
      </w:r>
      <w:proofErr w:type="spellStart"/>
      <w:r w:rsidR="00EF5D1F" w:rsidRPr="00EF5D1F">
        <w:rPr>
          <w:rFonts w:ascii="Arial" w:hAnsi="Arial" w:cs="Arial"/>
          <w:sz w:val="22"/>
          <w:szCs w:val="22"/>
        </w:rPr>
        <w:t>Remsima</w:t>
      </w:r>
      <w:proofErr w:type="spellEnd"/>
      <w:r w:rsidR="00EF5D1F" w:rsidRPr="00EF5D1F">
        <w:rPr>
          <w:rFonts w:ascii="Arial" w:hAnsi="Arial" w:cs="Arial"/>
          <w:sz w:val="22"/>
          <w:szCs w:val="22"/>
        </w:rPr>
        <w:t xml:space="preserve"> biosimilari di </w:t>
      </w:r>
      <w:proofErr w:type="spellStart"/>
      <w:r w:rsidR="00EF5D1F" w:rsidRPr="00EF5D1F">
        <w:rPr>
          <w:rFonts w:ascii="Arial" w:hAnsi="Arial" w:cs="Arial"/>
          <w:sz w:val="22"/>
          <w:szCs w:val="22"/>
        </w:rPr>
        <w:t>Remicade</w:t>
      </w:r>
      <w:proofErr w:type="spellEnd"/>
      <w:r w:rsidR="00EF5D1F" w:rsidRPr="00EF5D1F">
        <w:rPr>
          <w:rFonts w:ascii="Arial" w:hAnsi="Arial" w:cs="Arial"/>
          <w:sz w:val="22"/>
          <w:szCs w:val="22"/>
        </w:rPr>
        <w:t> (</w:t>
      </w:r>
      <w:proofErr w:type="spellStart"/>
      <w:r w:rsidR="00EF5D1F" w:rsidRPr="00EF5D1F">
        <w:rPr>
          <w:rFonts w:ascii="Arial" w:hAnsi="Arial" w:cs="Arial"/>
          <w:sz w:val="22"/>
          <w:szCs w:val="22"/>
        </w:rPr>
        <w:t>infliximab</w:t>
      </w:r>
      <w:proofErr w:type="spellEnd"/>
      <w:r w:rsidR="00EF5D1F" w:rsidRPr="00EF5D1F">
        <w:rPr>
          <w:rFonts w:ascii="Arial" w:hAnsi="Arial" w:cs="Arial"/>
          <w:sz w:val="22"/>
          <w:szCs w:val="22"/>
        </w:rPr>
        <w:t xml:space="preserve">), un anticorpo anti-TNF alfa impiegato nel trattamento di malattie autoimmuni gravemente invalidanti quali l’artrite reumatoide, il morbo di </w:t>
      </w:r>
      <w:proofErr w:type="spellStart"/>
      <w:r w:rsidR="00EF5D1F" w:rsidRPr="00EF5D1F">
        <w:rPr>
          <w:rFonts w:ascii="Arial" w:hAnsi="Arial" w:cs="Arial"/>
          <w:sz w:val="22"/>
          <w:szCs w:val="22"/>
        </w:rPr>
        <w:t>Crohn</w:t>
      </w:r>
      <w:proofErr w:type="spellEnd"/>
      <w:r w:rsidR="00EF5D1F" w:rsidRPr="00EF5D1F">
        <w:rPr>
          <w:rFonts w:ascii="Arial" w:hAnsi="Arial" w:cs="Arial"/>
          <w:sz w:val="22"/>
          <w:szCs w:val="22"/>
        </w:rPr>
        <w:t>, la colite ulcerosa, ed è il capostipite del trattamento biotecnologico di queste malattie.</w:t>
      </w:r>
    </w:p>
    <w:p w:rsidR="00EF5D1F" w:rsidRPr="00EF5D1F" w:rsidRDefault="00EF5D1F" w:rsidP="00EF5D1F">
      <w:pPr>
        <w:pStyle w:val="PreformattatoHTML"/>
        <w:jc w:val="both"/>
        <w:rPr>
          <w:rFonts w:ascii="Arial" w:hAnsi="Arial" w:cs="Arial"/>
          <w:sz w:val="22"/>
          <w:szCs w:val="22"/>
        </w:rPr>
      </w:pPr>
      <w:r w:rsidRPr="00EF5D1F">
        <w:rPr>
          <w:rFonts w:ascii="Arial" w:hAnsi="Arial" w:cs="Arial"/>
          <w:sz w:val="22"/>
          <w:szCs w:val="22"/>
        </w:rPr>
        <w:t xml:space="preserve">“In Italia sono già in commercio alcuni altri farmaci biosimilari impiegati in nefrologia, oncologia ed ematologia, e di recente ha ottenuto la autorizzazione alla commercializzazione </w:t>
      </w:r>
      <w:r w:rsidR="00F62FA8">
        <w:rPr>
          <w:rFonts w:ascii="Arial" w:hAnsi="Arial" w:cs="Arial"/>
          <w:sz w:val="22"/>
          <w:szCs w:val="22"/>
        </w:rPr>
        <w:t>da parte di EMA il biosimilare </w:t>
      </w:r>
      <w:r w:rsidRPr="00EF5D1F">
        <w:rPr>
          <w:rFonts w:ascii="Arial" w:hAnsi="Arial" w:cs="Arial"/>
          <w:sz w:val="22"/>
          <w:szCs w:val="22"/>
        </w:rPr>
        <w:t>dell’insulina glargine” spiega il dottor Colantuoni. “Con l’arrivo dell’</w:t>
      </w:r>
      <w:proofErr w:type="spellStart"/>
      <w:r w:rsidRPr="00EF5D1F">
        <w:rPr>
          <w:rFonts w:ascii="Arial" w:hAnsi="Arial" w:cs="Arial"/>
          <w:sz w:val="22"/>
          <w:szCs w:val="22"/>
        </w:rPr>
        <w:t>infliximab</w:t>
      </w:r>
      <w:proofErr w:type="spellEnd"/>
      <w:r w:rsidRPr="00EF5D1F">
        <w:rPr>
          <w:rFonts w:ascii="Arial" w:hAnsi="Arial" w:cs="Arial"/>
          <w:sz w:val="22"/>
          <w:szCs w:val="22"/>
        </w:rPr>
        <w:t xml:space="preserve"> biosimilare, si apre la possibilità di ampliare l’accesso a ter</w:t>
      </w:r>
      <w:r w:rsidR="00F62FA8">
        <w:rPr>
          <w:rFonts w:ascii="Arial" w:hAnsi="Arial" w:cs="Arial"/>
          <w:sz w:val="22"/>
          <w:szCs w:val="22"/>
        </w:rPr>
        <w:t xml:space="preserve">apie di costo elevato, </w:t>
      </w:r>
      <w:r w:rsidRPr="00EF5D1F">
        <w:rPr>
          <w:rFonts w:ascii="Arial" w:hAnsi="Arial" w:cs="Arial"/>
          <w:sz w:val="22"/>
          <w:szCs w:val="22"/>
        </w:rPr>
        <w:t>evitando il rischio che pazienti possano essere esclusi da questa importante opzione terapeutica per scarsità di risorse”.</w:t>
      </w:r>
    </w:p>
    <w:p w:rsidR="00EF5D1F" w:rsidRPr="00EF5D1F" w:rsidRDefault="00EF5D1F" w:rsidP="00EF5D1F">
      <w:pPr>
        <w:pStyle w:val="PreformattatoHTML"/>
        <w:jc w:val="both"/>
        <w:rPr>
          <w:rFonts w:ascii="Arial" w:hAnsi="Arial" w:cs="Arial"/>
          <w:sz w:val="22"/>
          <w:szCs w:val="22"/>
        </w:rPr>
      </w:pPr>
      <w:r w:rsidRPr="00EF5D1F">
        <w:rPr>
          <w:rFonts w:ascii="Arial" w:hAnsi="Arial" w:cs="Arial"/>
          <w:sz w:val="22"/>
          <w:szCs w:val="22"/>
        </w:rPr>
        <w:t>“Nella malattie autoimmuni esiste sempre una quota non trascurabile di pazienti che non rispondono al trattamento di prima linea, ma che potrebbero giovarsi di farmaci introdotti successivamente” prosegue il coordinatore dell’IBG. “Farmaci innovativi che, però, sco</w:t>
      </w:r>
      <w:r w:rsidR="00F62FA8">
        <w:rPr>
          <w:rFonts w:ascii="Arial" w:hAnsi="Arial" w:cs="Arial"/>
          <w:sz w:val="22"/>
          <w:szCs w:val="22"/>
        </w:rPr>
        <w:t>ntano costi ancora più elevati </w:t>
      </w:r>
      <w:r w:rsidRPr="00EF5D1F">
        <w:rPr>
          <w:rFonts w:ascii="Arial" w:hAnsi="Arial" w:cs="Arial"/>
          <w:sz w:val="22"/>
          <w:szCs w:val="22"/>
        </w:rPr>
        <w:t xml:space="preserve">ed è evidente che, se non riusciamo a ridurre l’onere delle terapie consolidate, ben difficilmente si potranno rendere disponibili medicinali più adeguati al trattamento dei non </w:t>
      </w:r>
      <w:proofErr w:type="spellStart"/>
      <w:r w:rsidRPr="00EF5D1F">
        <w:rPr>
          <w:rFonts w:ascii="Arial" w:hAnsi="Arial" w:cs="Arial"/>
          <w:sz w:val="22"/>
          <w:szCs w:val="22"/>
        </w:rPr>
        <w:t>responders</w:t>
      </w:r>
      <w:proofErr w:type="spellEnd"/>
      <w:r w:rsidRPr="00EF5D1F">
        <w:rPr>
          <w:rFonts w:ascii="Arial" w:hAnsi="Arial" w:cs="Arial"/>
          <w:sz w:val="22"/>
          <w:szCs w:val="22"/>
        </w:rPr>
        <w:t>. Oggi l’arrivo dell’</w:t>
      </w:r>
      <w:proofErr w:type="spellStart"/>
      <w:r w:rsidRPr="00EF5D1F">
        <w:rPr>
          <w:rFonts w:ascii="Arial" w:hAnsi="Arial" w:cs="Arial"/>
          <w:sz w:val="22"/>
          <w:szCs w:val="22"/>
        </w:rPr>
        <w:t>infliximab</w:t>
      </w:r>
      <w:proofErr w:type="spellEnd"/>
      <w:r w:rsidRPr="00EF5D1F">
        <w:rPr>
          <w:rFonts w:ascii="Arial" w:hAnsi="Arial" w:cs="Arial"/>
          <w:sz w:val="22"/>
          <w:szCs w:val="22"/>
        </w:rPr>
        <w:t xml:space="preserve"> biosimilare pone le condizioni per liberare risorse e remunerare adeguatamente l’innovazione”.</w:t>
      </w:r>
    </w:p>
    <w:p w:rsidR="00EF5D1F" w:rsidRPr="00EF5D1F" w:rsidRDefault="00EF5D1F" w:rsidP="00EF5D1F">
      <w:pPr>
        <w:pStyle w:val="PreformattatoHTML"/>
        <w:jc w:val="both"/>
        <w:rPr>
          <w:rFonts w:ascii="Arial" w:hAnsi="Arial" w:cs="Arial"/>
          <w:sz w:val="22"/>
          <w:szCs w:val="22"/>
        </w:rPr>
      </w:pPr>
      <w:r w:rsidRPr="00EF5D1F">
        <w:rPr>
          <w:rFonts w:ascii="Arial" w:hAnsi="Arial" w:cs="Arial"/>
          <w:sz w:val="22"/>
          <w:szCs w:val="22"/>
        </w:rPr>
        <w:t xml:space="preserve">“Nei prossimi 10 anni la progressiva introduzione nel nostro paese di farmaci biotecnologici biosimilari, a seguito della scadenza dei brevetti di riferimento, consentirà di mantenere elevati livelli di welfare e la qualità del nostro Servizio Sanitario Nazionale”, conclude Colantuoni. </w:t>
      </w:r>
    </w:p>
    <w:p w:rsidR="00EF5D1F" w:rsidRPr="00EF5D1F" w:rsidRDefault="00EF5D1F" w:rsidP="00EF5D1F">
      <w:pPr>
        <w:pStyle w:val="PreformattatoHTML"/>
        <w:jc w:val="both"/>
        <w:rPr>
          <w:rFonts w:ascii="Arial" w:hAnsi="Arial" w:cs="Arial"/>
          <w:sz w:val="22"/>
          <w:szCs w:val="22"/>
        </w:rPr>
      </w:pPr>
      <w:r w:rsidRPr="00EF5D1F">
        <w:rPr>
          <w:rFonts w:ascii="Arial" w:hAnsi="Arial" w:cs="Arial"/>
          <w:sz w:val="22"/>
          <w:szCs w:val="22"/>
        </w:rPr>
        <w:t> </w:t>
      </w:r>
    </w:p>
    <w:p w:rsidR="00EF5D1F" w:rsidRPr="00191BE1" w:rsidRDefault="00EF5D1F" w:rsidP="00EF5D1F">
      <w:pPr>
        <w:pStyle w:val="PreformattatoHTML"/>
        <w:jc w:val="both"/>
        <w:rPr>
          <w:rFonts w:ascii="Arial" w:hAnsi="Arial" w:cs="Arial"/>
          <w:b/>
          <w:sz w:val="22"/>
          <w:szCs w:val="22"/>
        </w:rPr>
      </w:pPr>
    </w:p>
    <w:p w:rsidR="00EF5D1F" w:rsidRDefault="00EF5D1F" w:rsidP="00EF5D1F">
      <w:pPr>
        <w:pStyle w:val="PreformattatoHTML"/>
        <w:jc w:val="both"/>
        <w:rPr>
          <w:rFonts w:ascii="Arial" w:hAnsi="Arial" w:cs="Arial"/>
          <w:b/>
          <w:sz w:val="22"/>
          <w:szCs w:val="22"/>
        </w:rPr>
      </w:pPr>
      <w:r w:rsidRPr="00191BE1">
        <w:rPr>
          <w:rFonts w:ascii="Arial" w:hAnsi="Arial" w:cs="Arial"/>
          <w:b/>
          <w:sz w:val="22"/>
          <w:szCs w:val="22"/>
        </w:rPr>
        <w:t xml:space="preserve">Ulteriori informazioni sui biosimilari </w:t>
      </w:r>
    </w:p>
    <w:p w:rsidR="00E62E94" w:rsidRPr="00EF5D1F" w:rsidRDefault="00E62E94" w:rsidP="00EF5D1F">
      <w:pPr>
        <w:pStyle w:val="PreformattatoHTML"/>
        <w:jc w:val="both"/>
        <w:rPr>
          <w:rFonts w:ascii="Arial" w:hAnsi="Arial" w:cs="Arial"/>
          <w:sz w:val="22"/>
          <w:szCs w:val="22"/>
        </w:rPr>
      </w:pPr>
    </w:p>
    <w:p w:rsidR="00EF5D1F" w:rsidRPr="00EF5D1F" w:rsidRDefault="00535D47" w:rsidP="00EF5D1F">
      <w:pPr>
        <w:pStyle w:val="PreformattatoHTML"/>
        <w:jc w:val="both"/>
        <w:rPr>
          <w:rFonts w:ascii="Arial" w:hAnsi="Arial" w:cs="Arial"/>
          <w:sz w:val="22"/>
          <w:szCs w:val="22"/>
        </w:rPr>
      </w:pPr>
      <w:hyperlink r:id="rId7" w:history="1">
        <w:r w:rsidR="00EF5D1F" w:rsidRPr="00EF5D1F">
          <w:rPr>
            <w:rStyle w:val="Collegamentoipertestuale"/>
            <w:rFonts w:ascii="Arial" w:hAnsi="Arial" w:cs="Arial"/>
            <w:sz w:val="22"/>
            <w:szCs w:val="22"/>
          </w:rPr>
          <w:t>Che cosa sono i biosimilari</w:t>
        </w:r>
      </w:hyperlink>
      <w:r w:rsidR="00EF5D1F" w:rsidRPr="00EF5D1F">
        <w:rPr>
          <w:rFonts w:ascii="Arial" w:hAnsi="Arial" w:cs="Arial"/>
          <w:sz w:val="22"/>
          <w:szCs w:val="22"/>
        </w:rPr>
        <w:t xml:space="preserve"> </w:t>
      </w:r>
    </w:p>
    <w:p w:rsidR="00EF5D1F" w:rsidRPr="00EF5D1F" w:rsidRDefault="00535D47" w:rsidP="00EF5D1F">
      <w:pPr>
        <w:pStyle w:val="PreformattatoHTML"/>
        <w:jc w:val="both"/>
        <w:rPr>
          <w:rFonts w:ascii="Arial" w:hAnsi="Arial" w:cs="Arial"/>
          <w:sz w:val="22"/>
          <w:szCs w:val="22"/>
        </w:rPr>
      </w:pPr>
      <w:hyperlink r:id="rId8" w:history="1">
        <w:proofErr w:type="spellStart"/>
        <w:r w:rsidR="00EF5D1F" w:rsidRPr="00EF5D1F">
          <w:rPr>
            <w:rStyle w:val="Collegamentoipertestuale"/>
            <w:rFonts w:ascii="Arial" w:hAnsi="Arial" w:cs="Arial"/>
            <w:sz w:val="22"/>
            <w:szCs w:val="22"/>
          </w:rPr>
          <w:t>Consensus</w:t>
        </w:r>
        <w:proofErr w:type="spellEnd"/>
        <w:r w:rsidR="00EF5D1F" w:rsidRPr="00EF5D1F">
          <w:rPr>
            <w:rStyle w:val="Collegamentoipertestuale"/>
            <w:rFonts w:ascii="Arial" w:hAnsi="Arial" w:cs="Arial"/>
            <w:sz w:val="22"/>
            <w:szCs w:val="22"/>
          </w:rPr>
          <w:t xml:space="preserve"> </w:t>
        </w:r>
        <w:proofErr w:type="spellStart"/>
        <w:proofErr w:type="gramStart"/>
        <w:r w:rsidR="00EF5D1F" w:rsidRPr="00EF5D1F">
          <w:rPr>
            <w:rStyle w:val="Collegamentoipertestuale"/>
            <w:rFonts w:ascii="Arial" w:hAnsi="Arial" w:cs="Arial"/>
            <w:sz w:val="22"/>
            <w:szCs w:val="22"/>
          </w:rPr>
          <w:t>Paper</w:t>
        </w:r>
        <w:proofErr w:type="spellEnd"/>
        <w:r w:rsidR="00EF5D1F" w:rsidRPr="00EF5D1F">
          <w:rPr>
            <w:rStyle w:val="Collegamentoipertestuale"/>
            <w:rFonts w:ascii="Arial" w:hAnsi="Arial" w:cs="Arial"/>
            <w:sz w:val="22"/>
            <w:szCs w:val="22"/>
          </w:rPr>
          <w:t>  della</w:t>
        </w:r>
        <w:proofErr w:type="gramEnd"/>
        <w:r w:rsidR="00EF5D1F" w:rsidRPr="00EF5D1F">
          <w:rPr>
            <w:rStyle w:val="Collegamentoipertestuale"/>
            <w:rFonts w:ascii="Arial" w:hAnsi="Arial" w:cs="Arial"/>
            <w:sz w:val="22"/>
            <w:szCs w:val="22"/>
          </w:rPr>
          <w:t xml:space="preserve"> Commissione Europea</w:t>
        </w:r>
      </w:hyperlink>
      <w:r w:rsidR="00EF5D1F" w:rsidRPr="00EF5D1F">
        <w:rPr>
          <w:rFonts w:ascii="Arial" w:hAnsi="Arial" w:cs="Arial"/>
          <w:sz w:val="22"/>
          <w:szCs w:val="22"/>
        </w:rPr>
        <w:t>  [In italiano]</w:t>
      </w:r>
    </w:p>
    <w:p w:rsidR="00EF5D1F" w:rsidRPr="00EF5D1F" w:rsidRDefault="00535D47" w:rsidP="00EF5D1F">
      <w:pPr>
        <w:pStyle w:val="PreformattatoHTML"/>
        <w:jc w:val="both"/>
        <w:rPr>
          <w:rFonts w:ascii="Arial" w:hAnsi="Arial" w:cs="Arial"/>
          <w:sz w:val="22"/>
          <w:szCs w:val="22"/>
        </w:rPr>
      </w:pPr>
      <w:hyperlink r:id="rId9" w:history="1">
        <w:r w:rsidR="00EF5D1F" w:rsidRPr="00EF5D1F">
          <w:rPr>
            <w:rStyle w:val="Collegamentoipertestuale"/>
            <w:rFonts w:ascii="Arial" w:hAnsi="Arial" w:cs="Arial"/>
            <w:sz w:val="22"/>
            <w:szCs w:val="22"/>
          </w:rPr>
          <w:t>Il decalogo dei biosimilari attraverso il parere degli esperti</w:t>
        </w:r>
      </w:hyperlink>
    </w:p>
    <w:p w:rsidR="00740B1D" w:rsidRPr="007D75BE" w:rsidRDefault="00740B1D" w:rsidP="00EF5D1F">
      <w:pPr>
        <w:pStyle w:val="PreformattatoHTML"/>
        <w:jc w:val="both"/>
        <w:rPr>
          <w:rFonts w:eastAsia="Times New Roman"/>
        </w:rPr>
      </w:pPr>
    </w:p>
    <w:p w:rsidR="00E62E94" w:rsidRDefault="00E62E94" w:rsidP="007D75BE">
      <w:pPr>
        <w:rPr>
          <w:rFonts w:ascii="Arial" w:eastAsia="Calibri" w:hAnsi="Arial" w:cs="Arial"/>
          <w:b/>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11" w:history="1">
        <w:r w:rsidRPr="007D75BE">
          <w:rPr>
            <w:rFonts w:ascii="Arial" w:eastAsia="Calibri" w:hAnsi="Arial" w:cs="Arial"/>
            <w:color w:val="0000FF"/>
            <w:sz w:val="22"/>
            <w:szCs w:val="22"/>
            <w:u w:val="single"/>
          </w:rPr>
          <w:t>m.cherubini@vrelations.it</w:t>
        </w:r>
      </w:hyperlink>
    </w:p>
    <w:sectPr w:rsidR="00900BD6" w:rsidSect="00067F79">
      <w:headerReference w:type="default" r:id="rId12"/>
      <w:footerReference w:type="default" r:id="rId13"/>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D47" w:rsidRDefault="00535D47" w:rsidP="007D75BE">
      <w:r>
        <w:separator/>
      </w:r>
    </w:p>
  </w:endnote>
  <w:endnote w:type="continuationSeparator" w:id="0">
    <w:p w:rsidR="00535D47" w:rsidRDefault="00535D47"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r>
      <w:rPr>
        <w:rFonts w:ascii="Optimum" w:eastAsia="Times New Roman" w:hAnsi="Optimum"/>
        <w:color w:val="003366"/>
        <w:sz w:val="18"/>
      </w:rPr>
      <w:t>I</w:t>
    </w:r>
    <w:r w:rsidRPr="00067F79">
      <w:rPr>
        <w:rFonts w:ascii="Optimum" w:eastAsia="Times New Roman" w:hAnsi="Optimum"/>
        <w:color w:val="003366"/>
        <w:sz w:val="18"/>
      </w:rPr>
      <w:t xml:space="preserve">BG - Passeggiata di Ripetta, 22 · </w:t>
    </w:r>
    <w:proofErr w:type="spellStart"/>
    <w:r w:rsidRPr="00067F79">
      <w:rPr>
        <w:rFonts w:ascii="Optimum" w:eastAsia="Times New Roman" w:hAnsi="Optimum"/>
        <w:color w:val="003366"/>
        <w:sz w:val="18"/>
      </w:rPr>
      <w:t>int</w:t>
    </w:r>
    <w:proofErr w:type="spellEnd"/>
    <w:r w:rsidRPr="00067F79">
      <w:rPr>
        <w:rFonts w:ascii="Optimum" w:eastAsia="Times New Roman" w:hAnsi="Optimum"/>
        <w:color w:val="003366"/>
        <w:sz w:val="18"/>
      </w:rPr>
      <w:t>. 1 · 00186 Roma · T: +39 06 5960 5324 · F: +39 06 5431 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D47" w:rsidRDefault="00535D47" w:rsidP="007D75BE">
      <w:r>
        <w:separator/>
      </w:r>
    </w:p>
  </w:footnote>
  <w:footnote w:type="continuationSeparator" w:id="0">
    <w:p w:rsidR="00535D47" w:rsidRDefault="00535D47"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F82690">
    <w:pPr>
      <w:pStyle w:val="Intestazione"/>
    </w:pPr>
    <w:r>
      <w:rPr>
        <w:noProof/>
      </w:rPr>
      <w:drawing>
        <wp:anchor distT="0" distB="0" distL="114300" distR="114300" simplePos="0" relativeHeight="251658240" behindDoc="1" locked="0" layoutInCell="1" allowOverlap="1" wp14:anchorId="365EDB73" wp14:editId="70159315">
          <wp:simplePos x="0" y="0"/>
          <wp:positionH relativeFrom="column">
            <wp:posOffset>5497830</wp:posOffset>
          </wp:positionH>
          <wp:positionV relativeFrom="paragraph">
            <wp:posOffset>-133985</wp:posOffset>
          </wp:positionV>
          <wp:extent cx="914400" cy="645160"/>
          <wp:effectExtent l="0" t="0" r="0" b="2540"/>
          <wp:wrapNone/>
          <wp:docPr id="49" name="Immagine 49" descr="cid:image003.jpg@01CF2411.1FD2B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33d5d7-cd91-42f6-beb9-98b0d02d7f7b" descr="cid:image003.jpg@01CF2411.1FD2B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AE8C3FF" wp14:editId="3EB3CFB9">
          <wp:simplePos x="0" y="0"/>
          <wp:positionH relativeFrom="margin">
            <wp:posOffset>53340</wp:posOffset>
          </wp:positionH>
          <wp:positionV relativeFrom="margin">
            <wp:posOffset>-1954530</wp:posOffset>
          </wp:positionV>
          <wp:extent cx="1604010" cy="1143000"/>
          <wp:effectExtent l="0" t="0" r="0" b="0"/>
          <wp:wrapSquare wrapText="bothSides"/>
          <wp:docPr id="50" name="Immagine 50" descr="Logo-IBG_n-6-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IBG_n-6-finale"/>
                  <pic:cNvPicPr>
                    <a:picLocks noChangeAspect="1" noChangeArrowheads="1"/>
                  </pic:cNvPicPr>
                </pic:nvPicPr>
                <pic:blipFill>
                  <a:blip r:embed="rId3">
                    <a:extLst>
                      <a:ext uri="{28A0092B-C50C-407E-A947-70E740481C1C}">
                        <a14:useLocalDpi xmlns:a14="http://schemas.microsoft.com/office/drawing/2010/main" val="0"/>
                      </a:ext>
                    </a:extLst>
                  </a:blip>
                  <a:srcRect l="14722" t="32713" r="14722" b="19148"/>
                  <a:stretch>
                    <a:fillRect/>
                  </a:stretch>
                </pic:blipFill>
                <pic:spPr bwMode="auto">
                  <a:xfrm>
                    <a:off x="0" y="0"/>
                    <a:ext cx="16040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7D0">
      <w:rPr>
        <w:noProof/>
      </w:rPr>
      <mc:AlternateContent>
        <mc:Choice Requires="wps">
          <w:drawing>
            <wp:anchor distT="0" distB="0" distL="114300" distR="114300" simplePos="0" relativeHeight="251661312" behindDoc="0" locked="0" layoutInCell="1" allowOverlap="1" wp14:anchorId="1334CDFE" wp14:editId="6BCF3E52">
              <wp:simplePos x="0" y="0"/>
              <wp:positionH relativeFrom="column">
                <wp:posOffset>577215</wp:posOffset>
              </wp:positionH>
              <wp:positionV relativeFrom="paragraph">
                <wp:posOffset>1190625</wp:posOffset>
              </wp:positionV>
              <wp:extent cx="6537960" cy="90805"/>
              <wp:effectExtent l="19050" t="0" r="129540" b="23495"/>
              <wp:wrapNone/>
              <wp:docPr id="14"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0805"/>
                      </a:xfrm>
                      <a:prstGeom prst="flowChartProcess">
                        <a:avLst/>
                      </a:prstGeom>
                      <a:gradFill rotWithShape="0">
                        <a:gsLst>
                          <a:gs pos="0">
                            <a:srgbClr val="4BACC6">
                              <a:gamma/>
                              <a:tint val="20000"/>
                              <a:invGamma/>
                            </a:srgbClr>
                          </a:gs>
                          <a:gs pos="100000">
                            <a:srgbClr val="4BACC6"/>
                          </a:gs>
                        </a:gsLst>
                        <a:lin ang="2700000" scaled="1"/>
                      </a:gradFill>
                      <a:ln w="12700">
                        <a:solidFill>
                          <a:srgbClr val="F2F2F2"/>
                        </a:solidFill>
                        <a:miter lim="800000"/>
                        <a:headEnd/>
                        <a:tailEnd/>
                      </a:ln>
                      <a:effectLst>
                        <a:outerShdw sy="50000" kx="-2453608" rotWithShape="0">
                          <a:srgbClr val="B6DDE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C8E57" id="_x0000_t109" coordsize="21600,21600" o:spt="109" path="m,l,21600r21600,l21600,xe">
              <v:stroke joinstyle="miter"/>
              <v:path gradientshapeok="t" o:connecttype="rect"/>
            </v:shapetype>
            <v:shape id="Elaborazione 14" o:spid="_x0000_s1026" type="#_x0000_t109" style="position:absolute;margin-left:45.45pt;margin-top:93.75pt;width:514.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" fillcolor="#dbeef4" strokecolor="#f2f2f2" strokeweight="1pt">
              <v:fill color2="#4bacc6" angle="45" focus="100%" type="gradient"/>
              <v:shadow on="t" type="perspective" color="#b6dde8" opacity=".5" origin=",.5" offset="0,0" matrix=",-56756f,,.5"/>
            </v:shape>
          </w:pict>
        </mc:Fallback>
      </mc:AlternateContent>
    </w:r>
    <w:r w:rsidR="00067F79">
      <w:rPr>
        <w:noProof/>
      </w:rPr>
      <w:drawing>
        <wp:anchor distT="0" distB="0" distL="114300" distR="114300" simplePos="0" relativeHeight="251659264" behindDoc="0" locked="0" layoutInCell="1" allowOverlap="1" wp14:anchorId="0896C0B6" wp14:editId="1A6BAF68">
          <wp:simplePos x="0" y="0"/>
          <wp:positionH relativeFrom="margin">
            <wp:posOffset>4229100</wp:posOffset>
          </wp:positionH>
          <wp:positionV relativeFrom="margin">
            <wp:posOffset>-1819910</wp:posOffset>
          </wp:positionV>
          <wp:extent cx="1118235" cy="626745"/>
          <wp:effectExtent l="0" t="0" r="5715" b="1905"/>
          <wp:wrapSquare wrapText="bothSides"/>
          <wp:docPr id="48" name="Immagine 48" descr="assogenerici con scritta sot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sogenerici con scritta sotto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8235"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067F79"/>
    <w:rsid w:val="000743E2"/>
    <w:rsid w:val="00191BE1"/>
    <w:rsid w:val="00441586"/>
    <w:rsid w:val="004708F0"/>
    <w:rsid w:val="00522C06"/>
    <w:rsid w:val="00535D47"/>
    <w:rsid w:val="005A443C"/>
    <w:rsid w:val="00740B1D"/>
    <w:rsid w:val="00747C87"/>
    <w:rsid w:val="0075479F"/>
    <w:rsid w:val="007D75BE"/>
    <w:rsid w:val="007F420D"/>
    <w:rsid w:val="0089014E"/>
    <w:rsid w:val="00900BD6"/>
    <w:rsid w:val="009737D0"/>
    <w:rsid w:val="00AD072E"/>
    <w:rsid w:val="00B11405"/>
    <w:rsid w:val="00BF57E0"/>
    <w:rsid w:val="00DF4CE1"/>
    <w:rsid w:val="00DF648B"/>
    <w:rsid w:val="00E62E94"/>
    <w:rsid w:val="00EF5D1F"/>
    <w:rsid w:val="00F450EA"/>
    <w:rsid w:val="00F62FA8"/>
    <w:rsid w:val="00F82690"/>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generici.org/articolihome/Biosimilari_Consensus_Paper_Commissione_Europea.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sogenerici.org/articolihome/Biosimilari_cosa_sono.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cherubini@vrelations.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ansa.it/sito/videogallery/italia/2014/09/25/farmaci-biosimilari-risparmi-fino-al-25-ma-poco-usati_6de1c95c-76de-42ed-b813-be97cafbf0e7.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CF2411.1FD2B3E0" TargetMode="External"/><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C906-A027-48D1-AE04-6419421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23</cp:revision>
  <dcterms:created xsi:type="dcterms:W3CDTF">2014-12-12T08:10:00Z</dcterms:created>
  <dcterms:modified xsi:type="dcterms:W3CDTF">2015-02-16T11:36:00Z</dcterms:modified>
</cp:coreProperties>
</file>