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A3" w:rsidRPr="00554129" w:rsidRDefault="00554129" w:rsidP="00554129">
      <w:pPr>
        <w:spacing w:line="240" w:lineRule="auto"/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-420370</wp:posOffset>
            </wp:positionV>
            <wp:extent cx="2289175" cy="488315"/>
            <wp:effectExtent l="1905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u w:val="single"/>
        </w:rPr>
        <w:br/>
      </w:r>
      <w:bookmarkStart w:id="0" w:name="_GoBack"/>
      <w:bookmarkEnd w:id="0"/>
      <w:r w:rsidR="002A2FA3" w:rsidRPr="00554129">
        <w:rPr>
          <w:b/>
          <w:u w:val="single"/>
        </w:rPr>
        <w:t>COMUNICATO STAMPA</w:t>
      </w:r>
    </w:p>
    <w:p w:rsidR="002A2FA3" w:rsidRPr="00554129" w:rsidRDefault="00C37154" w:rsidP="00554129">
      <w:pPr>
        <w:spacing w:line="240" w:lineRule="auto"/>
        <w:jc w:val="center"/>
        <w:rPr>
          <w:b/>
        </w:rPr>
      </w:pPr>
      <w:r>
        <w:rPr>
          <w:b/>
        </w:rPr>
        <w:t>Presentata oggi al Ministero della Salute una nuova iniziativa editoriale</w:t>
      </w:r>
    </w:p>
    <w:p w:rsidR="00FF2CE4" w:rsidRPr="00554129" w:rsidRDefault="00FF2CE4" w:rsidP="00554129">
      <w:pPr>
        <w:spacing w:line="240" w:lineRule="auto"/>
        <w:jc w:val="center"/>
        <w:rPr>
          <w:b/>
          <w:sz w:val="28"/>
        </w:rPr>
      </w:pPr>
      <w:r w:rsidRPr="00554129">
        <w:rPr>
          <w:b/>
          <w:sz w:val="28"/>
        </w:rPr>
        <w:t>Emergenza Epatite C: quale programmazione sanitaria per combattere la malattia e garantire l’accesso ai nuovi farma</w:t>
      </w:r>
      <w:r w:rsidR="00C37154">
        <w:rPr>
          <w:b/>
          <w:sz w:val="28"/>
        </w:rPr>
        <w:t xml:space="preserve">ci? </w:t>
      </w:r>
    </w:p>
    <w:p w:rsidR="00482AAE" w:rsidRPr="006F4F93" w:rsidRDefault="00C37154" w:rsidP="00554129">
      <w:pPr>
        <w:spacing w:line="240" w:lineRule="auto"/>
        <w:jc w:val="both"/>
        <w:rPr>
          <w:i/>
        </w:rPr>
      </w:pPr>
      <w:r>
        <w:rPr>
          <w:i/>
        </w:rPr>
        <w:t xml:space="preserve">Nasce “HCView – </w:t>
      </w:r>
      <w:r w:rsidR="00EE5AB4">
        <w:rPr>
          <w:i/>
        </w:rPr>
        <w:t>U</w:t>
      </w:r>
      <w:r>
        <w:rPr>
          <w:i/>
        </w:rPr>
        <w:t xml:space="preserve">na finestra sulle politiche per l’epatite C”, frutto del lavoro di un </w:t>
      </w:r>
      <w:r w:rsidR="00FF2CE4" w:rsidRPr="006F4F93">
        <w:rPr>
          <w:i/>
        </w:rPr>
        <w:t xml:space="preserve">think tank </w:t>
      </w:r>
      <w:r>
        <w:rPr>
          <w:i/>
        </w:rPr>
        <w:t xml:space="preserve">composto da Clinici e Associazioni Pazienti.  </w:t>
      </w:r>
      <w:r w:rsidR="00C51365">
        <w:rPr>
          <w:i/>
        </w:rPr>
        <w:t xml:space="preserve">Le richieste più urgenti: </w:t>
      </w:r>
      <w:r w:rsidR="00804D37" w:rsidRPr="00692428">
        <w:rPr>
          <w:i/>
        </w:rPr>
        <w:t>implementazione effettiva del Fondo per i farmaci innovativi</w:t>
      </w:r>
      <w:r w:rsidR="00692428">
        <w:rPr>
          <w:i/>
        </w:rPr>
        <w:t xml:space="preserve"> </w:t>
      </w:r>
      <w:r w:rsidR="005C5E14" w:rsidRPr="006F4F93">
        <w:rPr>
          <w:i/>
        </w:rPr>
        <w:t>e</w:t>
      </w:r>
      <w:r w:rsidR="00D4540B" w:rsidRPr="006F4F93">
        <w:rPr>
          <w:i/>
        </w:rPr>
        <w:t xml:space="preserve"> </w:t>
      </w:r>
      <w:r w:rsidR="00C51365">
        <w:rPr>
          <w:i/>
        </w:rPr>
        <w:t xml:space="preserve">varo del Piano Epatiti </w:t>
      </w:r>
      <w:r w:rsidR="00482AAE" w:rsidRPr="006F4F93">
        <w:rPr>
          <w:i/>
        </w:rPr>
        <w:t xml:space="preserve"> </w:t>
      </w:r>
      <w:r w:rsidR="00025E13" w:rsidRPr="006F4F93">
        <w:rPr>
          <w:i/>
        </w:rPr>
        <w:t>per ottimizzare</w:t>
      </w:r>
      <w:r w:rsidR="002A2FA3" w:rsidRPr="006F4F93">
        <w:rPr>
          <w:i/>
        </w:rPr>
        <w:t xml:space="preserve"> </w:t>
      </w:r>
      <w:r w:rsidR="00025E13" w:rsidRPr="006F4F93">
        <w:rPr>
          <w:i/>
        </w:rPr>
        <w:t>la gestione e la cura dei pazienti</w:t>
      </w:r>
      <w:r w:rsidR="00482AAE" w:rsidRPr="006F4F93">
        <w:rPr>
          <w:i/>
        </w:rPr>
        <w:t>, senza</w:t>
      </w:r>
      <w:r w:rsidR="00C51365">
        <w:rPr>
          <w:i/>
        </w:rPr>
        <w:t xml:space="preserve"> distinzioni né discriminazioni.</w:t>
      </w:r>
    </w:p>
    <w:p w:rsidR="005375D4" w:rsidRPr="00554129" w:rsidRDefault="00590438" w:rsidP="00554129">
      <w:pPr>
        <w:spacing w:after="0" w:line="240" w:lineRule="auto"/>
        <w:jc w:val="both"/>
      </w:pPr>
      <w:r w:rsidRPr="00554129">
        <w:t xml:space="preserve">Roma, 5 febbraio 2015 </w:t>
      </w:r>
      <w:r w:rsidR="005375D4" w:rsidRPr="00554129">
        <w:t>–</w:t>
      </w:r>
      <w:r w:rsidRPr="00554129">
        <w:t xml:space="preserve"> </w:t>
      </w:r>
      <w:r w:rsidR="005375D4" w:rsidRPr="00554129">
        <w:t xml:space="preserve">La mancanza di </w:t>
      </w:r>
      <w:r w:rsidR="005375D4" w:rsidRPr="00554129">
        <w:rPr>
          <w:b/>
        </w:rPr>
        <w:t>stime epidemiologiche</w:t>
      </w:r>
      <w:r w:rsidR="005375D4" w:rsidRPr="00554129">
        <w:t xml:space="preserve"> (pazienti diagnosticati da trattare) realistiche e aggiornate sul </w:t>
      </w:r>
      <w:r w:rsidR="005375D4" w:rsidRPr="00554129">
        <w:rPr>
          <w:i/>
        </w:rPr>
        <w:t>burden</w:t>
      </w:r>
      <w:r w:rsidR="005375D4" w:rsidRPr="00554129">
        <w:t xml:space="preserve"> epatite C, il problema della </w:t>
      </w:r>
      <w:r w:rsidR="005375D4" w:rsidRPr="00554129">
        <w:rPr>
          <w:b/>
        </w:rPr>
        <w:t>sostenibilità economica</w:t>
      </w:r>
      <w:r w:rsidR="005375D4" w:rsidRPr="00554129">
        <w:t xml:space="preserve"> dei nuovi trattamenti </w:t>
      </w:r>
      <w:r w:rsidR="00A1174F" w:rsidRPr="00554129">
        <w:t xml:space="preserve">capaci di eradicare il virus </w:t>
      </w:r>
      <w:r w:rsidR="005375D4" w:rsidRPr="00554129">
        <w:t>e l’</w:t>
      </w:r>
      <w:r w:rsidR="00A1174F" w:rsidRPr="00554129">
        <w:t>attesa del vaglio e dell’attuazione del</w:t>
      </w:r>
      <w:r w:rsidR="005375D4" w:rsidRPr="00554129">
        <w:t xml:space="preserve"> </w:t>
      </w:r>
      <w:r w:rsidR="005375D4" w:rsidRPr="00554129">
        <w:rPr>
          <w:b/>
        </w:rPr>
        <w:t>Piano Nazionale per la Lotta alle Epatiti Virali</w:t>
      </w:r>
      <w:r w:rsidR="005375D4" w:rsidRPr="00554129">
        <w:t xml:space="preserve"> (PNLEV) </w:t>
      </w:r>
      <w:r w:rsidR="00A1174F" w:rsidRPr="00554129">
        <w:t>che garantisca a tutti i pazienti l’accesso alle nuove cure</w:t>
      </w:r>
      <w:r w:rsidR="005375D4" w:rsidRPr="00554129">
        <w:t>. Queste le principali criticità legate all</w:t>
      </w:r>
      <w:r w:rsidR="00025E13" w:rsidRPr="00554129">
        <w:t>’e</w:t>
      </w:r>
      <w:r w:rsidR="00D4540B" w:rsidRPr="00554129">
        <w:t>mergenza epatite C</w:t>
      </w:r>
      <w:r w:rsidR="005375D4" w:rsidRPr="00554129">
        <w:t>, oggetto di dibattito al Convegno “</w:t>
      </w:r>
      <w:r w:rsidR="00EE5AB4">
        <w:rPr>
          <w:i/>
        </w:rPr>
        <w:t>HCView - U</w:t>
      </w:r>
      <w:r w:rsidR="005375D4" w:rsidRPr="00554129">
        <w:rPr>
          <w:i/>
        </w:rPr>
        <w:t>na finestra sulle politiche per l’epatite C</w:t>
      </w:r>
      <w:r w:rsidR="005375D4" w:rsidRPr="00554129">
        <w:t>” in corso a Roma all’Auditorium del Ministero della Salute</w:t>
      </w:r>
      <w:r w:rsidR="00EC2907" w:rsidRPr="00554129">
        <w:t xml:space="preserve">, promosso da </w:t>
      </w:r>
      <w:r w:rsidR="00EC2907" w:rsidRPr="00554129">
        <w:rPr>
          <w:b/>
        </w:rPr>
        <w:t>Aboupharma</w:t>
      </w:r>
      <w:r w:rsidR="00EC2907" w:rsidRPr="00554129">
        <w:t xml:space="preserve"> con il patrocinio </w:t>
      </w:r>
      <w:r w:rsidR="00554129" w:rsidRPr="00554129">
        <w:t xml:space="preserve">del </w:t>
      </w:r>
      <w:r w:rsidR="00554129" w:rsidRPr="00554129">
        <w:rPr>
          <w:b/>
        </w:rPr>
        <w:t>Ministero della Salute</w:t>
      </w:r>
      <w:r w:rsidR="00554129" w:rsidRPr="00554129">
        <w:t xml:space="preserve">, </w:t>
      </w:r>
      <w:r w:rsidR="00554129" w:rsidRPr="00554129">
        <w:rPr>
          <w:b/>
        </w:rPr>
        <w:t>EpaC Onlus</w:t>
      </w:r>
      <w:r w:rsidR="00554129">
        <w:t xml:space="preserve">, </w:t>
      </w:r>
      <w:r w:rsidR="00554129" w:rsidRPr="00554129">
        <w:rPr>
          <w:b/>
        </w:rPr>
        <w:t>SIMIT</w:t>
      </w:r>
      <w:r w:rsidR="00554129">
        <w:t xml:space="preserve">, </w:t>
      </w:r>
      <w:r w:rsidR="00554129" w:rsidRPr="00554129">
        <w:rPr>
          <w:b/>
        </w:rPr>
        <w:t>Sige</w:t>
      </w:r>
      <w:r w:rsidR="00554129" w:rsidRPr="00554129">
        <w:t xml:space="preserve"> e con il contributo educazionale di </w:t>
      </w:r>
      <w:r w:rsidR="00554129" w:rsidRPr="00554129">
        <w:rPr>
          <w:b/>
        </w:rPr>
        <w:t>Abbvie</w:t>
      </w:r>
      <w:r w:rsidR="00554129" w:rsidRPr="00554129">
        <w:t>.</w:t>
      </w:r>
    </w:p>
    <w:p w:rsidR="00554129" w:rsidRPr="00554129" w:rsidRDefault="00554129" w:rsidP="00554129">
      <w:pPr>
        <w:spacing w:after="0" w:line="240" w:lineRule="auto"/>
        <w:jc w:val="both"/>
        <w:rPr>
          <w:i/>
        </w:rPr>
      </w:pPr>
    </w:p>
    <w:p w:rsidR="007313AE" w:rsidRDefault="00EE5AB4" w:rsidP="00554129">
      <w:pPr>
        <w:spacing w:after="0" w:line="240" w:lineRule="auto"/>
        <w:jc w:val="both"/>
      </w:pPr>
      <w:r>
        <w:rPr>
          <w:b/>
          <w:i/>
        </w:rPr>
        <w:t>“HCView - U</w:t>
      </w:r>
      <w:r w:rsidR="00FF2CE4" w:rsidRPr="00554129">
        <w:rPr>
          <w:b/>
          <w:i/>
        </w:rPr>
        <w:t xml:space="preserve">na finestra sulle politiche per l’epatite C” </w:t>
      </w:r>
      <w:r w:rsidR="00FF2CE4" w:rsidRPr="00554129">
        <w:t>è</w:t>
      </w:r>
      <w:r w:rsidR="001E182B" w:rsidRPr="00554129">
        <w:t xml:space="preserve"> la prima rivista </w:t>
      </w:r>
      <w:r w:rsidR="007313AE">
        <w:t xml:space="preserve">interamente </w:t>
      </w:r>
      <w:r w:rsidR="00554129" w:rsidRPr="00554129">
        <w:t>focalizzata su</w:t>
      </w:r>
      <w:r w:rsidR="001E182B" w:rsidRPr="00554129">
        <w:t>ll’analisi dello scenario epatite</w:t>
      </w:r>
      <w:r w:rsidR="00554129" w:rsidRPr="00554129">
        <w:t xml:space="preserve"> </w:t>
      </w:r>
      <w:r w:rsidR="001E182B" w:rsidRPr="00554129">
        <w:t>- dati epidemiologici, bisogni dei pazienti e politiche sanitarie</w:t>
      </w:r>
      <w:r w:rsidR="00554129" w:rsidRPr="00554129">
        <w:t xml:space="preserve"> </w:t>
      </w:r>
      <w:r w:rsidR="007313AE">
        <w:t xml:space="preserve">– e si propone, attraverso il contributo del </w:t>
      </w:r>
      <w:r w:rsidR="007313AE" w:rsidRPr="00EE5AB4">
        <w:rPr>
          <w:i/>
        </w:rPr>
        <w:t>think tank</w:t>
      </w:r>
      <w:r w:rsidR="007313AE">
        <w:t xml:space="preserve"> composto da C</w:t>
      </w:r>
      <w:r w:rsidR="005375D4" w:rsidRPr="00554129">
        <w:t>linici e Associazioni Pazienti</w:t>
      </w:r>
      <w:r w:rsidR="007313AE">
        <w:t>, di delineare proposte programmatiche per miglior</w:t>
      </w:r>
      <w:r>
        <w:t>are da un lato la gestione del p</w:t>
      </w:r>
      <w:r w:rsidR="007313AE">
        <w:t xml:space="preserve">aziente con HCV in tutte le fasi del suo percorso e dall’altro individuare modelli di sostenibilità che coniughino accesso alle nuove cure e efficace gestione della spesa. </w:t>
      </w:r>
    </w:p>
    <w:p w:rsidR="007313AE" w:rsidRDefault="007313AE" w:rsidP="00554129">
      <w:pPr>
        <w:spacing w:after="0" w:line="240" w:lineRule="auto"/>
        <w:jc w:val="both"/>
      </w:pPr>
    </w:p>
    <w:p w:rsidR="0026348D" w:rsidRDefault="008174CF" w:rsidP="00554129">
      <w:pPr>
        <w:spacing w:after="0" w:line="240" w:lineRule="auto"/>
        <w:jc w:val="both"/>
      </w:pPr>
      <w:r>
        <w:t>Una sfida importante e urgente, che parte da un dato di fatto: l’</w:t>
      </w:r>
      <w:r w:rsidR="00376465" w:rsidRPr="00554129">
        <w:t>epatite</w:t>
      </w:r>
      <w:r>
        <w:t xml:space="preserve"> è</w:t>
      </w:r>
      <w:r w:rsidR="007313AE">
        <w:t xml:space="preserve"> oggi</w:t>
      </w:r>
      <w:r>
        <w:t xml:space="preserve"> </w:t>
      </w:r>
      <w:r w:rsidR="007313AE">
        <w:t>un’emergenza sanitaria globale che</w:t>
      </w:r>
      <w:r w:rsidR="00431D21">
        <w:t>, come dice l’Organizzazione Mondiale della Sanità,</w:t>
      </w:r>
      <w:r w:rsidR="007313AE">
        <w:t xml:space="preserve"> conta nel mondo </w:t>
      </w:r>
      <w:r w:rsidR="007313AE" w:rsidRPr="007313AE">
        <w:rPr>
          <w:b/>
        </w:rPr>
        <w:t xml:space="preserve">180 milioni </w:t>
      </w:r>
      <w:r w:rsidR="007313AE">
        <w:t xml:space="preserve">di </w:t>
      </w:r>
      <w:r w:rsidR="007313AE" w:rsidRPr="007313AE">
        <w:t xml:space="preserve">persone cronicamente </w:t>
      </w:r>
      <w:r w:rsidR="007313AE" w:rsidRPr="007313AE">
        <w:rPr>
          <w:b/>
        </w:rPr>
        <w:t>infette</w:t>
      </w:r>
      <w:r w:rsidR="007313AE" w:rsidRPr="007313AE">
        <w:t>, pari al 2</w:t>
      </w:r>
      <w:r w:rsidR="007313AE">
        <w:t>% della popolazione mondiale, mentre in</w:t>
      </w:r>
      <w:r w:rsidR="007313AE" w:rsidRPr="007313AE">
        <w:t xml:space="preserve"> Italia si stimano oltre 1 milione e mezzo di pazienti, di cui circa </w:t>
      </w:r>
      <w:r w:rsidR="007313AE" w:rsidRPr="007313AE">
        <w:rPr>
          <w:b/>
        </w:rPr>
        <w:t>350mila quelli diagnosticati</w:t>
      </w:r>
      <w:r w:rsidR="007313AE" w:rsidRPr="007313AE">
        <w:t>.</w:t>
      </w:r>
      <w:r w:rsidR="00554129" w:rsidRPr="00554129">
        <w:t xml:space="preserve"> </w:t>
      </w:r>
    </w:p>
    <w:p w:rsidR="0026348D" w:rsidRDefault="0026348D" w:rsidP="00554129">
      <w:pPr>
        <w:spacing w:after="0" w:line="240" w:lineRule="auto"/>
        <w:jc w:val="both"/>
      </w:pPr>
    </w:p>
    <w:p w:rsidR="0026348D" w:rsidRPr="00554129" w:rsidRDefault="0026348D" w:rsidP="0026348D">
      <w:pPr>
        <w:spacing w:after="0" w:line="240" w:lineRule="auto"/>
        <w:jc w:val="both"/>
      </w:pPr>
      <w:r>
        <w:t xml:space="preserve">Oggi però esiste la </w:t>
      </w:r>
      <w:r>
        <w:rPr>
          <w:b/>
        </w:rPr>
        <w:t>possibilità concreta di eradicare il virus</w:t>
      </w:r>
      <w:r>
        <w:t xml:space="preserve"> grazie alla disponibilità di una nuo</w:t>
      </w:r>
      <w:r w:rsidR="00B801CB">
        <w:t>v</w:t>
      </w:r>
      <w:r>
        <w:t xml:space="preserve">a classe di farmaci, gli </w:t>
      </w:r>
      <w:r>
        <w:rPr>
          <w:b/>
        </w:rPr>
        <w:t>antivirali diretti (DAA)</w:t>
      </w:r>
      <w:r>
        <w:t>. “S</w:t>
      </w:r>
      <w:r>
        <w:rPr>
          <w:i/>
        </w:rPr>
        <w:t xml:space="preserve">tiamo assistendo a una rivoluzione epocale nell’area epatite C che si deve all’introduzione di farmaci antivirali innovativi in grado di migliorare il controllo dell’epatite C e di incrementare i tassi di cura dei pazienti passando dal 50% al 90% di guarigioni, </w:t>
      </w:r>
      <w:r>
        <w:rPr>
          <w:i/>
          <w:iCs/>
        </w:rPr>
        <w:t xml:space="preserve">cui si aggiunge </w:t>
      </w:r>
      <w:r w:rsidRPr="0026348D">
        <w:rPr>
          <w:i/>
          <w:iCs/>
        </w:rPr>
        <w:t xml:space="preserve">un </w:t>
      </w:r>
      <w:r w:rsidR="00431D21">
        <w:rPr>
          <w:bCs/>
          <w:i/>
          <w:iCs/>
        </w:rPr>
        <w:t>profilo di tollerabilità</w:t>
      </w:r>
      <w:r w:rsidRPr="0026348D">
        <w:rPr>
          <w:bCs/>
          <w:i/>
          <w:iCs/>
        </w:rPr>
        <w:t xml:space="preserve"> ottimale non confrontabile con le terapie precedenti grazie anche all’assenza dell’interferone</w:t>
      </w:r>
      <w:r w:rsidRPr="0026348D">
        <w:rPr>
          <w:i/>
          <w:iCs/>
        </w:rPr>
        <w:t xml:space="preserve"> nel regime terapeutico, responsabile dei pesanti effetti collaterali</w:t>
      </w:r>
      <w:r w:rsidRPr="0026348D">
        <w:rPr>
          <w:i/>
        </w:rPr>
        <w:t>”</w:t>
      </w:r>
      <w:r w:rsidRPr="0026348D">
        <w:t xml:space="preserve"> - dichiara Antonio Gasbarrini,</w:t>
      </w:r>
      <w:r>
        <w:rPr>
          <w:b/>
        </w:rPr>
        <w:t xml:space="preserve"> Professore ordinario di Gastroenterologia, Università Cattolica del Sacro Cuore Roma. - </w:t>
      </w:r>
      <w:r w:rsidRPr="00554129">
        <w:t>“</w:t>
      </w:r>
      <w:r w:rsidRPr="00554129">
        <w:rPr>
          <w:i/>
        </w:rPr>
        <w:t xml:space="preserve">In prospettiva, sarà possibile ridisegnare i contorni della gestione di questa grave malattia, </w:t>
      </w:r>
      <w:r>
        <w:rPr>
          <w:i/>
        </w:rPr>
        <w:t xml:space="preserve">però ad oggi assistiamo ancora a ritardi nell’implementazione di quegli strumenti programmatici che strutturano l’accesso alle terapie e garantiscono al paziente la corretta gestione. Si tratta di </w:t>
      </w:r>
      <w:r w:rsidR="006D477A">
        <w:rPr>
          <w:i/>
        </w:rPr>
        <w:t xml:space="preserve">un discorso ampio che va dalle </w:t>
      </w:r>
      <w:r>
        <w:rPr>
          <w:i/>
        </w:rPr>
        <w:t>risorse per accogliere i nuovi trattamenti, fino a</w:t>
      </w:r>
      <w:r w:rsidRPr="00554129">
        <w:rPr>
          <w:i/>
        </w:rPr>
        <w:t>ll’inserim</w:t>
      </w:r>
      <w:r>
        <w:rPr>
          <w:i/>
        </w:rPr>
        <w:t xml:space="preserve">ento nei prontuari regionali e </w:t>
      </w:r>
      <w:r w:rsidRPr="00554129">
        <w:rPr>
          <w:i/>
        </w:rPr>
        <w:t>alla formazion</w:t>
      </w:r>
      <w:r>
        <w:rPr>
          <w:i/>
        </w:rPr>
        <w:t xml:space="preserve">e del personale sanitario, nonché </w:t>
      </w:r>
      <w:r w:rsidRPr="00554129">
        <w:rPr>
          <w:i/>
        </w:rPr>
        <w:t>al vaglio di Linee Guida Nazionali”</w:t>
      </w:r>
      <w:r w:rsidRPr="00554129">
        <w:t>.</w:t>
      </w:r>
    </w:p>
    <w:p w:rsidR="008E5EB5" w:rsidRPr="00554129" w:rsidRDefault="008E5EB5" w:rsidP="00554129">
      <w:pPr>
        <w:spacing w:after="0" w:line="240" w:lineRule="auto"/>
        <w:jc w:val="both"/>
      </w:pPr>
    </w:p>
    <w:p w:rsidR="001E182B" w:rsidRDefault="008174CF" w:rsidP="00554129">
      <w:pPr>
        <w:spacing w:after="0" w:line="240" w:lineRule="auto"/>
        <w:jc w:val="both"/>
        <w:rPr>
          <w:b/>
        </w:rPr>
      </w:pPr>
      <w:r>
        <w:t>Oggetto del primo numero della Rivista è</w:t>
      </w:r>
      <w:r w:rsidR="00CD699E" w:rsidRPr="00554129">
        <w:t xml:space="preserve"> come </w:t>
      </w:r>
      <w:r w:rsidR="005A7FEC" w:rsidRPr="00554129">
        <w:rPr>
          <w:b/>
        </w:rPr>
        <w:t xml:space="preserve">coniugare la sostenibilità del </w:t>
      </w:r>
      <w:r w:rsidR="00CD699E" w:rsidRPr="00554129">
        <w:rPr>
          <w:b/>
        </w:rPr>
        <w:t>sistema sanitario</w:t>
      </w:r>
      <w:r w:rsidR="005A7FEC" w:rsidRPr="00554129">
        <w:rPr>
          <w:b/>
        </w:rPr>
        <w:t xml:space="preserve"> italiano</w:t>
      </w:r>
      <w:r w:rsidR="00CD699E" w:rsidRPr="00554129">
        <w:t xml:space="preserve"> “obbligato a risparmiare” e </w:t>
      </w:r>
      <w:r w:rsidR="00604857" w:rsidRPr="00554129">
        <w:t xml:space="preserve">al contempo </w:t>
      </w:r>
      <w:r w:rsidR="00604857" w:rsidRPr="00554129">
        <w:rPr>
          <w:b/>
        </w:rPr>
        <w:t>garantire a tutti i pazienti</w:t>
      </w:r>
      <w:r w:rsidR="00604857" w:rsidRPr="00554129">
        <w:t xml:space="preserve"> </w:t>
      </w:r>
      <w:r w:rsidR="00604857" w:rsidRPr="00554129">
        <w:rPr>
          <w:b/>
        </w:rPr>
        <w:t>l’accesso alle nuove cure</w:t>
      </w:r>
      <w:r w:rsidR="00692428">
        <w:rPr>
          <w:b/>
        </w:rPr>
        <w:t>.</w:t>
      </w:r>
    </w:p>
    <w:p w:rsidR="00692428" w:rsidRPr="00554129" w:rsidRDefault="00692428" w:rsidP="00554129">
      <w:pPr>
        <w:spacing w:after="0" w:line="240" w:lineRule="auto"/>
        <w:jc w:val="both"/>
        <w:rPr>
          <w:highlight w:val="yellow"/>
        </w:rPr>
      </w:pPr>
    </w:p>
    <w:p w:rsidR="00A1174F" w:rsidRPr="00C51365" w:rsidRDefault="00C9547B" w:rsidP="00554129">
      <w:pPr>
        <w:spacing w:after="0" w:line="240" w:lineRule="auto"/>
        <w:jc w:val="both"/>
      </w:pPr>
      <w:r w:rsidRPr="00554129">
        <w:t xml:space="preserve">In un’ottica di allocazione </w:t>
      </w:r>
      <w:r w:rsidR="002C667D" w:rsidRPr="00554129">
        <w:t xml:space="preserve">oculata </w:t>
      </w:r>
      <w:r w:rsidRPr="00554129">
        <w:t>delle risorse diviene</w:t>
      </w:r>
      <w:r w:rsidR="002C667D" w:rsidRPr="00554129">
        <w:t>,</w:t>
      </w:r>
      <w:r w:rsidRPr="00554129">
        <w:t xml:space="preserve"> quindi</w:t>
      </w:r>
      <w:r w:rsidR="002C667D" w:rsidRPr="00554129">
        <w:t>,</w:t>
      </w:r>
      <w:r w:rsidRPr="00554129">
        <w:t xml:space="preserve"> necessario stimare il peso economico annuo sostenuto dalla società italiana (costi diretti sanitari e costi indiretti) per il monitoraggio, il trattamento e la gestione dei pazienti con infezione cronica da HCV.</w:t>
      </w:r>
      <w:r w:rsidR="00C51365">
        <w:t xml:space="preserve"> </w:t>
      </w:r>
      <w:r w:rsidR="002C667D" w:rsidRPr="00554129">
        <w:t>In questo contesto si inserisc</w:t>
      </w:r>
      <w:r w:rsidR="00A1174F" w:rsidRPr="00554129">
        <w:t>e un’</w:t>
      </w:r>
      <w:r w:rsidR="002C667D" w:rsidRPr="00554129">
        <w:t xml:space="preserve">inedita ricerca condotta da </w:t>
      </w:r>
      <w:r w:rsidR="002C667D" w:rsidRPr="00554129">
        <w:rPr>
          <w:b/>
        </w:rPr>
        <w:t>Francesco S. Mennini, Professore di Economia Sanitaria, Università di Roma Tor Vergata</w:t>
      </w:r>
      <w:r w:rsidR="002C667D" w:rsidRPr="00554129">
        <w:rPr>
          <w:b/>
          <w:i/>
        </w:rPr>
        <w:t xml:space="preserve"> </w:t>
      </w:r>
      <w:r w:rsidR="002C667D" w:rsidRPr="00554129">
        <w:t xml:space="preserve">e </w:t>
      </w:r>
      <w:r w:rsidR="002C667D" w:rsidRPr="00554129">
        <w:lastRenderedPageBreak/>
        <w:t xml:space="preserve">basata sul modello del </w:t>
      </w:r>
      <w:r w:rsidR="002C667D" w:rsidRPr="00554129">
        <w:rPr>
          <w:i/>
        </w:rPr>
        <w:t>Cost of Illness</w:t>
      </w:r>
      <w:r w:rsidR="002C667D" w:rsidRPr="00554129">
        <w:t xml:space="preserve"> (COI) che ha consentito di stimare l’onere complessivo associato alle patologie HCV-indotte in Italia. </w:t>
      </w:r>
      <w:r w:rsidR="002C667D" w:rsidRPr="00554129">
        <w:rPr>
          <w:i/>
        </w:rPr>
        <w:t>“Si tratta del primo studio in cui siano stati considerati</w:t>
      </w:r>
      <w:r w:rsidR="00287344">
        <w:rPr>
          <w:i/>
        </w:rPr>
        <w:t xml:space="preserve"> tanto</w:t>
      </w:r>
      <w:r w:rsidR="002C667D" w:rsidRPr="00554129">
        <w:rPr>
          <w:i/>
        </w:rPr>
        <w:t xml:space="preserve"> i costi diretti (sostenuti dal SSN) </w:t>
      </w:r>
      <w:r w:rsidR="00287344">
        <w:rPr>
          <w:i/>
        </w:rPr>
        <w:t>ch</w:t>
      </w:r>
      <w:r w:rsidR="002C667D" w:rsidRPr="00554129">
        <w:rPr>
          <w:i/>
        </w:rPr>
        <w:t>e quelli indi</w:t>
      </w:r>
      <w:r w:rsidR="00287344">
        <w:rPr>
          <w:i/>
        </w:rPr>
        <w:t>retti (a carico della società). R</w:t>
      </w:r>
      <w:r w:rsidR="002C667D" w:rsidRPr="00554129">
        <w:rPr>
          <w:i/>
        </w:rPr>
        <w:t xml:space="preserve">appresenta un valido strumento di riferimento per i decisori pubblici che vogliano comprendere in maniera adeguata tutte le voci di costo generate dalla gestione e dal trattamento delle patologie HCV-indotte.” - </w:t>
      </w:r>
      <w:r w:rsidR="002C667D" w:rsidRPr="00554129">
        <w:t xml:space="preserve">commenta </w:t>
      </w:r>
      <w:r w:rsidR="002C667D" w:rsidRPr="00554129">
        <w:rPr>
          <w:b/>
        </w:rPr>
        <w:t>Mennini</w:t>
      </w:r>
      <w:r w:rsidR="002C667D" w:rsidRPr="00554129">
        <w:t xml:space="preserve"> che sintetizza così i risultati -</w:t>
      </w:r>
      <w:r w:rsidR="002C667D" w:rsidRPr="00554129">
        <w:rPr>
          <w:i/>
        </w:rPr>
        <w:t xml:space="preserve"> “Dal modello emerge come la prevalenza</w:t>
      </w:r>
      <w:r w:rsidR="00287344">
        <w:rPr>
          <w:i/>
        </w:rPr>
        <w:t xml:space="preserve"> dell’HCV </w:t>
      </w:r>
      <w:r w:rsidR="002C667D" w:rsidRPr="00554129">
        <w:rPr>
          <w:i/>
        </w:rPr>
        <w:t xml:space="preserve">risulta essere il principale parametro epidemiologico capace di generare il livello di variazione più elevato nella stima dei costi assorbiti dalle patologie HCV-indotte, </w:t>
      </w:r>
      <w:r w:rsidR="00A1174F" w:rsidRPr="00554129">
        <w:rPr>
          <w:i/>
        </w:rPr>
        <w:t>che ammontano</w:t>
      </w:r>
      <w:r w:rsidR="002C667D" w:rsidRPr="00554129">
        <w:rPr>
          <w:i/>
        </w:rPr>
        <w:t xml:space="preserve"> a €1,05 miliardi. Di questi €407 milioni</w:t>
      </w:r>
      <w:r w:rsidR="00A1174F" w:rsidRPr="00554129">
        <w:rPr>
          <w:i/>
        </w:rPr>
        <w:t xml:space="preserve"> sono costi diretti</w:t>
      </w:r>
      <w:r w:rsidR="002C667D" w:rsidRPr="00554129">
        <w:rPr>
          <w:i/>
        </w:rPr>
        <w:t>, mentre i costi indiretti, intesi come perdita di produttività attribuibile alla malattia, superano i €645 milioni gravando per circa il 61% sui costi totali.</w:t>
      </w:r>
      <w:r w:rsidR="002B004F" w:rsidRPr="00554129">
        <w:rPr>
          <w:i/>
        </w:rPr>
        <w:t>”</w:t>
      </w:r>
    </w:p>
    <w:p w:rsidR="002B004F" w:rsidRPr="00554129" w:rsidRDefault="002B004F" w:rsidP="00554129">
      <w:pPr>
        <w:spacing w:after="0" w:line="240" w:lineRule="auto"/>
        <w:jc w:val="both"/>
      </w:pPr>
    </w:p>
    <w:p w:rsidR="00A1174F" w:rsidRPr="00554129" w:rsidRDefault="00C9547B" w:rsidP="00554129">
      <w:pPr>
        <w:spacing w:after="0" w:line="240" w:lineRule="auto"/>
        <w:jc w:val="both"/>
        <w:rPr>
          <w:rFonts w:eastAsia="Times New Roman" w:cs="Times New Roman"/>
        </w:rPr>
      </w:pPr>
      <w:r w:rsidRPr="00554129">
        <w:t xml:space="preserve">Il </w:t>
      </w:r>
      <w:r w:rsidRPr="00554129">
        <w:rPr>
          <w:b/>
        </w:rPr>
        <w:t>dato epidemiologico</w:t>
      </w:r>
      <w:r w:rsidRPr="00554129">
        <w:t xml:space="preserve">, anche in base ai diversi tipi di pazienti, è l’elemento da dirimere per fare un’efficace programmazione sanitaria, che possa poi avere successo a livello locale e diventi veramente “a portata di paziente”. </w:t>
      </w:r>
      <w:r w:rsidR="00A1174F" w:rsidRPr="00554129">
        <w:t>Ne consegue che,</w:t>
      </w:r>
      <w:r w:rsidRPr="00554129">
        <w:t xml:space="preserve"> </w:t>
      </w:r>
      <w:r w:rsidRPr="00C51365">
        <w:rPr>
          <w:b/>
        </w:rPr>
        <w:t xml:space="preserve">il </w:t>
      </w:r>
      <w:r w:rsidR="006D477A" w:rsidRPr="00554129">
        <w:rPr>
          <w:b/>
        </w:rPr>
        <w:t>Piano Nazionale per la Lotta alle Epatiti Virali</w:t>
      </w:r>
      <w:r w:rsidR="00A1174F" w:rsidRPr="00C51365">
        <w:rPr>
          <w:b/>
        </w:rPr>
        <w:t>,</w:t>
      </w:r>
      <w:r w:rsidRPr="00C51365">
        <w:rPr>
          <w:b/>
        </w:rPr>
        <w:t xml:space="preserve"> messo a punto nel 2012 </w:t>
      </w:r>
      <w:r w:rsidR="002C667D" w:rsidRPr="00C51365">
        <w:rPr>
          <w:b/>
        </w:rPr>
        <w:t>e teso</w:t>
      </w:r>
      <w:r w:rsidRPr="00C51365">
        <w:rPr>
          <w:b/>
        </w:rPr>
        <w:t xml:space="preserve"> </w:t>
      </w:r>
      <w:r w:rsidR="00E01CF9">
        <w:rPr>
          <w:b/>
        </w:rPr>
        <w:t xml:space="preserve">a </w:t>
      </w:r>
      <w:r w:rsidRPr="00C51365">
        <w:rPr>
          <w:rFonts w:eastAsia="Times New Roman" w:cs="Times New Roman"/>
          <w:b/>
        </w:rPr>
        <w:t xml:space="preserve">uniformare le cure e l’accesso ad esse in tutte le </w:t>
      </w:r>
      <w:r w:rsidR="000E72A7" w:rsidRPr="00C51365">
        <w:rPr>
          <w:rFonts w:eastAsia="Times New Roman" w:cs="Times New Roman"/>
          <w:b/>
        </w:rPr>
        <w:t>r</w:t>
      </w:r>
      <w:r w:rsidRPr="00C51365">
        <w:rPr>
          <w:rFonts w:eastAsia="Times New Roman" w:cs="Times New Roman"/>
          <w:b/>
        </w:rPr>
        <w:t xml:space="preserve">egioni d’Italia, </w:t>
      </w:r>
      <w:r w:rsidRPr="00C51365">
        <w:rPr>
          <w:b/>
          <w:bCs/>
          <w:iCs/>
        </w:rPr>
        <w:t>risulta</w:t>
      </w:r>
      <w:r w:rsidR="00A1174F" w:rsidRPr="00C51365">
        <w:rPr>
          <w:b/>
          <w:bCs/>
          <w:iCs/>
        </w:rPr>
        <w:t xml:space="preserve"> oggi</w:t>
      </w:r>
      <w:r w:rsidRPr="00C51365">
        <w:rPr>
          <w:b/>
          <w:bCs/>
          <w:iCs/>
        </w:rPr>
        <w:t xml:space="preserve"> </w:t>
      </w:r>
      <w:r w:rsidR="00534EBE" w:rsidRPr="00C51365">
        <w:rPr>
          <w:b/>
          <w:bCs/>
          <w:iCs/>
        </w:rPr>
        <w:t>non più allineato alla realtà terapeutica ed epidemiologica, in continua evoluzione</w:t>
      </w:r>
      <w:r w:rsidRPr="00554129">
        <w:rPr>
          <w:bCs/>
          <w:iCs/>
        </w:rPr>
        <w:t>.</w:t>
      </w:r>
      <w:r w:rsidR="000E72A7" w:rsidRPr="00554129">
        <w:rPr>
          <w:bCs/>
          <w:iCs/>
        </w:rPr>
        <w:t xml:space="preserve"> Clinici e </w:t>
      </w:r>
      <w:r w:rsidR="000E72A7" w:rsidRPr="00554129">
        <w:rPr>
          <w:rFonts w:eastAsia="Times New Roman" w:cs="Times New Roman"/>
        </w:rPr>
        <w:t xml:space="preserve">Associazioni Pazienti richiedono quindi un aggiornamento del Piano alla fonte, cui faccia immediatamente seguito l’approvazione </w:t>
      </w:r>
      <w:r w:rsidR="00B801CB">
        <w:rPr>
          <w:rFonts w:eastAsia="Times New Roman" w:cs="Times New Roman"/>
        </w:rPr>
        <w:t>del Ministero della Salute</w:t>
      </w:r>
      <w:r w:rsidRPr="00554129">
        <w:rPr>
          <w:rFonts w:eastAsia="Times New Roman" w:cs="Times New Roman"/>
        </w:rPr>
        <w:t xml:space="preserve"> e d</w:t>
      </w:r>
      <w:r w:rsidR="000E72A7" w:rsidRPr="00554129">
        <w:rPr>
          <w:rFonts w:eastAsia="Times New Roman" w:cs="Times New Roman"/>
        </w:rPr>
        <w:t>e</w:t>
      </w:r>
      <w:r w:rsidRPr="00554129">
        <w:rPr>
          <w:rFonts w:eastAsia="Times New Roman" w:cs="Times New Roman"/>
        </w:rPr>
        <w:t>lla Conferenza Stato-Regioni</w:t>
      </w:r>
      <w:r w:rsidR="000E72A7" w:rsidRPr="00554129">
        <w:rPr>
          <w:rFonts w:eastAsia="Times New Roman" w:cs="Times New Roman"/>
        </w:rPr>
        <w:t xml:space="preserve">. </w:t>
      </w:r>
    </w:p>
    <w:p w:rsidR="00EC2907" w:rsidRPr="00554129" w:rsidRDefault="00EC2907" w:rsidP="00554129">
      <w:pPr>
        <w:spacing w:after="0" w:line="240" w:lineRule="auto"/>
        <w:jc w:val="both"/>
        <w:rPr>
          <w:rFonts w:eastAsia="Times New Roman" w:cs="Times New Roman"/>
        </w:rPr>
      </w:pPr>
    </w:p>
    <w:p w:rsidR="00B801CB" w:rsidRDefault="000E72A7" w:rsidP="00B801CB">
      <w:pPr>
        <w:spacing w:after="0" w:line="240" w:lineRule="auto"/>
        <w:jc w:val="both"/>
        <w:rPr>
          <w:bCs/>
          <w:i/>
          <w:iCs/>
        </w:rPr>
      </w:pPr>
      <w:r w:rsidRPr="00554129">
        <w:rPr>
          <w:rFonts w:eastAsia="Times New Roman" w:cs="Times New Roman"/>
        </w:rPr>
        <w:t xml:space="preserve">Lo scenario </w:t>
      </w:r>
      <w:r w:rsidR="001E182B" w:rsidRPr="00554129">
        <w:rPr>
          <w:rFonts w:eastAsia="Times New Roman" w:cs="Times New Roman"/>
        </w:rPr>
        <w:t>futuro</w:t>
      </w:r>
      <w:r w:rsidRPr="00554129">
        <w:rPr>
          <w:rFonts w:eastAsia="Times New Roman" w:cs="Times New Roman"/>
        </w:rPr>
        <w:t xml:space="preserve"> – </w:t>
      </w:r>
      <w:r w:rsidR="007C5E0D" w:rsidRPr="00554129">
        <w:rPr>
          <w:rFonts w:eastAsia="Times New Roman" w:cs="Times New Roman"/>
        </w:rPr>
        <w:t xml:space="preserve">dal momento che sono </w:t>
      </w:r>
      <w:r w:rsidR="00A1174F" w:rsidRPr="00554129">
        <w:rPr>
          <w:rFonts w:eastAsia="Times New Roman" w:cs="Times New Roman"/>
        </w:rPr>
        <w:t>in arrivo</w:t>
      </w:r>
      <w:r w:rsidR="007C5E0D" w:rsidRPr="00554129">
        <w:rPr>
          <w:rFonts w:eastAsia="Times New Roman" w:cs="Times New Roman"/>
        </w:rPr>
        <w:t xml:space="preserve"> </w:t>
      </w:r>
      <w:r w:rsidR="002C667D" w:rsidRPr="00554129">
        <w:rPr>
          <w:rFonts w:eastAsia="Times New Roman" w:cs="Times New Roman"/>
        </w:rPr>
        <w:t xml:space="preserve">sul mercato </w:t>
      </w:r>
      <w:r w:rsidR="007C5E0D" w:rsidRPr="00554129">
        <w:rPr>
          <w:rFonts w:eastAsia="Times New Roman" w:cs="Times New Roman"/>
        </w:rPr>
        <w:t>altri nuovi farmaci innovativi</w:t>
      </w:r>
      <w:r w:rsidRPr="00554129">
        <w:rPr>
          <w:rFonts w:eastAsia="Times New Roman" w:cs="Times New Roman"/>
        </w:rPr>
        <w:t xml:space="preserve"> – </w:t>
      </w:r>
      <w:r w:rsidR="001E182B" w:rsidRPr="00554129">
        <w:rPr>
          <w:rFonts w:eastAsia="Times New Roman" w:cs="Times New Roman"/>
        </w:rPr>
        <w:t>prospetta</w:t>
      </w:r>
      <w:r w:rsidR="00554129" w:rsidRPr="00554129">
        <w:rPr>
          <w:rFonts w:eastAsia="Times New Roman" w:cs="Times New Roman"/>
        </w:rPr>
        <w:t xml:space="preserve"> inevitabilmente</w:t>
      </w:r>
      <w:r w:rsidRPr="00554129">
        <w:rPr>
          <w:rFonts w:eastAsia="Times New Roman" w:cs="Times New Roman"/>
        </w:rPr>
        <w:t xml:space="preserve"> un incremento delle disomogeneità nei trattamenti, regione per regione</w:t>
      </w:r>
      <w:r w:rsidR="00A1174F" w:rsidRPr="00554129">
        <w:rPr>
          <w:rFonts w:eastAsia="Times New Roman" w:cs="Times New Roman"/>
        </w:rPr>
        <w:t>,</w:t>
      </w:r>
      <w:r w:rsidRPr="00554129">
        <w:rPr>
          <w:rFonts w:eastAsia="Times New Roman" w:cs="Times New Roman"/>
        </w:rPr>
        <w:t xml:space="preserve"> </w:t>
      </w:r>
      <w:r w:rsidR="007C5E0D" w:rsidRPr="00554129">
        <w:rPr>
          <w:rFonts w:eastAsia="Times New Roman" w:cs="Times New Roman"/>
        </w:rPr>
        <w:t xml:space="preserve">a </w:t>
      </w:r>
      <w:r w:rsidR="002C667D" w:rsidRPr="00554129">
        <w:rPr>
          <w:rFonts w:eastAsia="Times New Roman" w:cs="Times New Roman"/>
        </w:rPr>
        <w:t>seconda</w:t>
      </w:r>
      <w:r w:rsidR="007C5E0D" w:rsidRPr="00554129">
        <w:rPr>
          <w:rFonts w:eastAsia="Times New Roman" w:cs="Times New Roman"/>
        </w:rPr>
        <w:t xml:space="preserve"> delle</w:t>
      </w:r>
      <w:r w:rsidRPr="00554129">
        <w:rPr>
          <w:rFonts w:eastAsia="Times New Roman" w:cs="Times New Roman"/>
        </w:rPr>
        <w:t xml:space="preserve"> differenti disponibilità economiche, a discapito del diritto </w:t>
      </w:r>
      <w:r w:rsidR="00A1174F" w:rsidRPr="00554129">
        <w:rPr>
          <w:rFonts w:eastAsia="Times New Roman" w:cs="Times New Roman"/>
        </w:rPr>
        <w:t xml:space="preserve">di accesso alle cure, che dovrebbe essere garantito a tutti i pazienti senza distinzioni </w:t>
      </w:r>
      <w:r w:rsidR="001E182B" w:rsidRPr="00554129">
        <w:rPr>
          <w:rFonts w:eastAsia="Times New Roman" w:cs="Times New Roman"/>
        </w:rPr>
        <w:t xml:space="preserve">né </w:t>
      </w:r>
      <w:r w:rsidRPr="00554129">
        <w:rPr>
          <w:rFonts w:eastAsia="Times New Roman" w:cs="Times New Roman"/>
        </w:rPr>
        <w:t>discriminazioni.</w:t>
      </w:r>
      <w:r w:rsidR="00A1174F" w:rsidRPr="00554129">
        <w:rPr>
          <w:rFonts w:eastAsia="Times New Roman" w:cs="Times New Roman"/>
        </w:rPr>
        <w:t xml:space="preserve"> Cosa che di fatto avviene oggi perché all’attivo in Italia i </w:t>
      </w:r>
      <w:r w:rsidR="00A1174F" w:rsidRPr="00554129">
        <w:rPr>
          <w:rFonts w:eastAsia="Times New Roman" w:cs="Times New Roman"/>
          <w:b/>
        </w:rPr>
        <w:t>pazienti trattati</w:t>
      </w:r>
      <w:r w:rsidR="00A1174F" w:rsidRPr="00554129">
        <w:rPr>
          <w:rFonts w:eastAsia="Times New Roman" w:cs="Times New Roman"/>
        </w:rPr>
        <w:t xml:space="preserve"> con i nuovi farmaci sono </w:t>
      </w:r>
      <w:r w:rsidR="00A1174F" w:rsidRPr="00B801CB">
        <w:rPr>
          <w:rFonts w:eastAsia="Times New Roman" w:cs="Times New Roman"/>
          <w:b/>
        </w:rPr>
        <w:t>solo</w:t>
      </w:r>
      <w:r w:rsidR="00A1174F" w:rsidRPr="00554129">
        <w:rPr>
          <w:rFonts w:eastAsia="Times New Roman" w:cs="Times New Roman"/>
        </w:rPr>
        <w:t xml:space="preserve"> </w:t>
      </w:r>
      <w:r w:rsidR="00B801CB" w:rsidRPr="00B801CB">
        <w:rPr>
          <w:rFonts w:eastAsia="Times New Roman" w:cs="Times New Roman"/>
          <w:b/>
        </w:rPr>
        <w:t>qualche centinaio</w:t>
      </w:r>
      <w:r w:rsidR="00E01CF9">
        <w:rPr>
          <w:rFonts w:eastAsia="Times New Roman" w:cs="Times New Roman"/>
          <w:b/>
        </w:rPr>
        <w:t>,</w:t>
      </w:r>
      <w:r w:rsidR="00B801CB" w:rsidRPr="00B801CB">
        <w:rPr>
          <w:rFonts w:eastAsia="Times New Roman" w:cs="Times New Roman"/>
          <w:b/>
        </w:rPr>
        <w:t xml:space="preserve"> in 12 regioni</w:t>
      </w:r>
      <w:r w:rsidR="00A1174F" w:rsidRPr="00554129">
        <w:rPr>
          <w:rFonts w:eastAsia="Times New Roman" w:cs="Times New Roman"/>
        </w:rPr>
        <w:t xml:space="preserve">, nonostante il </w:t>
      </w:r>
      <w:r w:rsidR="00627B29" w:rsidRPr="00554129">
        <w:rPr>
          <w:rFonts w:eastAsia="Times New Roman" w:cs="Times New Roman"/>
        </w:rPr>
        <w:t>Fondo stanziato</w:t>
      </w:r>
      <w:r w:rsidR="00A1174F" w:rsidRPr="00554129">
        <w:rPr>
          <w:rFonts w:eastAsia="Times New Roman" w:cs="Times New Roman"/>
        </w:rPr>
        <w:t xml:space="preserve"> ne preveda almeno </w:t>
      </w:r>
      <w:r w:rsidR="00A1174F" w:rsidRPr="00554129">
        <w:rPr>
          <w:rFonts w:eastAsia="Times New Roman" w:cs="Times New Roman"/>
          <w:b/>
        </w:rPr>
        <w:t>50.000</w:t>
      </w:r>
      <w:r w:rsidR="00A1174F" w:rsidRPr="00554129">
        <w:rPr>
          <w:rFonts w:eastAsia="Times New Roman" w:cs="Times New Roman"/>
        </w:rPr>
        <w:t>.</w:t>
      </w:r>
      <w:r w:rsidR="00EC2907" w:rsidRPr="00554129">
        <w:rPr>
          <w:rFonts w:eastAsia="Times New Roman" w:cs="Times New Roman"/>
        </w:rPr>
        <w:t xml:space="preserve"> </w:t>
      </w:r>
      <w:r w:rsidR="00A1174F" w:rsidRPr="00554129">
        <w:rPr>
          <w:rFonts w:eastAsia="Times New Roman" w:cs="Times New Roman"/>
        </w:rPr>
        <w:t>Sulla ques</w:t>
      </w:r>
      <w:r w:rsidR="00376465" w:rsidRPr="00554129">
        <w:rPr>
          <w:rFonts w:eastAsia="Times New Roman" w:cs="Times New Roman"/>
        </w:rPr>
        <w:t xml:space="preserve">tione interviene </w:t>
      </w:r>
      <w:r w:rsidR="00153B4C" w:rsidRPr="00153B4C">
        <w:rPr>
          <w:rFonts w:eastAsia="Times New Roman" w:cs="Times New Roman"/>
          <w:b/>
        </w:rPr>
        <w:t>Massimiliano Conforti, Vice Presidente</w:t>
      </w:r>
      <w:r w:rsidR="007A5D24">
        <w:rPr>
          <w:rFonts w:eastAsia="Times New Roman" w:cs="Times New Roman"/>
          <w:b/>
        </w:rPr>
        <w:t xml:space="preserve"> dell’Associazione </w:t>
      </w:r>
      <w:r w:rsidR="00153B4C" w:rsidRPr="00153B4C">
        <w:rPr>
          <w:rFonts w:eastAsia="Times New Roman" w:cs="Times New Roman"/>
          <w:b/>
        </w:rPr>
        <w:t>EpaC Onlus</w:t>
      </w:r>
      <w:r w:rsidR="00153B4C">
        <w:rPr>
          <w:rFonts w:eastAsia="Times New Roman" w:cs="Times New Roman"/>
        </w:rPr>
        <w:t>: “</w:t>
      </w:r>
      <w:r w:rsidR="00B801CB" w:rsidRPr="00B801CB">
        <w:rPr>
          <w:bCs/>
          <w:i/>
          <w:iCs/>
        </w:rPr>
        <w:t>Esortiamo le regioni ad attivarsi celermente al fine di assicurare il farmaco ai pazienti, come previsto dal Decreto Legge 158/2012, art. 10 comma 2 e 3, convertito in legge N. 189/2012</w:t>
      </w:r>
      <w:r w:rsidR="00B801CB">
        <w:rPr>
          <w:bCs/>
          <w:i/>
          <w:iCs/>
        </w:rPr>
        <w:t>,</w:t>
      </w:r>
      <w:r w:rsidR="00B801CB" w:rsidRPr="00B801CB">
        <w:rPr>
          <w:bCs/>
          <w:i/>
          <w:iCs/>
        </w:rPr>
        <w:t xml:space="preserve"> che stabilisce l’immediata disponibilità dei farmaci innovativi su tutto il territorio nazionale.</w:t>
      </w:r>
      <w:r w:rsidR="00B801CB">
        <w:rPr>
          <w:bCs/>
          <w:i/>
          <w:iCs/>
        </w:rPr>
        <w:t xml:space="preserve"> </w:t>
      </w:r>
      <w:r w:rsidR="00B801CB" w:rsidRPr="00B801CB">
        <w:rPr>
          <w:bCs/>
          <w:i/>
          <w:iCs/>
        </w:rPr>
        <w:t>E’ sconvolgente e inaccettabile che – a due mesi dalla determina AIFA sul primo dei farmaci</w:t>
      </w:r>
      <w:r w:rsidR="00B801CB">
        <w:rPr>
          <w:bCs/>
          <w:i/>
          <w:iCs/>
        </w:rPr>
        <w:t xml:space="preserve"> innovativi – ci siano ancora 3</w:t>
      </w:r>
      <w:r w:rsidR="00B801CB" w:rsidRPr="00B801CB">
        <w:rPr>
          <w:bCs/>
          <w:i/>
          <w:iCs/>
        </w:rPr>
        <w:t>-4 regioni che non hanno neppure indicato i centri autorizzati alla prescrizione dei farmaci.</w:t>
      </w:r>
      <w:r w:rsidR="00B801CB">
        <w:rPr>
          <w:bCs/>
          <w:i/>
          <w:iCs/>
        </w:rPr>
        <w:t xml:space="preserve"> </w:t>
      </w:r>
      <w:r w:rsidR="00B801CB" w:rsidRPr="00B801CB">
        <w:rPr>
          <w:bCs/>
          <w:i/>
          <w:iCs/>
        </w:rPr>
        <w:t>Riteniamo anche fondamentale costituire un fondo molto più corposo per i farmaci innovativi ed effettuare una revisione dei tetti di spesa della farmaceutica ospedaliera perché sono in arrivo altri farmaci innovativi (e non solo anti epatite C)</w:t>
      </w:r>
      <w:r w:rsidR="00B801CB">
        <w:rPr>
          <w:bCs/>
          <w:i/>
          <w:iCs/>
        </w:rPr>
        <w:t>,</w:t>
      </w:r>
      <w:r w:rsidR="00B801CB" w:rsidRPr="00B801CB">
        <w:rPr>
          <w:bCs/>
          <w:i/>
          <w:iCs/>
        </w:rPr>
        <w:t xml:space="preserve"> ma soprattutto è improponibile mantenere un accesso limitato solo ai pazienti gravi per un lungo periodo di tempo.</w:t>
      </w:r>
      <w:r w:rsidR="00B801CB">
        <w:rPr>
          <w:bCs/>
          <w:i/>
          <w:iCs/>
        </w:rPr>
        <w:t xml:space="preserve"> </w:t>
      </w:r>
      <w:r w:rsidR="00B801CB" w:rsidRPr="00B801CB">
        <w:rPr>
          <w:bCs/>
          <w:i/>
          <w:iCs/>
        </w:rPr>
        <w:t>Serve quindi una programmazione economica di medio-lungo</w:t>
      </w:r>
      <w:r w:rsidR="00B801CB">
        <w:rPr>
          <w:bCs/>
          <w:i/>
          <w:iCs/>
        </w:rPr>
        <w:t xml:space="preserve"> </w:t>
      </w:r>
      <w:r w:rsidR="00B801CB" w:rsidRPr="00B801CB">
        <w:rPr>
          <w:bCs/>
          <w:i/>
          <w:iCs/>
        </w:rPr>
        <w:t>periodo per sconfiggere definitivamente l’epatite C nel nostro paese in tempi ragionevoli</w:t>
      </w:r>
      <w:r w:rsidR="00B801CB">
        <w:rPr>
          <w:bCs/>
          <w:i/>
          <w:iCs/>
        </w:rPr>
        <w:t>”</w:t>
      </w:r>
      <w:r w:rsidR="00B801CB" w:rsidRPr="00B801CB">
        <w:rPr>
          <w:bCs/>
          <w:i/>
          <w:iCs/>
        </w:rPr>
        <w:t>.</w:t>
      </w:r>
    </w:p>
    <w:p w:rsidR="00D5064C" w:rsidRPr="00554129" w:rsidRDefault="00D5064C" w:rsidP="00554129">
      <w:pPr>
        <w:spacing w:after="0" w:line="240" w:lineRule="auto"/>
        <w:jc w:val="both"/>
      </w:pPr>
    </w:p>
    <w:p w:rsidR="00554129" w:rsidRDefault="00C9547B" w:rsidP="00554129">
      <w:pPr>
        <w:spacing w:after="0" w:line="240" w:lineRule="auto"/>
        <w:jc w:val="both"/>
      </w:pPr>
      <w:r w:rsidRPr="00554129">
        <w:t xml:space="preserve">Insomma, molto resta ancora da fare a cominciare da </w:t>
      </w:r>
      <w:r w:rsidRPr="00554129">
        <w:rPr>
          <w:b/>
        </w:rPr>
        <w:t>un’organizzazione omogenea e strutturata</w:t>
      </w:r>
      <w:r w:rsidRPr="00554129">
        <w:t xml:space="preserve"> della </w:t>
      </w:r>
      <w:r w:rsidRPr="00554129">
        <w:rPr>
          <w:b/>
        </w:rPr>
        <w:t>presa in carico</w:t>
      </w:r>
      <w:r w:rsidRPr="00554129">
        <w:t xml:space="preserve"> del paziente con epatite - come già fatto brillantemente in alcune nazioni europee tra cui la Scozia, la prima a varare un Piano Epatiti – e da una più </w:t>
      </w:r>
      <w:r w:rsidRPr="00554129">
        <w:rPr>
          <w:b/>
        </w:rPr>
        <w:t>precisa rilevazione e tempestiva segnalazione</w:t>
      </w:r>
      <w:r w:rsidRPr="00554129">
        <w:t xml:space="preserve"> dei pazienti eleggibili a trattamento, senza le quali ogni discorso programmatorio non è nemmeno impostabile. </w:t>
      </w:r>
    </w:p>
    <w:p w:rsidR="00554129" w:rsidRDefault="00554129" w:rsidP="00554129">
      <w:pPr>
        <w:spacing w:after="0" w:line="240" w:lineRule="auto"/>
        <w:jc w:val="both"/>
      </w:pPr>
    </w:p>
    <w:p w:rsidR="00D5064C" w:rsidRDefault="00D5064C" w:rsidP="00554129">
      <w:pPr>
        <w:spacing w:after="0" w:line="240" w:lineRule="auto"/>
        <w:jc w:val="both"/>
        <w:rPr>
          <w:b/>
        </w:rPr>
      </w:pPr>
    </w:p>
    <w:p w:rsidR="00C51365" w:rsidRDefault="00C51365" w:rsidP="00554129">
      <w:pPr>
        <w:spacing w:after="0" w:line="240" w:lineRule="auto"/>
        <w:jc w:val="both"/>
        <w:rPr>
          <w:b/>
        </w:rPr>
      </w:pPr>
    </w:p>
    <w:p w:rsidR="00C51365" w:rsidRDefault="00C51365" w:rsidP="00554129">
      <w:pPr>
        <w:spacing w:after="0" w:line="240" w:lineRule="auto"/>
        <w:jc w:val="both"/>
        <w:rPr>
          <w:b/>
        </w:rPr>
      </w:pPr>
    </w:p>
    <w:p w:rsidR="00C51365" w:rsidRDefault="00C51365" w:rsidP="00554129">
      <w:pPr>
        <w:spacing w:after="0" w:line="240" w:lineRule="auto"/>
        <w:jc w:val="both"/>
        <w:rPr>
          <w:b/>
        </w:rPr>
      </w:pPr>
    </w:p>
    <w:p w:rsidR="00C51365" w:rsidRDefault="00C51365" w:rsidP="00554129">
      <w:pPr>
        <w:spacing w:after="0" w:line="240" w:lineRule="auto"/>
        <w:jc w:val="both"/>
        <w:rPr>
          <w:b/>
        </w:rPr>
      </w:pPr>
    </w:p>
    <w:p w:rsidR="00C51365" w:rsidRDefault="00C51365" w:rsidP="00554129">
      <w:pPr>
        <w:spacing w:after="0" w:line="240" w:lineRule="auto"/>
        <w:jc w:val="both"/>
        <w:rPr>
          <w:b/>
        </w:rPr>
      </w:pPr>
    </w:p>
    <w:p w:rsidR="00C51365" w:rsidRPr="006F4F93" w:rsidRDefault="00C51365" w:rsidP="00554129">
      <w:pPr>
        <w:spacing w:after="0" w:line="240" w:lineRule="auto"/>
        <w:jc w:val="both"/>
      </w:pPr>
    </w:p>
    <w:p w:rsidR="006F4F93" w:rsidRPr="006F4F93" w:rsidRDefault="006F4F93" w:rsidP="006F4F93">
      <w:pPr>
        <w:pStyle w:val="Pa0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b/>
          <w:sz w:val="20"/>
          <w:szCs w:val="22"/>
        </w:rPr>
        <w:t>U</w:t>
      </w:r>
      <w:r w:rsidRPr="006F4F93">
        <w:rPr>
          <w:rFonts w:asciiTheme="minorHAnsi" w:hAnsiTheme="minorHAnsi"/>
          <w:b/>
          <w:sz w:val="20"/>
          <w:szCs w:val="22"/>
        </w:rPr>
        <w:t xml:space="preserve">FFICIO STAMPA </w:t>
      </w:r>
      <w:r w:rsidRPr="006F4F93">
        <w:rPr>
          <w:rFonts w:asciiTheme="minorHAnsi" w:hAnsiTheme="minorHAnsi"/>
          <w:b/>
          <w:sz w:val="20"/>
          <w:szCs w:val="22"/>
        </w:rPr>
        <w:br/>
      </w:r>
      <w:r w:rsidRPr="006F4F93">
        <w:rPr>
          <w:rFonts w:asciiTheme="minorHAnsi" w:hAnsiTheme="minorHAnsi"/>
          <w:b/>
          <w:noProof/>
          <w:sz w:val="20"/>
          <w:szCs w:val="22"/>
        </w:rPr>
        <w:drawing>
          <wp:inline distT="0" distB="0" distL="0" distR="0">
            <wp:extent cx="1544320" cy="172720"/>
            <wp:effectExtent l="19050" t="0" r="0" b="0"/>
            <wp:docPr id="9" name="Immagine 1" descr="cid:image001.gif@01CA4E89.BFD76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4E89.BFD7619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20"/>
          <w:szCs w:val="22"/>
        </w:rPr>
        <w:t xml:space="preserve"> Tel. </w:t>
      </w:r>
      <w:r w:rsidRPr="006F4F93">
        <w:rPr>
          <w:rFonts w:asciiTheme="minorHAnsi" w:hAnsiTheme="minorHAnsi"/>
          <w:b/>
          <w:sz w:val="20"/>
          <w:szCs w:val="22"/>
        </w:rPr>
        <w:t>02 2042491</w:t>
      </w:r>
      <w:r w:rsidRPr="006F4F93">
        <w:rPr>
          <w:rFonts w:asciiTheme="minorHAnsi" w:hAnsiTheme="minorHAnsi"/>
          <w:sz w:val="20"/>
          <w:szCs w:val="22"/>
        </w:rPr>
        <w:br/>
      </w:r>
      <w:r w:rsidRPr="006F4F93">
        <w:rPr>
          <w:rFonts w:asciiTheme="minorHAnsi" w:hAnsiTheme="minorHAnsi"/>
          <w:b/>
          <w:sz w:val="20"/>
          <w:szCs w:val="22"/>
        </w:rPr>
        <w:t>Angela Del Giudice</w:t>
      </w:r>
      <w:r w:rsidRPr="006F4F93">
        <w:rPr>
          <w:rFonts w:asciiTheme="minorHAnsi" w:hAnsiTheme="minorHAnsi"/>
          <w:sz w:val="20"/>
          <w:szCs w:val="22"/>
        </w:rPr>
        <w:t xml:space="preserve"> - Cell. 392 6858392 - E-mail: a.delgiudice@vrelations.it</w:t>
      </w:r>
    </w:p>
    <w:p w:rsidR="00554129" w:rsidRPr="006F4F93" w:rsidRDefault="006F4F93" w:rsidP="006F4F93">
      <w:pPr>
        <w:pStyle w:val="Pa0"/>
        <w:rPr>
          <w:sz w:val="20"/>
        </w:rPr>
      </w:pPr>
      <w:r w:rsidRPr="006F4F93">
        <w:rPr>
          <w:rFonts w:asciiTheme="minorHAnsi" w:hAnsiTheme="minorHAnsi"/>
          <w:b/>
          <w:sz w:val="20"/>
          <w:szCs w:val="22"/>
        </w:rPr>
        <w:t>Eleonora Cossa</w:t>
      </w:r>
      <w:r w:rsidRPr="006F4F93">
        <w:rPr>
          <w:rFonts w:asciiTheme="minorHAnsi" w:hAnsiTheme="minorHAnsi"/>
          <w:sz w:val="20"/>
          <w:szCs w:val="22"/>
        </w:rPr>
        <w:t xml:space="preserve"> - Cell. 347 7467250 - E-mail: e.cossa@vrelations.it</w:t>
      </w:r>
    </w:p>
    <w:sectPr w:rsidR="00554129" w:rsidRPr="006F4F93" w:rsidSect="006F4F93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47A" w:rsidRDefault="00FA547A" w:rsidP="005A7FEC">
      <w:pPr>
        <w:spacing w:after="0" w:line="240" w:lineRule="auto"/>
      </w:pPr>
      <w:r>
        <w:separator/>
      </w:r>
    </w:p>
  </w:endnote>
  <w:endnote w:type="continuationSeparator" w:id="0">
    <w:p w:rsidR="00FA547A" w:rsidRDefault="00FA547A" w:rsidP="005A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hitney Book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TC Garamond Std Lt">
    <w:altName w:val="ITC Garamond St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Pro-Bold">
    <w:altName w:val="DIN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47A" w:rsidRDefault="00FA547A" w:rsidP="005A7FEC">
      <w:pPr>
        <w:spacing w:after="0" w:line="240" w:lineRule="auto"/>
      </w:pPr>
      <w:r>
        <w:separator/>
      </w:r>
    </w:p>
  </w:footnote>
  <w:footnote w:type="continuationSeparator" w:id="0">
    <w:p w:rsidR="00FA547A" w:rsidRDefault="00FA547A" w:rsidP="005A7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F2B86"/>
    <w:multiLevelType w:val="hybridMultilevel"/>
    <w:tmpl w:val="52DE8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8030C"/>
    <w:multiLevelType w:val="hybridMultilevel"/>
    <w:tmpl w:val="284A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8477F"/>
    <w:multiLevelType w:val="hybridMultilevel"/>
    <w:tmpl w:val="3FEA4172"/>
    <w:lvl w:ilvl="0" w:tplc="AE765D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66568"/>
    <w:multiLevelType w:val="hybridMultilevel"/>
    <w:tmpl w:val="371C8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47E4A"/>
    <w:multiLevelType w:val="hybridMultilevel"/>
    <w:tmpl w:val="C15A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17968"/>
    <w:multiLevelType w:val="hybridMultilevel"/>
    <w:tmpl w:val="BF2CB4A2"/>
    <w:lvl w:ilvl="0" w:tplc="3CFC13A4">
      <w:start w:val="1"/>
      <w:numFmt w:val="bullet"/>
      <w:lvlText w:val="-"/>
      <w:lvlJc w:val="left"/>
      <w:pPr>
        <w:ind w:left="720" w:hanging="360"/>
      </w:pPr>
      <w:rPr>
        <w:rFonts w:ascii="Tahoma" w:eastAsiaTheme="minorEastAsia" w:hAnsi="Tahom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57AA3"/>
    <w:multiLevelType w:val="hybridMultilevel"/>
    <w:tmpl w:val="05B0A1E0"/>
    <w:lvl w:ilvl="0" w:tplc="3CFC13A4">
      <w:start w:val="1"/>
      <w:numFmt w:val="bullet"/>
      <w:lvlText w:val="-"/>
      <w:lvlJc w:val="left"/>
      <w:pPr>
        <w:ind w:left="720" w:hanging="360"/>
      </w:pPr>
      <w:rPr>
        <w:rFonts w:ascii="Tahoma" w:eastAsiaTheme="minorEastAsia" w:hAnsi="Tahom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2123D"/>
    <w:multiLevelType w:val="hybridMultilevel"/>
    <w:tmpl w:val="A874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53B30"/>
    <w:multiLevelType w:val="hybridMultilevel"/>
    <w:tmpl w:val="D66CA5B8"/>
    <w:lvl w:ilvl="0" w:tplc="3CFC13A4">
      <w:start w:val="1"/>
      <w:numFmt w:val="bullet"/>
      <w:lvlText w:val="-"/>
      <w:lvlJc w:val="left"/>
      <w:pPr>
        <w:ind w:left="720" w:hanging="360"/>
      </w:pPr>
      <w:rPr>
        <w:rFonts w:ascii="Tahoma" w:eastAsiaTheme="minorEastAsia" w:hAnsi="Tahom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56AC4"/>
    <w:multiLevelType w:val="hybridMultilevel"/>
    <w:tmpl w:val="B96E1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57D02"/>
    <w:multiLevelType w:val="hybridMultilevel"/>
    <w:tmpl w:val="08E6B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F120F"/>
    <w:multiLevelType w:val="hybridMultilevel"/>
    <w:tmpl w:val="0F7A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312E92"/>
    <w:multiLevelType w:val="hybridMultilevel"/>
    <w:tmpl w:val="C33A2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E7714"/>
    <w:multiLevelType w:val="multilevel"/>
    <w:tmpl w:val="06681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135101"/>
    <w:multiLevelType w:val="hybridMultilevel"/>
    <w:tmpl w:val="B5C023BC"/>
    <w:lvl w:ilvl="0" w:tplc="3CFC13A4">
      <w:start w:val="1"/>
      <w:numFmt w:val="bullet"/>
      <w:lvlText w:val="-"/>
      <w:lvlJc w:val="left"/>
      <w:pPr>
        <w:ind w:left="720" w:hanging="360"/>
      </w:pPr>
      <w:rPr>
        <w:rFonts w:ascii="Tahoma" w:eastAsiaTheme="minorEastAsia" w:hAnsi="Tahom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2"/>
  </w:num>
  <w:num w:numId="5">
    <w:abstractNumId w:val="3"/>
  </w:num>
  <w:num w:numId="6">
    <w:abstractNumId w:val="6"/>
  </w:num>
  <w:num w:numId="7">
    <w:abstractNumId w:val="11"/>
  </w:num>
  <w:num w:numId="8">
    <w:abstractNumId w:val="5"/>
  </w:num>
  <w:num w:numId="9">
    <w:abstractNumId w:val="4"/>
  </w:num>
  <w:num w:numId="10">
    <w:abstractNumId w:val="14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3424"/>
    <w:rsid w:val="00025E13"/>
    <w:rsid w:val="000661D2"/>
    <w:rsid w:val="00074426"/>
    <w:rsid w:val="00084BE4"/>
    <w:rsid w:val="000A4783"/>
    <w:rsid w:val="000C11A5"/>
    <w:rsid w:val="000E72A7"/>
    <w:rsid w:val="000F01C3"/>
    <w:rsid w:val="000F080F"/>
    <w:rsid w:val="001326BC"/>
    <w:rsid w:val="00153B4C"/>
    <w:rsid w:val="0016500E"/>
    <w:rsid w:val="001D6795"/>
    <w:rsid w:val="001E182B"/>
    <w:rsid w:val="0023425B"/>
    <w:rsid w:val="0026348D"/>
    <w:rsid w:val="00287344"/>
    <w:rsid w:val="002A2FA3"/>
    <w:rsid w:val="002B004F"/>
    <w:rsid w:val="002C667D"/>
    <w:rsid w:val="00376465"/>
    <w:rsid w:val="00406DC2"/>
    <w:rsid w:val="004269FC"/>
    <w:rsid w:val="00431D21"/>
    <w:rsid w:val="00474699"/>
    <w:rsid w:val="00482AAE"/>
    <w:rsid w:val="004A1DF4"/>
    <w:rsid w:val="004D68C1"/>
    <w:rsid w:val="005029D9"/>
    <w:rsid w:val="00516BFA"/>
    <w:rsid w:val="00534EBE"/>
    <w:rsid w:val="005375D4"/>
    <w:rsid w:val="00554129"/>
    <w:rsid w:val="00590438"/>
    <w:rsid w:val="005A7FEC"/>
    <w:rsid w:val="005C5E14"/>
    <w:rsid w:val="00604857"/>
    <w:rsid w:val="0062513E"/>
    <w:rsid w:val="00627B29"/>
    <w:rsid w:val="00663424"/>
    <w:rsid w:val="00664299"/>
    <w:rsid w:val="00692428"/>
    <w:rsid w:val="006D477A"/>
    <w:rsid w:val="006F4F93"/>
    <w:rsid w:val="007313AE"/>
    <w:rsid w:val="0076791B"/>
    <w:rsid w:val="007A5D24"/>
    <w:rsid w:val="007C5E0D"/>
    <w:rsid w:val="00804D37"/>
    <w:rsid w:val="008105B0"/>
    <w:rsid w:val="008174CF"/>
    <w:rsid w:val="00835068"/>
    <w:rsid w:val="008D452F"/>
    <w:rsid w:val="008E5EB5"/>
    <w:rsid w:val="008F11F0"/>
    <w:rsid w:val="00947DF3"/>
    <w:rsid w:val="00952584"/>
    <w:rsid w:val="00A1174F"/>
    <w:rsid w:val="00A168D6"/>
    <w:rsid w:val="00A450EB"/>
    <w:rsid w:val="00AC2454"/>
    <w:rsid w:val="00AD62C9"/>
    <w:rsid w:val="00AF210F"/>
    <w:rsid w:val="00B801CB"/>
    <w:rsid w:val="00C024FC"/>
    <w:rsid w:val="00C0507F"/>
    <w:rsid w:val="00C37154"/>
    <w:rsid w:val="00C51365"/>
    <w:rsid w:val="00C9547B"/>
    <w:rsid w:val="00C97CB5"/>
    <w:rsid w:val="00CA202D"/>
    <w:rsid w:val="00CD699E"/>
    <w:rsid w:val="00D17B2D"/>
    <w:rsid w:val="00D27AF4"/>
    <w:rsid w:val="00D4540B"/>
    <w:rsid w:val="00D468EB"/>
    <w:rsid w:val="00D5064C"/>
    <w:rsid w:val="00D80935"/>
    <w:rsid w:val="00DC60C4"/>
    <w:rsid w:val="00E01CF9"/>
    <w:rsid w:val="00E13142"/>
    <w:rsid w:val="00E60C38"/>
    <w:rsid w:val="00EC2907"/>
    <w:rsid w:val="00ED5C59"/>
    <w:rsid w:val="00EE5AB4"/>
    <w:rsid w:val="00F714AC"/>
    <w:rsid w:val="00F961FE"/>
    <w:rsid w:val="00FA225F"/>
    <w:rsid w:val="00FA547A"/>
    <w:rsid w:val="00F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722E2-AB90-4558-A662-3542BC40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202D"/>
  </w:style>
  <w:style w:type="paragraph" w:styleId="Titolo1">
    <w:name w:val="heading 1"/>
    <w:basedOn w:val="Normale"/>
    <w:next w:val="Normale"/>
    <w:link w:val="Titolo1Carattere"/>
    <w:qFormat/>
    <w:rsid w:val="00663424"/>
    <w:pPr>
      <w:spacing w:before="600" w:after="0" w:line="480" w:lineRule="auto"/>
      <w:jc w:val="both"/>
      <w:outlineLvl w:val="0"/>
    </w:pPr>
    <w:rPr>
      <w:rFonts w:ascii="Times New Roman" w:eastAsiaTheme="majorEastAsia" w:hAnsi="Times New Roman" w:cstheme="majorBidi"/>
      <w:b/>
      <w:bCs/>
      <w:iCs/>
      <w:sz w:val="20"/>
      <w:szCs w:val="32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. elenco"/>
    <w:basedOn w:val="Normale"/>
    <w:uiPriority w:val="34"/>
    <w:qFormat/>
    <w:rsid w:val="0066342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424"/>
    <w:rPr>
      <w:rFonts w:ascii="Tahoma" w:hAnsi="Tahoma" w:cs="Tahoma"/>
      <w:sz w:val="16"/>
      <w:szCs w:val="16"/>
    </w:rPr>
  </w:style>
  <w:style w:type="character" w:customStyle="1" w:styleId="A15">
    <w:name w:val="A15"/>
    <w:uiPriority w:val="99"/>
    <w:rsid w:val="00663424"/>
    <w:rPr>
      <w:rFonts w:cs="Whitney Book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663424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663424"/>
    <w:rPr>
      <w:rFonts w:ascii="Times New Roman" w:eastAsiaTheme="majorEastAsia" w:hAnsi="Times New Roman" w:cstheme="majorBidi"/>
      <w:b/>
      <w:bCs/>
      <w:iCs/>
      <w:sz w:val="20"/>
      <w:szCs w:val="32"/>
      <w:lang w:val="en-US" w:bidi="en-US"/>
    </w:rPr>
  </w:style>
  <w:style w:type="table" w:customStyle="1" w:styleId="Elencochiaro2">
    <w:name w:val="Elenco chiaro2"/>
    <w:basedOn w:val="Tabellanormale"/>
    <w:uiPriority w:val="61"/>
    <w:rsid w:val="00663424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PartabellaCarattere">
    <w:name w:val="Par. tabella Carattere"/>
    <w:basedOn w:val="Carpredefinitoparagrafo"/>
    <w:link w:val="Partabella"/>
    <w:locked/>
    <w:rsid w:val="00663424"/>
    <w:rPr>
      <w:rFonts w:ascii="Times New Roman" w:eastAsia="Batang" w:hAnsi="Times New Roman" w:cs="Times New Roman"/>
      <w:color w:val="244061" w:themeColor="accent1" w:themeShade="80"/>
      <w:sz w:val="20"/>
      <w:szCs w:val="28"/>
    </w:rPr>
  </w:style>
  <w:style w:type="paragraph" w:customStyle="1" w:styleId="Partabella">
    <w:name w:val="Par. tabella"/>
    <w:basedOn w:val="Normale"/>
    <w:link w:val="PartabellaCarattere"/>
    <w:qFormat/>
    <w:rsid w:val="0066342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Batang" w:hAnsi="Times New Roman" w:cs="Times New Roman"/>
      <w:color w:val="244061" w:themeColor="accent1" w:themeShade="80"/>
      <w:sz w:val="20"/>
      <w:szCs w:val="28"/>
    </w:rPr>
  </w:style>
  <w:style w:type="table" w:customStyle="1" w:styleId="Elencochiaro1">
    <w:name w:val="Elenco chiaro1"/>
    <w:basedOn w:val="Tabellanormale"/>
    <w:uiPriority w:val="61"/>
    <w:rsid w:val="00663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663424"/>
    <w:pPr>
      <w:spacing w:line="240" w:lineRule="auto"/>
      <w:ind w:firstLine="357"/>
      <w:jc w:val="both"/>
    </w:pPr>
    <w:rPr>
      <w:rFonts w:ascii="Times New Roman" w:hAnsi="Times New Roman"/>
      <w:b/>
      <w:bCs/>
      <w:color w:val="4F81BD" w:themeColor="accent1"/>
      <w:sz w:val="18"/>
      <w:szCs w:val="18"/>
      <w:lang w:val="en-US" w:bidi="en-US"/>
    </w:rPr>
  </w:style>
  <w:style w:type="table" w:customStyle="1" w:styleId="Elencochiaro-Colore11">
    <w:name w:val="Elenco chiaro - Colore 11"/>
    <w:basedOn w:val="Tabellanormale"/>
    <w:uiPriority w:val="61"/>
    <w:rsid w:val="00663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3">
    <w:name w:val="Light List Accent 3"/>
    <w:basedOn w:val="Tabellanormale"/>
    <w:uiPriority w:val="61"/>
    <w:rsid w:val="00663424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7FE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7FE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A7FEC"/>
    <w:rPr>
      <w:vertAlign w:val="superscript"/>
    </w:rPr>
  </w:style>
  <w:style w:type="character" w:customStyle="1" w:styleId="A14">
    <w:name w:val="A14"/>
    <w:uiPriority w:val="99"/>
    <w:rsid w:val="002B004F"/>
    <w:rPr>
      <w:rFonts w:cs="ITC Garamond Std Lt"/>
      <w:color w:val="000000"/>
      <w:sz w:val="21"/>
      <w:szCs w:val="21"/>
    </w:rPr>
  </w:style>
  <w:style w:type="paragraph" w:customStyle="1" w:styleId="Default">
    <w:name w:val="Default"/>
    <w:rsid w:val="006F4F93"/>
    <w:pPr>
      <w:autoSpaceDE w:val="0"/>
      <w:autoSpaceDN w:val="0"/>
      <w:adjustRightInd w:val="0"/>
      <w:spacing w:after="0" w:line="240" w:lineRule="auto"/>
    </w:pPr>
    <w:rPr>
      <w:rFonts w:ascii="DINPro-Bold" w:hAnsi="DINPro-Bold" w:cs="DINPro-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F4F93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6F4F93"/>
    <w:rPr>
      <w:rFonts w:cs="DINPro-Bold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2.gif@01CFD64F.42D109F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62847-61D7-41D0-8BA8-2D573625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1212</Words>
  <Characters>6912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Value</Company>
  <LinksUpToDate>false</LinksUpToDate>
  <CharactersWithSpaces>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Cossa</dc:creator>
  <cp:lastModifiedBy>Chiara Longhi</cp:lastModifiedBy>
  <cp:revision>8</cp:revision>
  <cp:lastPrinted>2015-02-03T10:22:00Z</cp:lastPrinted>
  <dcterms:created xsi:type="dcterms:W3CDTF">2015-02-03T12:10:00Z</dcterms:created>
  <dcterms:modified xsi:type="dcterms:W3CDTF">2015-02-05T10:08:00Z</dcterms:modified>
</cp:coreProperties>
</file>